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평균은 이 문제의 크기를 감춘다. 성인 문해율이 가장 낮은 15개국의 값은 29%에서 60% 사이이며, 차드는 28%다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[표 1] 성인 문해율이 낮은 국가 (2015~2024 인구조사,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[표 2] 비문해 성인이 가장 많은 10개국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이고, 유럽과 북미 일부 지역의 남성은 99%다 (UNESCO, 2025).</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2025). 세계 평균 88%와의 거리가 이 그림의 논지다.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3]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나라 안에서 더 크게 갈린다는 것이 이 그림의 논지다.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이들 국가의 성인 문해력은 2012년 이후 오히려 정체하거나 낮아졌다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세계보건기구는 2017년 제3차 국제 환자안전 과제로 Medication Without Harm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앞의 둘은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전제가 하나 더 있다. 글을 읽을 수 있다 해도 그 글이 자기 언어라는 보장이 없다. 세계 인구의 40%는 자신이 이해하는 언어로 교육에 접근하지 못하며, 문해력 조사조차 대부분 한 언어만으로 측정한다 (UNESCO, 2025). 처방전과 성분표는 그 나라의 공용어나 영어로 인쇄되므로, 문해율 통계에서 "읽을 수 있다" 로 집계된 사람 가운데도 자기 앞의 종이를 읽지 못하는 사람이 있다. 그림과 음성은 이 층을 함께 건너뛴다.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5]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5" name="Picture 5"/>
                  <wp:cNvGraphicFramePr>
                    <a:graphicFrameLocks noChangeAspect="1"/>
                  </wp:cNvGraphicFramePr>
                  <a:graphic>
                    <a:graphicData uri="http://schemas.openxmlformats.org/drawingml/2006/picture">
                      <pic:pic>
                        <pic:nvPicPr>
                          <pic:cNvPr id="0" name="chart04_smartphone.png"/>
                          <pic:cNvPicPr/>
                        </pic:nvPicPr>
                        <pic:blipFill>
                          <a:blip r:embed="rId1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et al.,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확인되었고 (Dowse et al., 2023: </w:t>
            </w:r>
            <w:r>
              <w:rPr>
                <w:rFonts w:ascii="Times New Roman" w:hAnsi="Times New Roman" w:eastAsia="바탕"/>
                <w:i/>
                <w:sz w:val="20"/>
              </w:rPr>
              <w:t>p</w:t>
            </w:r>
            <w:r>
              <w:rPr>
                <w:rFonts w:ascii="Times New Roman" w:hAnsi="Times New Roman" w:eastAsia="바탕"/>
                <w:sz w:val="20"/>
              </w:rPr>
              <w:t xml:space="preserve"> = 0.002),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정리하면 이 분야는 두 가지를 함께 관찰해 왔다. 잘 만든 그림은 실제로 오류를 줄인다(Yin 등, 2008: 47.8% → 5.4%). 그리고 만들었다고 해서 잘 만들어지는 것은 아니다(Gutierrez 등, 2022: 108종 중 17종). 앞의 것이 이 접근을 택할 이유이고, 뒤의 것이 만든 뒤에 재야 할 이유다.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60" w:after="60"/>
              <w:jc w:val="center"/>
            </w:pPr>
            <w:r>
              <w:drawing>
                <wp:inline xmlns:a="http://schemas.openxmlformats.org/drawingml/2006/main" xmlns:pic="http://schemas.openxmlformats.org/drawingml/2006/picture">
                  <wp:extent cx="5486400" cy="3108960"/>
                  <wp:docPr id="6" name="Picture 6"/>
                  <wp:cNvGraphicFramePr>
                    <a:graphicFrameLocks noChangeAspect="1"/>
                  </wp:cNvGraphicFramePr>
                  <a:graphic>
                    <a:graphicData uri="http://schemas.openxmlformats.org/drawingml/2006/picture">
                      <pic:pic>
                        <pic:nvPicPr>
                          <pic:cNvPr id="0" name="chart05_pictogram_pass.png"/>
                          <pic:cNvPicPr/>
                        </pic:nvPicPr>
                        <pic:blipFill>
                          <a:blip r:embed="rId20"/>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라이선스는 픽토그램을 변형하거나 USP 가 만들지 않은 심볼과 함께 쓰는 것을 USP 의 허락 없이는 금지한다 (U.S. Pharmacopeia, </w:t>
            </w:r>
            <w:r>
              <w:rPr>
                <w:rFonts w:ascii="Times New Roman" w:hAnsi="Times New Roman" w:eastAsia="바탕"/>
                <w:i/>
                <w:sz w:val="20"/>
              </w:rPr>
              <w:t>USP Pictogram Library License Agreement</w:t>
            </w:r>
            <w:r>
              <w:rPr>
                <w:rFonts w:ascii="Times New Roman" w:hAnsi="Times New Roman" w:eastAsia="바탕"/>
                <w:sz w:val="20"/>
              </w:rPr>
              <w:t>). 즉 표준을 준수하는 한 조합은 앞으로도 불가능하다.</w:t>
            </w:r>
          </w:p>
          <w:p>
            <w:pPr>
              <w:spacing w:after="80" w:line="276" w:lineRule="auto"/>
              <w:jc w:val="both"/>
            </w:pPr>
            <w:r>
              <w:rPr>
                <w:rFonts w:ascii="Times New Roman" w:hAnsi="Times New Roman" w:eastAsia="바탕"/>
                <w:sz w:val="20"/>
              </w:rPr>
              <w:t>같은 라이선스에 한 조항이 더 있다. 픽토그램을 환자에게 정보를 전달하는 유일한 수단으로 쓰지 말 것. 표준을 만든 쪽이 그림 하나로는 부족하다고 적어 둔 것이며, 이는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첫째, 규모. 비문해 성인은 7억 3,900만 명이며, 지역에 따라 절대수가 증가하고 있다 (UNESCO, 2025). 여기에 건강 문해력 기준을 적용하면 대상은 더 넓어진다. 한국 성인의 39.6%, 65세 이상의 59.7% 가 건강정보이해능력이 충분하지 않다 (질병관리청, 2023).</w:t>
            </w:r>
          </w:p>
          <w:p>
            <w:pPr>
              <w:spacing w:after="80" w:line="276" w:lineRule="auto"/>
              <w:jc w:val="both"/>
            </w:pPr>
            <w:r>
              <w:rPr>
                <w:rFonts w:ascii="Times New Roman" w:hAnsi="Times New Roman" w:eastAsia="바탕"/>
                <w:sz w:val="20"/>
              </w:rPr>
              <w:t xml:space="preserve">둘째, 대가.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셋째, 시각적 방법의 효과와 한계.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다섯째, 전달 경로의 개방. 미국 65세 이상의 78%가 이미 스마트폰을 보유하고 있다 (Pew Research Center,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4)은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00610" cy="4754880"/>
                  <wp:docPr id="7" name="Picture 7"/>
                  <wp:cNvGraphicFramePr>
                    <a:graphicFrameLocks noChangeAspect="1"/>
                  </wp:cNvGraphicFramePr>
                  <a:graphic>
                    <a:graphicData uri="http://schemas.openxmlformats.org/drawingml/2006/picture">
                      <pic:pic>
                        <pic:nvPicPr>
                          <pic:cNvPr id="0" name="fig01_home.png"/>
                          <pic:cNvPicPr/>
                        </pic:nvPicPr>
                        <pic:blipFill>
                          <a:blip r:embed="rId21"/>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8" name="Picture 8"/>
                  <wp:cNvGraphicFramePr>
                    <a:graphicFrameLocks noChangeAspect="1"/>
                  </wp:cNvGraphicFramePr>
                  <a:graphic>
                    <a:graphicData uri="http://schemas.openxmlformats.org/drawingml/2006/picture">
                      <pic:pic>
                        <pic:nvPicPr>
                          <pic:cNvPr id="0" name="fig02_sigil_sheet.png"/>
                          <pic:cNvPicPr/>
                        </pic:nvPicPr>
                        <pic:blipFill>
                          <a:blip r:embed="rId22"/>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9" name="Picture 9"/>
                  <wp:cNvGraphicFramePr>
                    <a:graphicFrameLocks noChangeAspect="1"/>
                  </wp:cNvGraphicFramePr>
                  <a:graphic>
                    <a:graphicData uri="http://schemas.openxmlformats.org/drawingml/2006/picture">
                      <pic:pic>
                        <pic:nvPicPr>
                          <pic:cNvPr id="0" name="fig03_dsl.png"/>
                          <pic:cNvPicPr/>
                        </pic:nvPicPr>
                        <pic:blipFill>
                          <a:blip r:embed="rId23"/>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10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9]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10]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10" name="Picture 10"/>
                  <wp:cNvGraphicFramePr>
                    <a:graphicFrameLocks noChangeAspect="1"/>
                  </wp:cNvGraphicFramePr>
                  <a:graphic>
                    <a:graphicData uri="http://schemas.openxmlformats.org/drawingml/2006/picture">
                      <pic:pic>
                        <pic:nvPicPr>
                          <pic:cNvPr id="0" name="panelA_flow.png"/>
                          <pic:cNvPicPr/>
                        </pic:nvPicPr>
                        <pic:blipFill>
                          <a:blip r:embed="rId24"/>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11" name="Picture 11"/>
                  <wp:cNvGraphicFramePr>
                    <a:graphicFrameLocks noChangeAspect="1"/>
                  </wp:cNvGraphicFramePr>
                  <a:graphic>
                    <a:graphicData uri="http://schemas.openxmlformats.org/drawingml/2006/picture">
                      <pic:pic>
                        <pic:nvPicPr>
                          <pic:cNvPr id="0" name="panelB_nutrition.png"/>
                          <pic:cNvPicPr/>
                        </pic:nvPicPr>
                        <pic:blipFill>
                          <a:blip r:embed="rId25"/>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실시간시계(DS3231)로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12" name="Picture 12"/>
                  <wp:cNvGraphicFramePr>
                    <a:graphicFrameLocks noChangeAspect="1"/>
                  </wp:cNvGraphicFramePr>
                  <a:graphic>
                    <a:graphicData uri="http://schemas.openxmlformats.org/drawingml/2006/picture">
                      <pic:pic>
                        <pic:nvPicPr>
                          <pic:cNvPr id="0" name="fig10_dispenser.png"/>
                          <pic:cNvPicPr/>
                        </pic:nvPicPr>
                        <pic:blipFill>
                          <a:blip r:embed="rId26"/>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13" name="Picture 13"/>
                  <wp:cNvGraphicFramePr>
                    <a:graphicFrameLocks noChangeAspect="1"/>
                  </wp:cNvGraphicFramePr>
                  <a:graphic>
                    <a:graphicData uri="http://schemas.openxmlformats.org/drawingml/2006/picture">
                      <pic:pic>
                        <pic:nvPicPr>
                          <pic:cNvPr id="0" name="fig11_userflow.png"/>
                          <pic:cNvPicPr/>
                        </pic:nvPicPr>
                        <pic:blipFill>
                          <a:blip r:embed="rId27"/>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11]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11의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31920" cy="4754880"/>
                  <wp:docPr id="14" name="Picture 14"/>
                  <wp:cNvGraphicFramePr>
                    <a:graphicFrameLocks noChangeAspect="1"/>
                  </wp:cNvGraphicFramePr>
                  <a:graphic>
                    <a:graphicData uri="http://schemas.openxmlformats.org/drawingml/2006/picture">
                      <pic:pic>
                        <pic:nvPicPr>
                          <pic:cNvPr id="0" name="panelC_onboarding.png"/>
                          <pic:cNvPicPr/>
                        </pic:nvPicPr>
                        <pic:blipFill>
                          <a:blip r:embed="rId28"/>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12]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백분율을 숨기지 않고 그대로 보이는 것은 의도한 것이다. 저문해 사용자 연구에서 지적된 장벽 가운데 하나가 위압감(intimidation)이며 (Medhi, Cutrell &amp; Toyama,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13]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14]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10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15]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16]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줄마다 듣기 표시</w:t>
                  </w:r>
                </w:p>
              </w:tc>
              <w:tc>
                <w:tcPr>
                  <w:tcW w:type="dxa" w:w="3238"/>
                </w:tcPr>
                <w:p>
                  <w:r>
                    <w:rPr>
                      <w:rFonts w:ascii="Times New Roman" w:hAnsi="Times New Roman" w:eastAsia="바탕"/>
                      <w:sz w:val="18"/>
                    </w:rPr>
                    <w:t>누르는 대상은 줄 전체, 표시는 그 자리에 소리가 있다는 안내</w:t>
                  </w:r>
                </w:p>
              </w:tc>
              <w:tc>
                <w:tcPr>
                  <w:tcW w:type="dxa" w:w="3238"/>
                </w:tcPr>
                <w:p>
                  <w:r>
                    <w:rPr>
                      <w:rFonts w:ascii="Times New Roman" w:hAnsi="Times New Roman" w:eastAsia="바탕"/>
                      <w:sz w:val="18"/>
                    </w:rPr>
                    <w:t>떨리는 손으로 작은 원을 정조준하게 하지 않는다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듣기 버튼의 크기는 44픽셀로 두었다. 손끝이 화면에 닿는 면적이 대략 그만큼이고, 그보다 작으면 조준을 요구하게 된다.</w:t>
            </w:r>
          </w:p>
          <w:p>
            <w:pPr>
              <w:spacing w:before="120" w:after="20"/>
            </w:pPr>
            <w:r>
              <w:rPr>
                <w:rFonts w:ascii="Times New Roman" w:hAnsi="Times New Roman" w:eastAsia="바탕"/>
                <w:b/>
                <w:sz w:val="21"/>
              </w:rPr>
              <w:t>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17]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#15A34A</w:t>
                  </w:r>
                </w:p>
              </w:tc>
              <w:tc>
                <w:tcPr>
                  <w:tcW w:type="dxa" w:w="2429"/>
                </w:tcPr>
                <w:p>
                  <w:r>
                    <w:rPr>
                      <w:rFonts w:ascii="Times New Roman" w:hAnsi="Times New Roman" w:eastAsia="바탕"/>
                      <w:sz w:val="18"/>
                    </w:rPr>
                    <w:t xml:space="preserve">주황 </w:t>
                  </w:r>
                  <w:r>
                    <w:rPr>
                      <w:rFonts w:ascii="Consolas" w:hAnsi="Consolas" w:eastAsia="Consolas"/>
                      <w:sz w:val="17"/>
                    </w:rPr>
                    <w:t>#DE8500</w:t>
                  </w:r>
                </w:p>
              </w:tc>
              <w:tc>
                <w:tcPr>
                  <w:tcW w:type="dxa" w:w="2429"/>
                </w:tcPr>
                <w:p>
                  <w:r>
                    <w:rPr>
                      <w:rFonts w:ascii="Times New Roman" w:hAnsi="Times New Roman" w:eastAsia="바탕"/>
                      <w:sz w:val="18"/>
                    </w:rPr>
                    <w:t xml:space="preserve">빨강 </w:t>
                  </w:r>
                  <w:r>
                    <w:rPr>
                      <w:rFonts w:ascii="Consolas" w:hAnsi="Consolas" w:eastAsia="Consolas"/>
                      <w:sz w:val="17"/>
                    </w:rPr>
                    <w:t>#DC2626</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18]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DS3231</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19]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한 가지 대가를 적어 둔다.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20]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21]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21의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릴레이 경로의 추가</w:t>
            </w:r>
          </w:p>
          <w:p>
            <w:pPr>
              <w:spacing w:after="80" w:line="276" w:lineRule="auto"/>
              <w:jc w:val="both"/>
            </w:pPr>
            <w:r>
              <w:rPr>
                <w:rFonts w:ascii="Times New Roman" w:hAnsi="Times New Roman" w:eastAsia="바탕"/>
                <w:sz w:val="20"/>
              </w:rPr>
              <w:t>표 21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DS3231 이 안다. 릴레이가 멎었든, 닿지 않든, 아예 설정되지 않았든 누구의 복용도 놓치지 않는다. 표 21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 판독은 팀에서 만든 OpenCV 파서가 수행한다.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22]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22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15" name="Picture 15"/>
                  <wp:cNvGraphicFramePr>
                    <a:graphicFrameLocks noChangeAspect="1"/>
                  </wp:cNvGraphicFramePr>
                  <a:graphic>
                    <a:graphicData uri="http://schemas.openxmlformats.org/drawingml/2006/picture">
                      <pic:pic>
                        <pic:nvPicPr>
                          <pic:cNvPr id="0" name="fig14_formsheet.png"/>
                          <pic:cNvPicPr/>
                        </pic:nvPicPr>
                        <pic:blipFill>
                          <a:blip r:embed="rId29"/>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23]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24]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25]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11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여기에도 조건이 붙는다. 본 프로젝트는 개발 전 과정에서 AI 코딩 도구를 사용했으며, 이를 숨기지 않는다. 도구가 만든 것을 그대로 둔 곳은 없다. 이 문서가 기록한 결함들, 이를테면 인용 37종 가운데 12종이 원문과 달랐던 것이나(§5.9), 형태소 검사기가 고리 넷을 "네 개" 로 통과시킨 것(§5.2)이 모두 사람이 다시 확인해 찾은 것이다.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26]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27]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16" name="Picture 16"/>
                  <wp:cNvGraphicFramePr>
                    <a:graphicFrameLocks noChangeAspect="1"/>
                  </wp:cNvGraphicFramePr>
                  <a:graphic>
                    <a:graphicData uri="http://schemas.openxmlformats.org/drawingml/2006/picture">
                      <pic:pic>
                        <pic:nvPicPr>
                          <pic:cNvPr id="0" name="chart06_formative.png"/>
                          <pic:cNvPicPr/>
                        </pic:nvPicPr>
                        <pic:blipFill>
                          <a:blip r:embed="rId3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28]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29]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17" name="Picture 17"/>
                  <wp:cNvGraphicFramePr>
                    <a:graphicFrameLocks noChangeAspect="1"/>
                  </wp:cNvGraphicFramePr>
                  <a:graphic>
                    <a:graphicData uri="http://schemas.openxmlformats.org/drawingml/2006/picture">
                      <pic:pic>
                        <pic:nvPicPr>
                          <pic:cNvPr id="0" name="chart07_glyph_check.png"/>
                          <pic:cNvPicPr/>
                        </pic:nvPicPr>
                        <pic:blipFill>
                          <a:blip r:embed="rId3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30]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31]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32]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18" name="Picture 18"/>
                  <wp:cNvGraphicFramePr>
                    <a:graphicFrameLocks noChangeAspect="1"/>
                  </wp:cNvGraphicFramePr>
                  <a:graphic>
                    <a:graphicData uri="http://schemas.openxmlformats.org/drawingml/2006/picture">
                      <pic:pic>
                        <pic:nvPicPr>
                          <pic:cNvPr id="0" name="chart08_model_mae.png"/>
                          <pic:cNvPicPr/>
                        </pic:nvPicPr>
                        <pic:blipFill>
                          <a:blip r:embed="rId3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33]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34]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적어 둔다.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어떻게 물었는가</w:t>
            </w:r>
          </w:p>
          <w:p>
            <w:pPr>
              <w:spacing w:after="80" w:line="276" w:lineRule="auto"/>
              <w:jc w:val="both"/>
            </w:pPr>
            <w:r>
              <w:rPr>
                <w:rFonts w:ascii="Times New Roman" w:hAnsi="Times New Roman" w:eastAsia="바탕"/>
                <w:sz w:val="20"/>
              </w:rPr>
              <w:t>여덟 영역으로 나누어 병렬로 명단을 만들었다. 국내 약학대학, 국내 간호·보건, 국내 HCI·디자인, 국내 문해교육·특수교육, 해외 의약품 픽토그램 연구자, 해외 약학, 해외 HCI·접근성, 국제기구다. 항목마다 출처 URL 을 함께 적었고(599개, 고유 296개), 주소를 찾지 못한 사람은 지어내지 않고 별도 구간에 남겨 발송에서 뺐다. 최종 1,103명이며 국내 327명, 해외 776명이다.</w:t>
            </w:r>
          </w:p>
          <w:p>
            <w:pPr>
              <w:spacing w:after="80" w:line="276" w:lineRule="auto"/>
              <w:jc w:val="both"/>
            </w:pPr>
            <w:r>
              <w:rPr>
                <w:rFonts w:ascii="Times New Roman" w:hAnsi="Times New Roman" w:eastAsia="바탕"/>
                <w:sz w:val="20"/>
              </w:rPr>
              <w:t>2026년 7월 31일 04시 48분부터 07시 50분까지 182분에 걸쳐 한 통씩 따로 보냈다. 단체 메일이나 숨은참조를 쓰지 않은 것은 명단 규칙상 주소가 서로에게 노출되어서는 안 되기 때문이다. 거부된 주소는 없었다.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누가 답했는가</w:t>
            </w:r>
          </w:p>
          <w:p>
            <w:pPr>
              <w:spacing w:after="80" w:line="276" w:lineRule="auto"/>
              <w:jc w:val="both"/>
            </w:pPr>
            <w:r>
              <w:rPr>
                <w:rFonts w:ascii="Times New Roman" w:hAnsi="Times New Roman" w:eastAsia="바탕"/>
                <w:sz w:val="20"/>
              </w:rPr>
              <w:t>2026년 8월 2일 기준 34명이 답했다. 발송 대비 3.1% 이며, 자유 서술 93건이 함께 왔다.</w:t>
            </w:r>
          </w:p>
          <w:p>
            <w:pPr>
              <w:spacing w:after="80" w:line="276" w:lineRule="auto"/>
              <w:jc w:val="both"/>
            </w:pPr>
            <w:r>
              <w:rPr>
                <w:rFonts w:ascii="Times New Roman" w:hAnsi="Times New Roman" w:eastAsia="바탕"/>
                <w:sz w:val="20"/>
              </w:rPr>
              <w:t>[표 35] 응답자 구성 (n = 34)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11</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after="80" w:line="276" w:lineRule="auto"/>
              <w:jc w:val="both"/>
            </w:pPr>
            <w:r>
              <w:rPr>
                <w:rFonts w:ascii="Times New Roman" w:hAnsi="Times New Roman" w:eastAsia="바탕"/>
                <w:sz w:val="20"/>
              </w:rPr>
              <w:t>한국 16명을 포함해 다섯 대륙 19개국에서 왔다.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36] 응답자 34명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(11명)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44%(15명)가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37] 글을 읽지 못하는 환자가 이 화면만으로 혼자 약을 제대로 복용할 수 있겠는가 (판단 자격 다섯 구획,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16</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11명 중 8명이 이 앱이 만든 지시를 약사가 매번 검토해야 한다고 답했고, 처음 한 번이면 충분하다는 답이 3명이었다. 놓일 자리로는 약사 설명을 보조하는 도구 6명, 환자가 집에서 혼자 확인하는 수단 3명, 약사가 닿지 못하는 환자의 대체 경로 2명이다. 의학적으로 가장 틀리면 안 되는 것으로는 복용량과 횟수 6명, 병용금기와 상호작용 3명을 꼽았다.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전제에 대한 지적이다.</w:t>
            </w:r>
          </w:p>
          <w:p>
            <w:pPr>
              <w:spacing w:before="120" w:after="20"/>
            </w:pPr>
            <w:r>
              <w:rPr>
                <w:rFonts w:ascii="Times New Roman" w:hAnsi="Times New Roman" w:eastAsia="바탕"/>
                <w:b/>
                <w:sz w:val="21"/>
              </w:rPr>
              <w:t>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80" w:line="276" w:lineRule="auto"/>
              <w:jc w:val="both"/>
            </w:pPr>
            <w:r>
              <w:rPr>
                <w:rFonts w:ascii="Times New Roman" w:hAnsi="Times New Roman" w:eastAsia="바탕"/>
                <w:sz w:val="20"/>
              </w:rPr>
              <w:t>&gt; "처방전은 임신 중 사용하지 말라고 적혀 있는데 픽토그램은 임신부를 보여주어 환자가 임신 중 사용해도 안전하다고 생각하게 만든다."</w:t>
            </w:r>
          </w:p>
          <w:p>
            <w:pPr>
              <w:spacing w:after="80" w:line="276" w:lineRule="auto"/>
              <w:jc w:val="both"/>
            </w:pPr>
            <w:r>
              <w:rPr>
                <w:rFonts w:ascii="Times New Roman" w:hAnsi="Times New Roman" w:eastAsia="바탕"/>
                <w:sz w:val="20"/>
              </w:rPr>
              <w:t>&gt; — Atif Usman 교수, The Islamia University of Bahawalpur</w:t>
            </w:r>
          </w:p>
          <w:p>
            <w:pPr>
              <w:spacing w:after="80" w:line="276" w:lineRule="auto"/>
              <w:jc w:val="both"/>
            </w:pPr>
            <w:r>
              <w:rPr>
                <w:rFonts w:ascii="Times New Roman" w:hAnsi="Times New Roman" w:eastAsia="바탕"/>
                <w:sz w:val="20"/>
              </w:rPr>
              <w:t>&gt; "임신부 상징을 넣는 것만으로는 안전하지 않다는 뜻이 되지 않으니 X 표시를 넣어야 한다."</w:t>
            </w:r>
          </w:p>
          <w:p>
            <w:pPr>
              <w:spacing w:after="80" w:line="276" w:lineRule="auto"/>
              <w:jc w:val="both"/>
            </w:pPr>
            <w:r>
              <w:rPr>
                <w:rFonts w:ascii="Times New Roman" w:hAnsi="Times New Roman" w:eastAsia="바탕"/>
                <w:sz w:val="20"/>
              </w:rPr>
              <w:t>&gt; — Sheron Sir Loon Goh 약학 전임강사, Department of Clinical Pharmacy and Pharmacy Practice</w:t>
            </w:r>
          </w:p>
          <w:p>
            <w:pPr>
              <w:spacing w:after="80" w:line="276" w:lineRule="auto"/>
              <w:jc w:val="both"/>
            </w:pPr>
            <w:r>
              <w:rPr>
                <w:rFonts w:ascii="Times New Roman" w:hAnsi="Times New Roman" w:eastAsia="바탕"/>
                <w:sz w:val="20"/>
              </w:rPr>
              <w:t>우크라이나의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적었다.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80" w:line="276" w:lineRule="auto"/>
              <w:jc w:val="both"/>
            </w:pPr>
            <w:r>
              <w:rPr>
                <w:rFonts w:ascii="Times New Roman" w:hAnsi="Times New Roman" w:eastAsia="바탕"/>
                <w:sz w:val="20"/>
              </w:rPr>
              <w:t>&gt; "검은 점이 끝까지 차 있지 않으므로 나에게는 완주하지 않아도 된다는 뜻으로 읽힌다."</w:t>
            </w:r>
          </w:p>
          <w:p>
            <w:pPr>
              <w:spacing w:after="80" w:line="276" w:lineRule="auto"/>
              <w:jc w:val="both"/>
            </w:pPr>
            <w:r>
              <w:rPr>
                <w:rFonts w:ascii="Times New Roman" w:hAnsi="Times New Roman" w:eastAsia="바탕"/>
                <w:sz w:val="20"/>
              </w:rPr>
              <w:t>&gt; — Sheron Sir Loon Goh</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§5.7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이용한 한국공예디자인문화진흥원 선임은 두세 개로 나누어 설명하는 방법을 제안했다. 이는 §2.2 에서 머리 안쪽 슬롯에 수식어를 넣도록 설계한 SIGIL 의 구조 자체에 대한 지적이다.</w:t>
            </w:r>
          </w:p>
          <w:p>
            <w:pPr>
              <w:spacing w:after="80" w:line="276" w:lineRule="auto"/>
              <w:jc w:val="both"/>
            </w:pPr>
            <w:r>
              <w:rPr>
                <w:rFonts w:ascii="Times New Roman" w:hAnsi="Times New Roman" w:eastAsia="바탕"/>
                <w:sz w:val="20"/>
              </w:rPr>
              <w:t>대상 인구가 우리 전제와 다르다 는 지적이 다섯 건이다. 이용한 선임은 "글을 읽지 못하는 사람 가운데 가장 많은 수는 문맹이 아닌 시각장애인일 것이며, 시각장애인에게는 사진을 찍는 행위 자체가 장애 요소가 된다" 고 적었다. 인도네시아의 Niken Nur Widyakusuma 약사도 시각장애 환자를 훨씬 많이 본다고 답했고, 윤휘열 충남대학교 약학대학 교수는 한국에서는 주로 외국인 환자라고 적었다. §1.5 에서 "글을 읽을 수 있다 해도 그 글이 자기 언어라는 보장이 없다" 고 쓴 것과 같은 방향이며, 우리가 대상을 좁게 잡았다는 뜻이다.</w:t>
            </w:r>
          </w:p>
          <w:p>
            <w:pPr>
              <w:spacing w:before="120" w:after="20"/>
            </w:pPr>
            <w:r>
              <w:rPr>
                <w:rFonts w:ascii="Times New Roman" w:hAnsi="Times New Roman" w:eastAsia="바탕"/>
                <w:b/>
                <w:sz w:val="21"/>
              </w:rPr>
              <w:t>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적었다. 우리는 인쇄된 표본으로만 시험했다.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Draffan(Global Symbols)은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이는 §3.7 에서 색을 판정에만 쓰고 형태소는 흑백으로 둔 결정에 대한 지적이다.</w:t>
            </w:r>
          </w:p>
          <w:p>
            <w:pPr>
              <w:spacing w:after="80" w:line="276" w:lineRule="auto"/>
              <w:jc w:val="both"/>
            </w:pPr>
            <w:r>
              <w:rPr>
                <w:rFonts w:ascii="Times New Roman" w:hAnsi="Times New Roman" w:eastAsia="바탕"/>
                <w:sz w:val="20"/>
              </w:rPr>
              <w:t>Atif Usman 교수와 윤휘열 교수는 기존 픽토그램 세트를 참조하라고 적었다.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before="120" w:after="20"/>
            </w:pPr>
            <w:r>
              <w:rPr>
                <w:rFonts w:ascii="Times New Roman" w:hAnsi="Times New Roman" w:eastAsia="바탕"/>
                <w:b/>
                <w:sz w:val="21"/>
              </w:rPr>
              <w:t>이 조사의 한계</w:t>
            </w:r>
          </w:p>
          <w:p>
            <w:pPr>
              <w:spacing w:after="80" w:line="276" w:lineRule="auto"/>
              <w:jc w:val="both"/>
            </w:pPr>
            <w:r>
              <w:rPr>
                <w:rFonts w:ascii="Times New Roman" w:hAnsi="Times New Roman" w:eastAsia="바탕"/>
                <w:sz w:val="20"/>
              </w:rPr>
              <w:t>표본이 자기선택적이다. 1,103명 중 34명이 답했고, 답한 사람은 이 주제에 관심이 있는 사람이다. 답하지 않은 1,069명의 판단은 알 수 없다.</w:t>
            </w:r>
          </w:p>
          <w:p>
            <w:pPr>
              <w:spacing w:after="80" w:line="276" w:lineRule="auto"/>
              <w:jc w:val="both"/>
            </w:pPr>
            <w:r>
              <w:rPr>
                <w:rFonts w:ascii="Times New Roman" w:hAnsi="Times New Roman" w:eastAsia="바탕"/>
                <w:sz w:val="20"/>
              </w:rPr>
              <w:t>분모가 작다. 가장 큰 구획인 약국이 11명이다. 백분율로 적으면 한 사람이 9%p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38]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 2019년 기준 세균 내성에 직접 기인한 사망은 127만 명으로 HIV/AIDS 나 말라리아보다 많았다 (Murray et al.,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둘째, 문화 적응이 검증되지 않았다.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39]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34명이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§5.7 에서 지적된 결함의 수정</w:t>
                  </w:r>
                </w:p>
              </w:tc>
              <w:tc>
                <w:tcPr>
                  <w:tcW w:type="dxa" w:w="3238"/>
                </w:tcPr>
                <w:p>
                  <w:r>
                    <w:rPr>
                      <w:rFonts w:ascii="Times New Roman" w:hAnsi="Times New Roman" w:eastAsia="바탕"/>
                      <w:sz w:val="18"/>
                    </w:rPr>
                    <w:t xml:space="preserve">금기에 </w:t>
                  </w:r>
                  <w:r>
                    <w:rPr>
                      <w:rFonts w:ascii="Consolas" w:hAnsi="Consolas" w:eastAsia="Consolas"/>
                      <w:sz w:val="17"/>
                    </w:rPr>
                    <w:t>\no{}</w:t>
                  </w:r>
                  <w:r>
                    <w:rPr>
                      <w:rFonts w:ascii="Times New Roman" w:hAnsi="Times New Roman" w:eastAsia="바탕"/>
                      <w:sz w:val="18"/>
                    </w:rPr>
                    <w:t xml:space="preserve"> 적용, </w:t>
                  </w:r>
                  <w:r>
                    <w:rPr>
                      <w:rFonts w:ascii="Consolas" w:hAnsi="Consolas" w:eastAsia="Consolas"/>
                      <w:sz w:val="17"/>
                    </w:rPr>
                    <w:t>finish_course</w:t>
                  </w:r>
                  <w:r>
                    <w:rPr>
                      <w:rFonts w:ascii="Times New Roman" w:hAnsi="Times New Roman" w:eastAsia="바탕"/>
                      <w:sz w:val="18"/>
                    </w:rPr>
                    <w:t xml:space="preserve"> 재설계, 한 장의 요소 수 축소</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있다는 점도 적어 둔다.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