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(WHO,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(WHO,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11명 가운데 8명이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또 하나의 전제가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9" name="Picture 9"/>
                  <wp:cNvGraphicFramePr>
                    <a:graphicFrameLocks noChangeAspect="1"/>
                  </wp:cNvGraphicFramePr>
                  <a:graphic>
                    <a:graphicData uri="http://schemas.openxmlformats.org/drawingml/2006/picture">
                      <pic:pic>
                        <pic:nvPicPr>
                          <pic:cNvPr id="0" name="chart16_symbol_country.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같은 국제 표준 기호를 네 나라에 시험한 결과 (Hermans 등,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10" name="Picture 10"/>
                  <wp:cNvGraphicFramePr>
                    <a:graphicFrameLocks noChangeAspect="1"/>
                  </wp:cNvGraphicFramePr>
                  <a:graphic>
                    <a:graphicData uri="http://schemas.openxmlformats.org/drawingml/2006/picture">
                      <pic:pic>
                        <pic:nvPicPr>
                          <pic:cNvPr id="0" name="chart05_pictogram_pass.png"/>
                          <pic:cNvPicPr/>
                        </pic:nvPicPr>
                        <pic:blipFill>
                          <a:blip r:embed="rId2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같은 라이선스에 한 조항이 더 있다. 픽토그램을 환자에게 정보를 전달하는 유일한 수단으로 쓰지 말 것. 표준을 만든 쪽이 그림 하나로는 부족하다고 적어 둔 것이며, 이는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1" name="Picture 11"/>
                  <wp:cNvGraphicFramePr>
                    <a:graphicFrameLocks noChangeAspect="1"/>
                  </wp:cNvGraphicFramePr>
                  <a:graphic>
                    <a:graphicData uri="http://schemas.openxmlformats.org/drawingml/2006/picture">
                      <pic:pic>
                        <pic:nvPicPr>
                          <pic:cNvPr id="0" name="fig01_home.png"/>
                          <pic:cNvPicPr/>
                        </pic:nvPicPr>
                        <pic:blipFill>
                          <a:blip r:embed="rId25"/>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2" name="Picture 12"/>
                  <wp:cNvGraphicFramePr>
                    <a:graphicFrameLocks noChangeAspect="1"/>
                  </wp:cNvGraphicFramePr>
                  <a:graphic>
                    <a:graphicData uri="http://schemas.openxmlformats.org/drawingml/2006/picture">
                      <pic:pic>
                        <pic:nvPicPr>
                          <pic:cNvPr id="0" name="chart17_morpheme_map.png"/>
                          <pic:cNvPicPr/>
                        </pic:nvPicPr>
                        <pic:blipFill>
                          <a:blip r:embed="rId2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3" name="Picture 13"/>
                  <wp:cNvGraphicFramePr>
                    <a:graphicFrameLocks noChangeAspect="1"/>
                  </wp:cNvGraphicFramePr>
                  <a:graphic>
                    <a:graphicData uri="http://schemas.openxmlformats.org/drawingml/2006/picture">
                      <pic:pic>
                        <pic:nvPicPr>
                          <pic:cNvPr id="0" name="fig02_sigil_sheet.png"/>
                          <pic:cNvPicPr/>
                        </pic:nvPicPr>
                        <pic:blipFill>
                          <a:blip r:embed="rId27"/>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4" name="Picture 14"/>
                  <wp:cNvGraphicFramePr>
                    <a:graphicFrameLocks noChangeAspect="1"/>
                  </wp:cNvGraphicFramePr>
                  <a:graphic>
                    <a:graphicData uri="http://schemas.openxmlformats.org/drawingml/2006/picture">
                      <pic:pic>
                        <pic:nvPicPr>
                          <pic:cNvPr id="0" name="fig03_dsl.png"/>
                          <pic:cNvPicPr/>
                        </pic:nvPicPr>
                        <pic:blipFill>
                          <a:blip r:embed="rId28"/>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5" name="Picture 15"/>
                  <wp:cNvGraphicFramePr>
                    <a:graphicFrameLocks noChangeAspect="1"/>
                  </wp:cNvGraphicFramePr>
                  <a:graphic>
                    <a:graphicData uri="http://schemas.openxmlformats.org/drawingml/2006/picture">
                      <pic:pic>
                        <pic:nvPicPr>
                          <pic:cNvPr id="0" name="fig15_voca.png"/>
                          <pic:cNvPicPr/>
                        </pic:nvPicPr>
                        <pic:blipFill>
                          <a:blip r:embed="rId29"/>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18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6" name="Picture 16"/>
                  <wp:cNvGraphicFramePr>
                    <a:graphicFrameLocks noChangeAspect="1"/>
                  </wp:cNvGraphicFramePr>
                  <a:graphic>
                    <a:graphicData uri="http://schemas.openxmlformats.org/drawingml/2006/picture">
                      <pic:pic>
                        <pic:nvPicPr>
                          <pic:cNvPr id="0" name="fig15_verdict_flow.png"/>
                          <pic:cNvPicPr/>
                        </pic:nvPicPr>
                        <pic:blipFill>
                          <a:blip r:embed="rId30"/>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17" name="Picture 17"/>
                  <wp:cNvGraphicFramePr>
                    <a:graphicFrameLocks noChangeAspect="1"/>
                  </wp:cNvGraphicFramePr>
                  <a:graphic>
                    <a:graphicData uri="http://schemas.openxmlformats.org/drawingml/2006/picture">
                      <pic:pic>
                        <pic:nvPicPr>
                          <pic:cNvPr id="0" name="fig16_conditions.png"/>
                          <pic:cNvPicPr/>
                        </pic:nvPicPr>
                        <pic:blipFill>
                          <a:blip r:embed="rId3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8" name="Picture 18"/>
                  <wp:cNvGraphicFramePr>
                    <a:graphicFrameLocks noChangeAspect="1"/>
                  </wp:cNvGraphicFramePr>
                  <a:graphic>
                    <a:graphicData uri="http://schemas.openxmlformats.org/drawingml/2006/picture">
                      <pic:pic>
                        <pic:nvPicPr>
                          <pic:cNvPr id="0" name="panelA_flow.png"/>
                          <pic:cNvPicPr/>
                        </pic:nvPicPr>
                        <pic:blipFill>
                          <a:blip r:embed="rId32"/>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9" name="Picture 19"/>
                  <wp:cNvGraphicFramePr>
                    <a:graphicFrameLocks noChangeAspect="1"/>
                  </wp:cNvGraphicFramePr>
                  <a:graphic>
                    <a:graphicData uri="http://schemas.openxmlformats.org/drawingml/2006/picture">
                      <pic:pic>
                        <pic:nvPicPr>
                          <pic:cNvPr id="0" name="panelB_nutrition.png"/>
                          <pic:cNvPicPr/>
                        </pic:nvPicPr>
                        <pic:blipFill>
                          <a:blip r:embed="rId33"/>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0" name="Picture 20"/>
                  <wp:cNvGraphicFramePr>
                    <a:graphicFrameLocks noChangeAspect="1"/>
                  </wp:cNvGraphicFramePr>
                  <a:graphic>
                    <a:graphicData uri="http://schemas.openxmlformats.org/drawingml/2006/picture">
                      <pic:pic>
                        <pic:nvPicPr>
                          <pic:cNvPr id="0" name="fig10_dispenser.png"/>
                          <pic:cNvPicPr/>
                        </pic:nvPicPr>
                        <pic:blipFill>
                          <a:blip r:embed="rId34"/>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1" name="Picture 21"/>
                  <wp:cNvGraphicFramePr>
                    <a:graphicFrameLocks noChangeAspect="1"/>
                  </wp:cNvGraphicFramePr>
                  <a:graphic>
                    <a:graphicData uri="http://schemas.openxmlformats.org/drawingml/2006/picture">
                      <pic:pic>
                        <pic:nvPicPr>
                          <pic:cNvPr id="0" name="fig11_userflow.png"/>
                          <pic:cNvPicPr/>
                        </pic:nvPicPr>
                        <pic:blipFill>
                          <a:blip r:embed="rId35"/>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2" name="Picture 22"/>
                  <wp:cNvGraphicFramePr>
                    <a:graphicFrameLocks noChangeAspect="1"/>
                  </wp:cNvGraphicFramePr>
                  <a:graphic>
                    <a:graphicData uri="http://schemas.openxmlformats.org/drawingml/2006/picture">
                      <pic:pic>
                        <pic:nvPicPr>
                          <pic:cNvPr id="0" name="panelC_onboarding.png"/>
                          <pic:cNvPicPr/>
                        </pic:nvPicPr>
                        <pic:blipFill>
                          <a:blip r:embed="rId36"/>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3" name="Picture 23"/>
                  <wp:cNvGraphicFramePr>
                    <a:graphicFrameLocks noChangeAspect="1"/>
                  </wp:cNvGraphicFramePr>
                  <a:graphic>
                    <a:graphicData uri="http://schemas.openxmlformats.org/drawingml/2006/picture">
                      <pic:pic>
                        <pic:nvPicPr>
                          <pic:cNvPr id="0" name="fig19_recognition.png"/>
                          <pic:cNvPicPr/>
                        </pic:nvPicPr>
                        <pic:blipFill>
                          <a:blip r:embed="rId37"/>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4" name="Picture 24"/>
                  <wp:cNvGraphicFramePr>
                    <a:graphicFrameLocks noChangeAspect="1"/>
                  </wp:cNvGraphicFramePr>
                  <a:graphic>
                    <a:graphicData uri="http://schemas.openxmlformats.org/drawingml/2006/picture">
                      <pic:pic>
                        <pic:nvPicPr>
                          <pic:cNvPr id="0" name="fig22_verdict_order.png"/>
                          <pic:cNvPicPr/>
                        </pic:nvPicPr>
                        <pic:blipFill>
                          <a:blip r:embed="rId38"/>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18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5" name="Picture 25"/>
                  <wp:cNvGraphicFramePr>
                    <a:graphicFrameLocks noChangeAspect="1"/>
                  </wp:cNvGraphicFramePr>
                  <a:graphic>
                    <a:graphicData uri="http://schemas.openxmlformats.org/drawingml/2006/picture">
                      <pic:pic>
                        <pic:nvPicPr>
                          <pic:cNvPr id="0" name="fig25_failure.png"/>
                          <pic:cNvPicPr/>
                        </pic:nvPicPr>
                        <pic:blipFill>
                          <a:blip r:embed="rId3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#15A34A</w:t>
                  </w:r>
                </w:p>
              </w:tc>
              <w:tc>
                <w:tcPr>
                  <w:tcW w:type="dxa" w:w="2429"/>
                </w:tcPr>
                <w:p>
                  <w:r>
                    <w:rPr>
                      <w:rFonts w:ascii="Times New Roman" w:hAnsi="Times New Roman" w:eastAsia="바탕"/>
                      <w:sz w:val="18"/>
                    </w:rPr>
                    <w:t xml:space="preserve">주황 </w:t>
                  </w:r>
                  <w:r>
                    <w:rPr>
                      <w:rFonts w:ascii="Consolas" w:hAnsi="Consolas" w:eastAsia="Consolas"/>
                      <w:sz w:val="17"/>
                    </w:rPr>
                    <w:t>#DE8500</w:t>
                  </w:r>
                </w:p>
              </w:tc>
              <w:tc>
                <w:tcPr>
                  <w:tcW w:type="dxa" w:w="2429"/>
                </w:tcPr>
                <w:p>
                  <w:r>
                    <w:rPr>
                      <w:rFonts w:ascii="Times New Roman" w:hAnsi="Times New Roman" w:eastAsia="바탕"/>
                      <w:sz w:val="18"/>
                    </w:rPr>
                    <w:t xml:space="preserve">빨강 </w:t>
                  </w:r>
                  <w:r>
                    <w:rPr>
                      <w:rFonts w:ascii="Consolas" w:hAnsi="Consolas" w:eastAsia="Consolas"/>
                      <w:sz w:val="17"/>
                    </w:rPr>
                    <w:t>#DC2626</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19]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20]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21]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6" name="Picture 26"/>
                  <wp:cNvGraphicFramePr>
                    <a:graphicFrameLocks noChangeAspect="1"/>
                  </wp:cNvGraphicFramePr>
                  <a:graphic>
                    <a:graphicData uri="http://schemas.openxmlformats.org/drawingml/2006/picture">
                      <pic:pic>
                        <pic:nvPicPr>
                          <pic:cNvPr id="0" name="fig17_gate.png"/>
                          <pic:cNvPicPr/>
                        </pic:nvPicPr>
                        <pic:blipFill>
                          <a:blip r:embed="rId40"/>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22]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22의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22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27" name="Picture 27"/>
                  <wp:cNvGraphicFramePr>
                    <a:graphicFrameLocks noChangeAspect="1"/>
                  </wp:cNvGraphicFramePr>
                  <a:graphic>
                    <a:graphicData uri="http://schemas.openxmlformats.org/drawingml/2006/picture">
                      <pic:pic>
                        <pic:nvPicPr>
                          <pic:cNvPr id="0" name="fig20_relay_keys.png"/>
                          <pic:cNvPicPr/>
                        </pic:nvPicPr>
                        <pic:blipFill>
                          <a:blip r:embed="rId4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22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28" name="Picture 28"/>
                  <wp:cNvGraphicFramePr>
                    <a:graphicFrameLocks noChangeAspect="1"/>
                  </wp:cNvGraphicFramePr>
                  <a:graphic>
                    <a:graphicData uri="http://schemas.openxmlformats.org/drawingml/2006/picture">
                      <pic:pic>
                        <pic:nvPicPr>
                          <pic:cNvPr id="0" name="fig23_formsheet.png"/>
                          <pic:cNvPicPr/>
                        </pic:nvPicPr>
                        <pic:blipFill>
                          <a:blip r:embed="rId4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23]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23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29" name="Picture 29"/>
                  <wp:cNvGraphicFramePr>
                    <a:graphicFrameLocks noChangeAspect="1"/>
                  </wp:cNvGraphicFramePr>
                  <a:graphic>
                    <a:graphicData uri="http://schemas.openxmlformats.org/drawingml/2006/picture">
                      <pic:pic>
                        <pic:nvPicPr>
                          <pic:cNvPr id="0" name="fig14_formsheet.png"/>
                          <pic:cNvPicPr/>
                        </pic:nvPicPr>
                        <pic:blipFill>
                          <a:blip r:embed="rId43"/>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1_sw.png"/>
                          <pic:cNvPicPr/>
                        </pic:nvPicPr>
                        <pic:blipFill>
                          <a:blip r:embed="rId44"/>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24]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1" name="Picture 31"/>
                  <wp:cNvGraphicFramePr>
                    <a:graphicFrameLocks noChangeAspect="1"/>
                  </wp:cNvGraphicFramePr>
                  <a:graphic>
                    <a:graphicData uri="http://schemas.openxmlformats.org/drawingml/2006/picture">
                      <pic:pic>
                        <pic:nvPicPr>
                          <pic:cNvPr id="0" name="fig24_sign.png"/>
                          <pic:cNvPicPr/>
                        </pic:nvPicPr>
                        <pic:blipFill>
                          <a:blip r:embed="rId45"/>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25]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26]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19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27]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28]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2" name="Picture 32"/>
                  <wp:cNvGraphicFramePr>
                    <a:graphicFrameLocks noChangeAspect="1"/>
                  </wp:cNvGraphicFramePr>
                  <a:graphic>
                    <a:graphicData uri="http://schemas.openxmlformats.org/drawingml/2006/picture">
                      <pic:pic>
                        <pic:nvPicPr>
                          <pic:cNvPr id="0" name="chart06_formative.png"/>
                          <pic:cNvPicPr/>
                        </pic:nvPicPr>
                        <pic:blipFill>
                          <a:blip r:embed="rId46"/>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29]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3" name="Picture 33"/>
                  <wp:cNvGraphicFramePr>
                    <a:graphicFrameLocks noChangeAspect="1"/>
                  </wp:cNvGraphicFramePr>
                  <a:graphic>
                    <a:graphicData uri="http://schemas.openxmlformats.org/drawingml/2006/picture">
                      <pic:pic>
                        <pic:nvPicPr>
                          <pic:cNvPr id="0" name="fig18_pictogram_gate.png"/>
                          <pic:cNvPicPr/>
                        </pic:nvPicPr>
                        <pic:blipFill>
                          <a:blip r:embed="rId4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30]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4" name="Picture 34"/>
                  <wp:cNvGraphicFramePr>
                    <a:graphicFrameLocks noChangeAspect="1"/>
                  </wp:cNvGraphicFramePr>
                  <a:graphic>
                    <a:graphicData uri="http://schemas.openxmlformats.org/drawingml/2006/picture">
                      <pic:pic>
                        <pic:nvPicPr>
                          <pic:cNvPr id="0" name="chart07_glyph_check.png"/>
                          <pic:cNvPicPr/>
                        </pic:nvPicPr>
                        <pic:blipFill>
                          <a:blip r:embed="rId4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31]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32]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33]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34]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5" name="Picture 35"/>
                  <wp:cNvGraphicFramePr>
                    <a:graphicFrameLocks noChangeAspect="1"/>
                  </wp:cNvGraphicFramePr>
                  <a:graphic>
                    <a:graphicData uri="http://schemas.openxmlformats.org/drawingml/2006/picture">
                      <pic:pic>
                        <pic:nvPicPr>
                          <pic:cNvPr id="0" name="chart08_model_mae.png"/>
                          <pic:cNvPicPr/>
                        </pic:nvPicPr>
                        <pic:blipFill>
                          <a:blip r:embed="rId49"/>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35]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36]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어떻게 물었는가</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37]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38]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chart15_survey_who.png"/>
                          <pic:cNvPicPr/>
                        </pic:nvPicPr>
                        <pic:blipFill>
                          <a:blip r:embed="rId5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응답자 34명의 구성. 왼쪽이 분야, 오른쪽이 대륙이다. 약국과 간호가 20명으로 3분의 2를 차지하는데, 이 둘이 데모를 보고 환자의 이해를 판정할 자격이 있다고 본 다섯 구획의 중심이다. 아시아가 24명인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19개국이며, 한국만 적은 사람이 16명이다.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39]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40]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41]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chart10_survey.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42]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이용한 한국공예디자인문화진흥원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Draffan(Global Symbols)은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43]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18_field_answers.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약국 11명과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11명 가운데 9명이 그림과 음성만으로는 전달하면 안 되는 것이 있다고 답했다. 병용금기와 상호작용이 4명,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 마감 앞에서 다시 그리는 것은 도박이라 손대지 않고 §5.10 의 현지 평가로 넘겼다.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시험은 231개에서 257개가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34명 중 29명이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44]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w:t>
            </w:r>
          </w:p>
          <w:p>
            <w:pPr>
              <w:spacing w:after="80" w:line="276" w:lineRule="auto"/>
              <w:jc w:val="both"/>
            </w:pPr>
            <w:r>
              <w:rPr>
                <w:rFonts w:ascii="Times New Roman" w:hAnsi="Times New Roman" w:eastAsia="바탕"/>
                <w:sz w:val="20"/>
              </w:rPr>
              <w:t>지역별로 보면 이 문제도 우리가 대상으로 삼는 곳에 몰려 있다. 동남아시아와 동지중해 지역에서는 보고된 감염 셋 중 하나가 내성을 보였고, 아프리카에서는 다섯 중 하나, 아메리카에서는 일곱 중 하나다 (WHO GLASS,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4_amr_region.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보고된 세균 감염 중 항생제 내성 비율 (WHO GLASS,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45]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표시와 </w:t>
                  </w:r>
                  <w:r>
                    <w:rPr>
                      <w:rFonts w:ascii="Consolas" w:hAnsi="Consolas" w:eastAsia="Consolas"/>
                      <w:sz w:val="17"/>
                    </w:rPr>
                    <w:t>finish_course</w:t>
                  </w:r>
                  <w:r>
                    <w:rPr>
                      <w:rFonts w:ascii="Times New Roman" w:hAnsi="Times New Roman" w:eastAsia="바탕"/>
                      <w:sz w:val="18"/>
                    </w:rPr>
                    <w:t xml:space="preserve"> 는 고쳤다. 한 장의 요소 수 상한은 현지 평가 뒤에 정한다</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after="80" w:line="276" w:lineRule="auto"/>
              <w:jc w:val="both"/>
            </w:pPr>
            <w:r>
              <w:rPr>
                <w:rFonts w:ascii="Times New Roman" w:hAnsi="Times New Roman" w:eastAsia="바탕"/>
                <w:sz w:val="20"/>
              </w:rPr>
              <w:t>&lt;!-- 부록 시작. survey_appendix.py 가 생성한다. 손으로 고치지 말 것 --&gt;</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이교구</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3238"/>
                </w:tcPr>
                <w:p>
                  <w:r>
                    <w:rPr>
                      <w:rFonts w:ascii="Times New Roman" w:hAnsi="Times New Roman" w:eastAsia="바탕"/>
                      <w:sz w:val="18"/>
                    </w:rPr>
                    <w:t>(성함 비공개)</w:t>
                  </w:r>
                </w:p>
              </w:tc>
              <w:tc>
                <w:tcPr>
                  <w:tcW w:type="dxa" w:w="3238"/>
                </w:tcPr>
                <w:p>
                  <w:r>
                    <w:rPr>
                      <w:rFonts w:ascii="Times New Roman" w:hAnsi="Times New Roman" w:eastAsia="바탕"/>
                      <w:sz w:val="18"/>
                    </w:rPr>
                    <w:t>GC메디아이 의사랑 서비스센터</w:t>
                  </w:r>
                </w:p>
              </w:tc>
              <w:tc>
                <w:tcPr>
                  <w:tcW w:type="dxa" w:w="3238"/>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3238"/>
                </w:tcPr>
                <w:p>
                  <w:r>
                    <w:rPr>
                      <w:rFonts w:ascii="Times New Roman" w:hAnsi="Times New Roman" w:eastAsia="바탕"/>
                      <w:sz w:val="18"/>
                    </w:rPr>
                    <w:t>박경서</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3238"/>
                </w:tcPr>
                <w:p>
                  <w:r>
                    <w:rPr>
                      <w:rFonts w:ascii="Times New Roman" w:hAnsi="Times New Roman" w:eastAsia="바탕"/>
                      <w:sz w:val="18"/>
                    </w:rPr>
                    <w:t>서희정</w:t>
                  </w:r>
                </w:p>
              </w:tc>
              <w:tc>
                <w:tcPr>
                  <w:tcW w:type="dxa" w:w="3238"/>
                </w:tcPr>
                <w:p>
                  <w:r>
                    <w:rPr>
                      <w:rFonts w:ascii="Times New Roman" w:hAnsi="Times New Roman" w:eastAsia="바탕"/>
                      <w:sz w:val="18"/>
                    </w:rPr>
                    <w:t>동의대학교</w:t>
                  </w:r>
                </w:p>
              </w:tc>
              <w:tc>
                <w:tcPr>
                  <w:tcW w:type="dxa" w:w="3238"/>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3238"/>
                </w:tcPr>
                <w:p>
                  <w:r>
                    <w:rPr>
                      <w:rFonts w:ascii="Times New Roman" w:hAnsi="Times New Roman" w:eastAsia="바탕"/>
                      <w:sz w:val="18"/>
                    </w:rPr>
                    <w:t>이경화</w:t>
                  </w:r>
                </w:p>
              </w:tc>
              <w:tc>
                <w:tcPr>
                  <w:tcW w:type="dxa" w:w="3238"/>
                </w:tcPr>
                <w:p>
                  <w:r>
                    <w:rPr>
                      <w:rFonts w:ascii="Times New Roman" w:hAnsi="Times New Roman" w:eastAsia="바탕"/>
                      <w:sz w:val="18"/>
                    </w:rPr>
                    <w:t>숭실대학교</w:t>
                  </w:r>
                </w:p>
              </w:tc>
              <w:tc>
                <w:tcPr>
                  <w:tcW w:type="dxa" w:w="3238"/>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나라마다 상황이 다른 점을 앞으로 반영할 계획 필요</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그림이 무슨 뜻인지 모르거나 잘못 해석할 수 있음</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유명순</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절반의 그림</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환자에게 불필요한 정보를 주어 약물치료를 중단하는 사례도 있을 수 있을 것 같음.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https://health.kr/mediCounsel/pictogram.asp 전세계약사들을 위한 픽토그램 정보를 확인하실 수 있습니다.</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만성질환이 많은 노인대상자들이라면 복약순응도가 높아지면 건강결과는 바뀔수 있습니다.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위 1,2,3 모두 가능</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환자와 보호자가 동시에 이해할 수 있도록 구성해야 합니다.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sz w:val="20"/>
              </w:rPr>
              <w:t>&lt;!-- 부록 끝 --&gt;</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