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The expert responses quoted from this section onward are not carried over from someone else's survey; we collected them ourselves. Over three hours before dawn on 31 July 2026 we sent 1,103 individual emails, each carrying a different link that opened a working demonstration of the app together with the questions. Thirty-nine people answered, all consenting to be quoted by name and affiliation, and all 124 free-text answers are reproduced in full in §5.11. How the list was built and how it was sent are in §5.7.1 and §5.7.2. Every quotation below comes from that survey, and the question it answers is named with it.</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gathering survey results from 18 countries, wrote that at least one third show low health literacy (in 12 of those countries the proportion passes half), while noting in the same report that the instruments differ by country and the results are not directly comparable across them,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after="80" w:line="276" w:lineRule="auto"/>
              <w:jc w:val="both"/>
            </w:pPr>
            <w:r>
              <w:rPr>
                <w:rFonts w:ascii="Times New Roman" w:hAnsi="Times New Roman" w:eastAsia="바탕"/>
                <w:sz w:val="20"/>
              </w:rPr>
              <w:t>The misreading this section counted from the literature we observed in our own pictures too. Asked how the whole looked from a pharmacy standpoint, Sheron Sir Loon Goh, Pharmacy Lecturer at the Department of Clinical Pharmacy and Pharmacy Practice, pointed at two things:</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The first is this section's "how much" error and the second its contraindication error. The top types in Table 4 reproduced themselves in our own pictures, which is where the distribution in the literature stopped being someone else's story.</w:t>
            </w:r>
          </w:p>
          <w:p>
            <w:pPr>
              <w:spacing w:after="80" w:line="276" w:lineRule="auto"/>
              <w:jc w:val="both"/>
            </w:pPr>
            <w:r>
              <w:rPr>
                <w:rFonts w:ascii="Times New Roman" w:hAnsi="Times New Roman" w:eastAsia="바탕"/>
                <w:sz w:val="20"/>
              </w:rPr>
              <w:t xml:space="preserve">The second is the heavier one. A pregnancy symbol with no prohibition mark can be read as "safe in pregnancy". That is not meaning going vague but meaning </w:t>
            </w:r>
            <w:r>
              <w:rPr>
                <w:rFonts w:ascii="Times New Roman" w:hAnsi="Times New Roman" w:eastAsia="바탕"/>
                <w:b/>
                <w:sz w:val="20"/>
              </w:rPr>
              <w:t>inverting</w:t>
            </w:r>
            <w:r>
              <w:rPr>
                <w:rFonts w:ascii="Times New Roman" w:hAnsi="Times New Roman" w:eastAsia="바탕"/>
                <w:sz w:val="20"/>
              </w:rPr>
              <w:t>, and it is why ANSI Z535.3 requires critical-confusion errors below 5%. Dividing the prohibition marking into three by the nature of the flag in §5.2 was the result of taking this point.</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errors attached to those 421 preventable events arose in, prescribing is 58.4%, monitoring 60.8%, and </w:t>
            </w:r>
            <w:r>
              <w:rPr>
                <w:rFonts w:ascii="Times New Roman" w:hAnsi="Times New Roman" w:eastAsia="바탕"/>
                <w:b/>
                <w:sz w:val="20"/>
              </w:rPr>
              <w:t>the patient adherence stage 21.1%</w:t>
            </w:r>
            <w:r>
              <w:rPr>
                <w:rFonts w:ascii="Times New Roman" w:hAnsi="Times New Roman" w:eastAsia="바탕"/>
                <w:sz w:val="20"/>
              </w:rPr>
              <w:t xml:space="preserve">. The three add to more than 100% because a single event can involve errors at several stages. They should be read as how often each stage was implicated, not as shares of a whole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after="80" w:line="276" w:lineRule="auto"/>
              <w:jc w:val="both"/>
            </w:pPr>
            <w:r>
              <w:rPr>
                <w:rFonts w:ascii="Times New Roman" w:hAnsi="Times New Roman" w:eastAsia="바탕"/>
                <w:sz w:val="20"/>
              </w:rPr>
              <w:t>This section doubted one premise: that the user knows their own condition. The survey handed us a premise we had not doubted. Asked whether a patient who cannot read could take their medicine correctly with only these screens, Yonghan Lee, Senior Manager at the Korea Craft and Design Foundation, answered:</w:t>
            </w:r>
          </w:p>
          <w:p>
            <w:pPr>
              <w:spacing w:after="40" w:line="276" w:lineRule="auto"/>
              <w:ind w:left="403"/>
            </w:pPr>
            <w:r>
              <w:rPr>
                <w:rFonts w:ascii="Times New Roman" w:hAnsi="Times New Roman" w:eastAsia="바탕"/>
                <w:i/>
                <w:color w:val="606068"/>
                <w:sz w:val="19"/>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This app begins with one photograph. That premise, that taking it is possible for anyone, we never tested anywhere in this document. If the 43% above are people who do not know their illness, this point is about people who cannot see the screen, and both are premises we built into the design without counting them.</w:t>
            </w:r>
          </w:p>
          <w:p>
            <w:pPr>
              <w:spacing w:after="80" w:line="276" w:lineRule="auto"/>
              <w:jc w:val="both"/>
            </w:pPr>
            <w:r>
              <w:rPr>
                <w:rFonts w:ascii="Times New Roman" w:hAnsi="Times New Roman" w:eastAsia="바탕"/>
                <w:sz w:val="20"/>
              </w:rPr>
              <w:t>This app did not take blind users as its target. The premise of §1.5 is being undiagnosed rather than being visually impaired, and of the three layers §2.1 overlays, picture and colour both require sight. Speech alone still carries the verdict, but the photographing remains. We have recorded that gap as the twelfth item in §5.9, and how far a screen reader and assisted capture can be joined to this is left to §5.10.</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after="80" w:line="276" w:lineRule="auto"/>
              <w:jc w:val="both"/>
            </w:pPr>
            <w:r>
              <w:rPr>
                <w:rFonts w:ascii="Times New Roman" w:hAnsi="Times New Roman" w:eastAsia="바탕"/>
                <w:sz w:val="20"/>
              </w:rPr>
              <w:t>Whether this section is right to treat old age as a single layer we put back to the survey. Kyungseo Park, Assistant Manager at the Korea Disabled People's Development Institute, wrote in the "anything you would add" box:</w:t>
            </w:r>
          </w:p>
          <w:p>
            <w:pPr>
              <w:spacing w:after="40" w:line="276" w:lineRule="auto"/>
              <w:ind w:left="403"/>
            </w:pPr>
            <w:r>
              <w:rPr>
                <w:rFonts w:ascii="Times New Roman" w:hAnsi="Times New Roman" w:eastAsia="바탕"/>
                <w:i/>
                <w:color w:val="606068"/>
                <w:sz w:val="19"/>
              </w:rPr>
              <w:t>"Being in a position of not being able to read comes from a range of individual circumstances: old age, childhood, blindness, low vision. It is certainly needed, and our own institute has run projects such as typeface development for legibility."</w:t>
            </w:r>
          </w:p>
          <w:p>
            <w:pPr>
              <w:spacing w:after="180" w:line="276" w:lineRule="auto"/>
              <w:ind w:left="403"/>
            </w:pPr>
            <w:r>
              <w:rPr>
                <w:rFonts w:ascii="Times New Roman" w:hAnsi="Times New Roman" w:eastAsia="바탕"/>
                <w:i w:val="0"/>
                <w:color w:val="606068"/>
                <w:sz w:val="19"/>
              </w:rPr>
              <w:t>(Kyungseo Park, Assistant Manager, Korea Disabled People's Development Institute)</w:t>
            </w:r>
          </w:p>
          <w:p>
            <w:pPr>
              <w:spacing w:after="80" w:line="276" w:lineRule="auto"/>
              <w:jc w:val="both"/>
            </w:pPr>
            <w:r>
              <w:rPr>
                <w:rFonts w:ascii="Times New Roman" w:hAnsi="Times New Roman" w:eastAsia="바탕"/>
                <w:sz w:val="20"/>
              </w:rPr>
              <w:t>That answer joins this section to §1.1. §1.1 counted non-literacy as a matter of educational opportunity and this section counts ageing as a matter of population structure, but in the field the two meet in one person. Eyes that have weakened with age and never having been taught come to the same thing in front of a screen, and that is why this app does not separate them. The same answer told us one thing more: an institution in Korea has already approached this problem from the typeface side, which means making letters easier to read and not using letters at all are two answers to one problem. We chose the second and do not claim the first is wrong.</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52 Filipino adults, capital region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The first row of Table 6 has to be read together with its scope. The figure of 17 out of 108 comes from 52 adults in the capital region of the Philippines gathered by quota sampling, and the authors record the small sample and the single region as limitations, recommending that the measurement be repeated on 168 participants sampled randomly across regions. It therefore does not mean that those pictograms are inherently unreadable, but that they were read that way by those people. That is also why Table 6 sets values from three countries side by side: no single value tells us the property of a pictogram.</w:t>
            </w:r>
          </w:p>
          <w:p>
            <w:pPr>
              <w:spacing w:after="80" w:line="276" w:lineRule="auto"/>
              <w:jc w:val="both"/>
            </w:pPr>
            <w:r>
              <w:rPr>
                <w:rFonts w:ascii="Times New Roman" w:hAnsi="Times New Roman" w:eastAsia="바탕"/>
                <w:sz w:val="20"/>
              </w:rPr>
              <w:t>What separated comprehension in the same study is worth setting down as well. Out of 108 points, scores were 21.58 points lower where education was below Grade 12, 5.85 points lower for women, and 1.20 points lower above the age of 46. The only statistically significant predictor was education. Those conditions overlap exactly with the people this app is aimed at.</w:t>
            </w:r>
          </w:p>
          <w:p>
            <w:pPr>
              <w:spacing w:after="80" w:line="276" w:lineRule="auto"/>
              <w:jc w:val="both"/>
            </w:pPr>
            <w:r>
              <w:rPr>
                <w:rFonts w:ascii="Times New Roman" w:hAnsi="Times New Roman" w:eastAsia="바탕"/>
                <w:sz w:val="20"/>
              </w:rPr>
              <w:t>The authors' conclusion points at the same place as our architecture. Since only 17 passed, they recommend that pictograms not be used as a stand-alone tool but be complemented with verbal and written instructions. That is why this app sends out picture and speech together (§3.5). We deliberately dropped half of that recommendation, though: the written half, because the people this app is for cannot read, so writing cannot complement anything. We put that much more weight on the half that remains, which is speech.</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The paper names the biological risk symbol as the most striking difference: 94.1% of participants in Cuba scored it correctly against 8.0% in the Democratic Republic of the Congo. One thing more belongs here: these participants are laboratory staff, not patients. The weight of the finding is that trained people diverge this far, not that the figures carry over to patients unchanged.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That figure covers only the 99 caregivers given a daily medicine. For the 158 given an as-needed medicine it was 40.0% to 15.6%, an absolute risk reduction of 24.4 points. Quoting only the larger of the two would inflate the effect, so both are given. Non-adherence fell from 38.0% to 9.3% across everyone followed up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randomly allocating 60 low-literate adults, with seven years of schooling or less and English as a second language, to a control and an experimental group,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Two things have to be stated when this trial is used as our evidence. First, what the experimental group received was </w:t>
            </w:r>
            <w:r>
              <w:rPr>
                <w:rFonts w:ascii="Times New Roman" w:hAnsi="Times New Roman" w:eastAsia="바탕"/>
                <w:b/>
                <w:sz w:val="20"/>
              </w:rPr>
              <w:t>text with pictograms added</w:t>
            </w:r>
            <w:r>
              <w:rPr>
                <w:rFonts w:ascii="Times New Roman" w:hAnsi="Times New Roman" w:eastAsia="바탕"/>
                <w:sz w:val="20"/>
              </w:rPr>
              <w:t xml:space="preserve">, not pictograms alone. This app removed the text, so what the trial supports is adding pictures, not removing words. It should be read alongside the Qatar trial cited later in §1.8, which measured pictogram-only separately and found it last. Second, the paper records that both sets of materials were generally well understood and that the pictogram effect appeared on </w:t>
            </w:r>
            <w:r>
              <w:rPr>
                <w:rFonts w:ascii="Times New Roman" w:hAnsi="Times New Roman" w:eastAsia="바탕"/>
                <w:b/>
                <w:sz w:val="20"/>
              </w:rPr>
              <w:t>more complex information</w:t>
            </w:r>
            <w:r>
              <w:rPr>
                <w:rFonts w:ascii="Times New Roman" w:hAnsi="Times New Roman" w:eastAsia="바탕"/>
                <w:sz w:val="20"/>
              </w:rPr>
              <w:t>. On simple instructions the difference was not large, and what brings the result to our ground is that the compound instructions we aim at (§1.9) fall on the complex side.</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heavier finding from that trial is which arm came last. The paper concludes that </w:t>
            </w:r>
            <w:r>
              <w:rPr>
                <w:rFonts w:ascii="Times New Roman" w:hAnsi="Times New Roman" w:eastAsia="바탕"/>
                <w:b/>
                <w:sz w:val="20"/>
              </w:rPr>
              <w:t>pictogram-only labels were the least comprehended of the three</w:t>
            </w:r>
            <w:r>
              <w:rPr>
                <w:rFonts w:ascii="Times New Roman" w:hAnsi="Times New Roman" w:eastAsia="바탕"/>
                <w:sz w:val="20"/>
              </w:rPr>
              <w:t>, worse even than text carrying verbal support in a language the participant could not read. That does not say pictures beat text; it says pictures beat text once speech is attached, and that a picture with the speech removed can do worse than letters the reader cannot read. It is why this app does not let the speech be switched off and plays it once automatically on the verdict screen (§3.5).</w:t>
            </w:r>
          </w:p>
          <w:p>
            <w:pPr>
              <w:spacing w:after="80" w:line="276" w:lineRule="auto"/>
              <w:jc w:val="both"/>
            </w:pPr>
            <w:r>
              <w:rPr>
                <w:rFonts w:ascii="Times New Roman" w:hAnsi="Times New Roman" w:eastAsia="바탕"/>
                <w:sz w:val="20"/>
              </w:rPr>
              <w:t>The caution the paper leaves belongs here too. Some pictograms were difficult to interpret even with verbal instructions, and the authors write that they therefore need thorough piloting with users before implementation. What §5.9 records as the absence of testing with people lands on exactly that sentence.</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though large is not the same as representative, and that belongs first. This is a cross-sectional study recruited by snowball sampling, so the sample was not drawn to represent Lebanese adults, and both forms were shown to the same people rather than to separate arms.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95% CI −0.028 to −0.009, standardised coefficient −0.148, </w:t>
            </w:r>
            <w:r>
              <w:rPr>
                <w:rFonts w:ascii="Times New Roman" w:hAnsi="Times New Roman" w:eastAsia="바탕"/>
                <w:i/>
                <w:sz w:val="20"/>
              </w:rPr>
              <w:t>p</w:t>
            </w:r>
            <w:r>
              <w:rPr>
                <w:rFonts w:ascii="Times New Roman" w:hAnsi="Times New Roman" w:eastAsia="바탕"/>
                <w:sz w:val="20"/>
              </w:rPr>
              <w:t xml:space="preserve"> &lt; 0.001). The coefficient itself is small: the score difference falls by 0.019 for each additional year, so wiping out the overall gain of 1.52 points seen above would take eighty years.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Rather than close this section on the literature alone, we put the limitation to the field directly. In the survey sent to 1,103 people on 31 July 2026 (§5.7) we asked "could a patient who cannot read take their medicine correctly, alone, with only these screens, and why", and Foued Maaoui, Researcher at the Pasteur Institute of Tunis, answered:</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What the studies above measured and what this answer says are the same thing. It differs in having been written after looking at what we made. The pass rates in Table 6 are values for other people's sets; this is the word of someone who actually looked at the 78 morphemes of §2.2. In the same answer he singled out four of our morphemes as particularly abstract: completion, quantity, timing and prohibition. The first three coincide exactly with the three types where errors concentrate in Table 4 of §1.3 (omission 32.9%, dose 28.4%, timing 23.2%). The fourth, prohibition, is not in Table 4. That table counts errors pharmacists made while dispensing, so contraindication marking was never among the things counted. That the response nonetheless lists it fourth is because prohibition is separately dangerous seen from the patient side, and §1.3.1 takes up that misreading on its own. That the places most needed are the hardest is the conclusion of this section, and the literature and the survey pointed at it separately.</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after="80" w:line="276" w:lineRule="auto"/>
              <w:jc w:val="both"/>
            </w:pPr>
            <w:r>
              <w:rPr>
                <w:rFonts w:ascii="Times New Roman" w:hAnsi="Times New Roman" w:eastAsia="바탕"/>
                <w:sz w:val="20"/>
              </w:rPr>
              <w:t>An answer against this section's conclusion came out of our survey, so it is set down as written. At the end of the survey we left open "anything you would add that we did not ask", and Professor Atif Usman of The Islamia University of Bahawalpur in Pakistan wrote in that box:</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This whole section argues why a new set has to be made, and the answer from the field is not to. Our reply is the second licence condition set out above: USP forbids overlaying or joining symbols, so there is no way to build one compound instruction into one picture while observing the standard. But the answer cannot be called wrong. For an instruction that needs no composition, using USP is right, and among our 78 the ones that stand alone could indeed have been replaced by USP. We built the whole set new because we did not want to mix composable and non-composable symbols inside one set, and that is a judgement rather than a necessity.</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after="80" w:line="276" w:lineRule="auto"/>
              <w:jc w:val="both"/>
            </w:pPr>
            <w:r>
              <w:rPr>
                <w:rFonts w:ascii="Times New Roman" w:hAnsi="Times New Roman" w:eastAsia="바탕"/>
                <w:sz w:val="20"/>
              </w:rPr>
              <w:t>The limitation the authors set down themselves belongs here as well. The experiment had no control group of literate readers. The authors wrote that they therefore cannot rule out that literate users would also have been comparably slow on the hierarchical UI under the same conditions, and they named this a limitation of their study. On this evidence, then, one cannot say that difficulty with hierarchy is peculiar to non-literate users.</w:t>
            </w:r>
          </w:p>
          <w:p>
            <w:pPr>
              <w:spacing w:after="80" w:line="276" w:lineRule="auto"/>
              <w:jc w:val="both"/>
            </w:pPr>
            <w:r>
              <w:rPr>
                <w:rFonts w:ascii="Times New Roman" w:hAnsi="Times New Roman" w:eastAsia="바탕"/>
                <w:sz w:val="20"/>
              </w:rPr>
              <w:t>Stating that limitation in fact favours our design. The mechanism the authors point to is not the ability to read but the memory load of holding in mind how far down one has come. If that is right, a screen with the hierarchy removed is not an accommodation that works only for low-literacy users but a structure that works for everyone. It runs the same way as the decision in §1.5 to design for total blindness, low vision and low literacy as one, and it is also why this app flattens its screens to a single layer in §3.2.</w:t>
            </w:r>
          </w:p>
          <w:p>
            <w:pPr>
              <w:spacing w:after="80" w:line="276" w:lineRule="auto"/>
              <w:jc w:val="both"/>
            </w:pPr>
            <w:r>
              <w:rPr>
                <w:rFonts w:ascii="Times New Roman" w:hAnsi="Times New Roman" w:eastAsia="바탕"/>
                <w:sz w:val="20"/>
              </w:rPr>
              <w:t>All of this prior work is other people's making, measured by other people. To hear the same thing said about ours, the survey asked "where it could be misread", and Yonghan Lee, Senior Manager at the Korea Craft and Design Foundation, answered:</w:t>
            </w:r>
          </w:p>
          <w:p>
            <w:pPr>
              <w:spacing w:after="40" w:line="276" w:lineRule="auto"/>
              <w:ind w:left="403"/>
            </w:pPr>
            <w:r>
              <w:rPr>
                <w:rFonts w:ascii="Times New Roman" w:hAnsi="Times New Roman" w:eastAsia="바탕"/>
                <w:i/>
                <w:color w:val="606068"/>
                <w:sz w:val="19"/>
              </w:rPr>
              <w:t>"The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80" w:line="276" w:lineRule="auto"/>
              <w:jc w:val="both"/>
            </w:pPr>
            <w:r>
              <w:rPr>
                <w:rFonts w:ascii="Times New Roman" w:hAnsi="Times New Roman" w:eastAsia="바탕"/>
                <w:sz w:val="20"/>
              </w:rPr>
              <w:t xml:space="preserve">Where the papers above say "they do not grasp the hierarchy", this answer goes one step more concrete. It names which picture fails to read and why, and offers the alternative. We took the point and redrew </w:t>
            </w:r>
            <w:r>
              <w:rPr>
                <w:rFonts w:ascii="Consolas" w:hAnsi="Consolas" w:eastAsia="Consolas"/>
                <w:sz w:val="19"/>
              </w:rPr>
              <w:t>hand_wash</w:t>
            </w:r>
            <w:r>
              <w:rPr>
                <w:rFonts w:ascii="Times New Roman" w:hAnsi="Times New Roman" w:eastAsia="바탕"/>
                <w:sz w:val="20"/>
              </w:rPr>
              <w:t xml:space="preserve"> as a hand under a running tap (§5.7.13). Three responses actually changed a picture: this one, </w:t>
            </w:r>
            <w:r>
              <w:rPr>
                <w:rFonts w:ascii="Consolas" w:hAnsi="Consolas" w:eastAsia="Consolas"/>
                <w:sz w:val="19"/>
              </w:rPr>
              <w:t>allergen_egg</w:t>
            </w:r>
            <w:r>
              <w:rPr>
                <w:rFonts w:ascii="Times New Roman" w:hAnsi="Times New Roman" w:eastAsia="바탕"/>
                <w:sz w:val="20"/>
              </w:rPr>
              <w:t xml:space="preserve">, and </w:t>
            </w:r>
            <w:r>
              <w:rPr>
                <w:rFonts w:ascii="Consolas" w:hAnsi="Consolas" w:eastAsia="Consolas"/>
                <w:sz w:val="19"/>
              </w:rPr>
              <w:t>finish_course</w:t>
            </w:r>
            <w:r>
              <w:rPr>
                <w:rFonts w:ascii="Times New Roman" w:hAnsi="Times New Roman" w:eastAsia="바탕"/>
                <w:sz w:val="20"/>
              </w:rPr>
              <w:t>, which followed a suggestion from Pharmacy Lecturer Sheron Sir Loon Goh. What the prior work told us was where to be careful; what the survey told us was what to fix.</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when 108 pharmaceutical pictograms actually produced were tested on 52 Filipino adults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after="80" w:line="276" w:lineRule="auto"/>
              <w:jc w:val="both"/>
            </w:pPr>
            <w:r>
              <w:rPr>
                <w:rFonts w:ascii="Times New Roman" w:hAnsi="Times New Roman" w:eastAsia="바탕"/>
                <w:sz w:val="20"/>
              </w:rPr>
              <w:t>Putting these three to the survey brought agreement on the direction with a condition attached. Asked whether a patient who cannot read could take their medicine correctly with only these screens, Myojung Choi, Researcher at the Korea Disabled People's Development Institute, answered:</w:t>
            </w:r>
          </w:p>
          <w:p>
            <w:pPr>
              <w:spacing w:after="40" w:line="276" w:lineRule="auto"/>
              <w:ind w:left="403"/>
            </w:pPr>
            <w:r>
              <w:rPr>
                <w:rFonts w:ascii="Times New Roman" w:hAnsi="Times New Roman" w:eastAsia="바탕"/>
                <w:i/>
                <w:color w:val="606068"/>
                <w:sz w:val="19"/>
              </w:rPr>
              <w:t>"Presenting information on a multi-channel cognitive basis, combining pictogram and sound, seems the right direction. Where one pictogram contains a lot of information, however, clarity of perception can fall, so it needs simplifying around the core information."</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first sentence supports the third of the three above, delivery that does not demand text; the second collides head-on with the first, composition. We set as our conclusion that one instruction should become one picture, and doing so increases what one picture has to carry. The gain from composition and clarity of perception are two ends of one axis, and our design picks a point on that axis rather than getting both.</w:t>
            </w:r>
          </w:p>
          <w:p>
            <w:pPr>
              <w:spacing w:after="80" w:line="276" w:lineRule="auto"/>
              <w:jc w:val="both"/>
            </w:pPr>
            <w:r>
              <w:rPr>
                <w:rFonts w:ascii="Times New Roman" w:hAnsi="Times New Roman" w:eastAsia="바탕"/>
                <w:sz w:val="20"/>
              </w:rPr>
              <w:t>How far that tension can be carried is the ceiling of this approach. §2.2 restricts the grammar so that a head takes only one modifier, which stops a picture growing heavy, and the machine evaluation of §5.2 measures whether pictures built that way are read. Where clarity breaks down, though, can only be learned by asking people, and that remains in §5.10.</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The same judgement came once more from a different segment. Asked whether this approach frames the problem correctly, Seunghoon Jung of the Korea Institute of Design Promotion answered:</w:t>
            </w:r>
          </w:p>
          <w:p>
            <w:pPr>
              <w:spacing w:after="40" w:line="276" w:lineRule="auto"/>
              <w:ind w:left="403"/>
            </w:pPr>
            <w:r>
              <w:rPr>
                <w:rFonts w:ascii="Times New Roman" w:hAnsi="Times New Roman" w:eastAsia="바탕"/>
                <w:i/>
                <w:color w:val="606068"/>
                <w:sz w:val="19"/>
              </w:rPr>
              <w:t>"In Korea I do not think there are many adults whose literacy is low enough that they cannot understand Hangul."</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That the same thing is said from two different positions, pharmacy practice and design, strengthens this section's argument rather than weakening it, because it means this is not one person's impression but common sense widely shared in Korea. The only way that common sense and the national figure of 39.6% can both be true is if reading letters and understanding a dosing instruction are different things, and that gap is where this app stands.</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There are grounds for it: most of the low-literacy interface work cited in §1.10 used speech as its primary channel. Whether speech is the most common approach across the field as a whole we have not counted, so we claim no more than that.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are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after="80" w:line="276" w:lineRule="auto"/>
              <w:jc w:val="both"/>
            </w:pPr>
            <w:r>
              <w:rPr>
                <w:rFonts w:ascii="Times New Roman" w:hAnsi="Times New Roman" w:eastAsia="바탕"/>
                <w:sz w:val="20"/>
              </w:rPr>
              <w:t>Whether 78 is enough was put to us head-on in the survey. It is the first line Professor Kyogu Lee of Seoul National University wrote in the "anything you would add" box:</w:t>
            </w:r>
          </w:p>
          <w:p>
            <w:pPr>
              <w:spacing w:after="40" w:line="276" w:lineRule="auto"/>
              <w:ind w:left="403"/>
            </w:pPr>
            <w:r>
              <w:rPr>
                <w:rFonts w:ascii="Times New Roman" w:hAnsi="Times New Roman" w:eastAsia="바탕"/>
                <w:i/>
                <w:color w:val="606068"/>
                <w:sz w:val="19"/>
              </w:rPr>
              <w:t>"The pictograms define 78 \"words\"; even with recombination, can they really cover the very wide range of medicines and regimens?"</w:t>
            </w:r>
          </w:p>
          <w:p>
            <w:pPr>
              <w:spacing w:after="180" w:line="276" w:lineRule="auto"/>
              <w:ind w:left="403"/>
            </w:pPr>
            <w:r>
              <w:rPr>
                <w:rFonts w:ascii="Times New Roman" w:hAnsi="Times New Roman" w:eastAsia="바탕"/>
                <w:i w:val="0"/>
                <w:color w:val="606068"/>
                <w:sz w:val="19"/>
              </w:rPr>
              <w:t>(Professor Kyogu Lee, Seoul National University)</w:t>
            </w:r>
          </w:p>
          <w:p>
            <w:pPr>
              <w:spacing w:after="80" w:line="276" w:lineRule="auto"/>
              <w:jc w:val="both"/>
            </w:pPr>
            <w:r>
              <w:rPr>
                <w:rFonts w:ascii="Times New Roman" w:hAnsi="Times New Roman" w:eastAsia="바탕"/>
                <w:sz w:val="20"/>
              </w:rPr>
              <w:t>What this section can answer is the arithmetic. Each of the 57 heads has one modifier slot and the dictionary restricts which modifiers may enter it, so the set as it stands can produce 1,258 cells (Figure 12). The 78 is a count of words, not a count of instructions that can be expressed.</w:t>
            </w:r>
          </w:p>
          <w:p>
            <w:pPr>
              <w:spacing w:after="80" w:line="276" w:lineRule="auto"/>
              <w:jc w:val="both"/>
            </w:pPr>
            <w:r>
              <w:rPr>
                <w:rFonts w:ascii="Times New Roman" w:hAnsi="Times New Roman" w:eastAsia="바탕"/>
                <w:sz w:val="20"/>
              </w:rPr>
              <w:t>That answer does not take the whole question, though. How many of the 1,258 make sense we did not count, and we did not survey the distribution of instructions in real prescriptions to see whether they are covered. The top three types clustered in Table 4 of §1.3 can be said to be covered, but that is where errors cluster, not where instructions cluster. We leave this question to stage 4 of §5.10, the procedure that records concepts the app could not build. Only by counting what it fails to make can we learn whether 78 is short.</w:t>
            </w:r>
          </w:p>
          <w:p>
            <w:pPr>
              <w:spacing w:after="80" w:line="276" w:lineRule="auto"/>
              <w:jc w:val="both"/>
            </w:pPr>
            <w:r>
              <w:rPr>
                <w:rFonts w:ascii="Times New Roman" w:hAnsi="Times New Roman" w:eastAsia="바탕"/>
                <w:sz w:val="20"/>
              </w:rPr>
              <w:t>The same response pointed at one more thing, and that one is already fixed: some negative instructions carry no "/" or "X", with alcohol and pregnancy given as examples. §5.2 divided the prohibition marking into three by the nature of the flag and dealt with that place.</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A study that gathered older people into focus groups and asked what they found hard about interactive voice response came back with frustration at not being able to reach an operator, waits that were too long, being unable to recover from a mistake, and the absence of shortcuts. Notably, a significant number said they preferred a system that adjusts to them automatically over one they have to adjust themselves, and the authors conclude by proposing a design that detects difficulty during an exchange in progress and routes each person to a different flow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When the same group later had 185 adults over 65 use four commercial systems, they reported that success and attitude moved together, yet a sizeable subset rated the systems highly despite real difficulty, and those participants tended to have lower full scale IQ. The participants saw interaction with these systems as particularly demanding on attention and concentration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Two things follow for this app. First, if speech is that demanding on attention, its length is itself a burden. Playing speech is not enough on its own, and what not to say becomes the core of the design. On the second point this app parts from that study. A significant number preferred a system that adjusts itself, and this app has a setting for choosing the speaking rate (§3.5). What is read and when is not left to the user, though, but settled by the screen and the situation, and the place where the rate is chosen was built so that it demands no reading. It is four steps between a tortoise and a hare rather than numbers, and choosing one plays a sentence at that rate immediately. Instead of reading a description and then choosing, one hears it and chooses. That is still not the recommendation followed as given, and which way is better remains an item to ask in the field evaluation of §5.10.</w:t>
            </w:r>
          </w:p>
          <w:p>
            <w:pPr>
              <w:spacing w:after="80" w:line="276" w:lineRule="auto"/>
              <w:jc w:val="both"/>
            </w:pPr>
            <w:r>
              <w:rPr>
                <w:rFonts w:ascii="Times New Roman" w:hAnsi="Times New Roman" w:eastAsia="바탕"/>
                <w:sz w:val="20"/>
              </w:rPr>
              <w:t>How far these two studies carry is worth stating. Both looked at older Canadians using interactive voice response, and the medium of a telephone call differs from this app. Neither had a control group of younger users, so what comes out of them is not a difference by age but what older users found difficult.</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after="80" w:line="276" w:lineRule="auto"/>
              <w:jc w:val="both"/>
            </w:pPr>
            <w:r>
              <w:rPr>
                <w:rFonts w:ascii="Times New Roman" w:hAnsi="Times New Roman" w:eastAsia="바탕"/>
                <w:sz w:val="20"/>
              </w:rPr>
              <w:t>A response arrived that shakes the premise this whole section rests on. Asked whether the app could change health outcomes, Professor Namsoo Park of Hyupsung University answered:</w:t>
            </w:r>
          </w:p>
          <w:p>
            <w:pPr>
              <w:spacing w:after="40" w:line="276" w:lineRule="auto"/>
              <w:ind w:left="403"/>
            </w:pPr>
            <w:r>
              <w:rPr>
                <w:rFonts w:ascii="Times New Roman" w:hAnsi="Times New Roman" w:eastAsia="바탕"/>
                <w:i/>
                <w:color w:val="606068"/>
                <w:sz w:val="19"/>
              </w:rPr>
              <w:t>"(There is an instruction reading "select any that apply to you", for instance; if that instruction cannot be read, how is the app to be used well?)"</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This section says we ask the user for their conditions. But the instruction to pick conditions is itself text. Here is the place where an app built for people who cannot read puts a written question to them. §3.2 answers the same problem by having age chosen from four pictures, and the conditions screen is likewise picture and speech (Figure 21). Whether "select any that apply to you" itself carries without being read, however, we have not confirmed by asking people. Of everything §5.9 records as untested with people, this is the sorest place.</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An answer aimed at that limit came out of the survey, and because it would bring down what this section claims, it is set down in full rather than trimmed. In the "anything you would add that we did not ask" box, the team leader at the GC Medi-AI Uisarang Service Centre (name withheld) wrote five things:</w:t>
            </w:r>
          </w:p>
          <w:p>
            <w:pPr>
              <w:spacing w:after="40" w:line="276" w:lineRule="auto"/>
              <w:ind w:left="403"/>
            </w:pPr>
            <w:r>
              <w:rPr>
                <w:rFonts w:ascii="Times New Roman" w:hAnsi="Times New Roman" w:eastAsia="바탕"/>
                <w:i/>
                <w:color w:val="606068"/>
                <w:sz w:val="19"/>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p>
            <w:pPr>
              <w:spacing w:after="180" w:line="276" w:lineRule="auto"/>
              <w:ind w:left="403"/>
            </w:pPr>
            <w:r>
              <w:rPr>
                <w:rFonts w:ascii="Times New Roman" w:hAnsi="Times New Roman" w:eastAsia="바탕"/>
                <w:i w:val="0"/>
                <w:color w:val="606068"/>
                <w:sz w:val="19"/>
              </w:rPr>
              <w:t>((name withheld), Team Leader, GC Medi-AI, Uisarang Service Centre)</w:t>
            </w:r>
          </w:p>
          <w:p>
            <w:pPr>
              <w:spacing w:after="80" w:line="276" w:lineRule="auto"/>
              <w:jc w:val="both"/>
            </w:pPr>
            <w:r>
              <w:rPr>
                <w:rFonts w:ascii="Times New Roman" w:hAnsi="Times New Roman" w:eastAsia="바탕"/>
                <w:sz w:val="20"/>
              </w:rPr>
              <w:t>Each of the five is taken in turn. Points 1 and 5 assume Korea, and they are right. If Korean prescriptions carry a barcode and electronic prescriptions are on the way, photographing a sheet and reading its letters will soon be unnecessary in Korea. Those two, however, are Korean conditions. Whether the countries in Table 1 of §1.1 also have prescription barcodes and electronic prescriptions we did not investigate, so we do not assert that they do not. What is clear is that what this response rests on is the domestic system, and where this app is aimed is not where that system stands. The range in which the response is right and the range in which we stand are simply different, and which range is larger this document cannot answer. Points 2 and 3 are things we did not verify: we did not survey individual products systematically, so we may not have seen everything that already exists. Point 4 is not the kind of thing this document can answer. Whether market size is the right basis for deciding what gets built is not a question this proposal takes up, and that the judgement divides at all may itself be why the place §1.4 calls the last step is empty.</w:t>
            </w:r>
          </w:p>
          <w:p>
            <w:pPr>
              <w:spacing w:after="80" w:line="276" w:lineRule="auto"/>
              <w:jc w:val="both"/>
            </w:pPr>
            <w:r>
              <w:rPr>
                <w:rFonts w:ascii="Times New Roman" w:hAnsi="Times New Roman" w:eastAsia="바탕"/>
                <w:sz w:val="20"/>
              </w:rPr>
              <w:t>This response is set down here not because it can be answered. Half of it cannot.</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p>
            <w:pPr>
              <w:spacing w:after="80" w:line="276" w:lineRule="auto"/>
              <w:jc w:val="both"/>
            </w:pPr>
            <w:r>
              <w:rPr>
                <w:rFonts w:ascii="Times New Roman" w:hAnsi="Times New Roman" w:eastAsia="바탕"/>
                <w:sz w:val="20"/>
              </w:rPr>
              <w:t>Who these three are for drew a different answer in the survey. E. A. Draffan, retired speech and language therapist and visiting accessibility researcher at Global Symbols, wrote:</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retired speech and language therapist and visiting accessibility researcher, Global Symbols · University of Southampton)</w:t>
            </w:r>
          </w:p>
          <w:p>
            <w:pPr>
              <w:spacing w:after="80" w:line="276" w:lineRule="auto"/>
              <w:jc w:val="both"/>
            </w:pPr>
            <w:r>
              <w:rPr>
                <w:rFonts w:ascii="Times New Roman" w:hAnsi="Times New Roman" w:eastAsia="바탕"/>
                <w:sz w:val="20"/>
              </w:rPr>
              <w:t>The first half says we scoped the audience narrowly. From §1.1 onward this document has counted non-literate adults, but one photograph producing a picture and a spoken sentence may be of use to people who can read as well. Among the respondents in §5.7 there was in fact one who wrote that even they, in their forties, found the images hard to grasp at once (§5.7.9). Whether the audience should be drawn wider this document does not judge. What it records is that drawing it narrowly narrowed the evidence, not the users.</w:t>
            </w:r>
          </w:p>
          <w:p>
            <w:pPr>
              <w:spacing w:after="80" w:line="276" w:lineRule="auto"/>
              <w:jc w:val="both"/>
            </w:pPr>
            <w:r>
              <w:rPr>
                <w:rFonts w:ascii="Times New Roman" w:hAnsi="Times New Roman" w:eastAsia="바탕"/>
                <w:sz w:val="20"/>
              </w:rPr>
              <w:t>The second half bears more directly on this section. Reading about three functions is no way to judge whether they are easy to use, which is the same thing §5.9 records as the absence of testing with people. This section can set down what was built; whether it is easy to use becomes an answer only when people are asked, in §5.10.</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Pasteur Institute of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section exists because of one sentence in the survey, so it is carried over rather than summarised. Answering "could a patient who cannot read take their medicine correctly, alone, with only these screens", Foued Maaoui, Researcher at the Pasteur Institute of Tunis, wrote:</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Researcher, Pasteur Institute of Tunis)</w:t>
            </w:r>
          </w:p>
          <w:p>
            <w:pPr>
              <w:spacing w:after="80" w:line="276" w:lineRule="auto"/>
              <w:jc w:val="both"/>
            </w:pPr>
            <w:r>
              <w:rPr>
                <w:rFonts w:ascii="Times New Roman" w:hAnsi="Times New Roman" w:eastAsia="바탕"/>
                <w:sz w:val="20"/>
              </w:rPr>
              <w:t>However clear the screen, without a procedure for confirming that the person who saw it understood it there is no returning signal. The checking step in this section was built on receiving that answer, and it is the one case where the survey changed the design by adding a whole screen.</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When 108 international standard pictograms were tested on 52 Filipino adults,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Pasteur Institute of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One more response reached the same place from another angle. Asked whether speech can replace the written explanation, Barbara Báldy of Semmelweis University answered:</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The first half agrees with us and the second does not. That text is unnecessary for someone who cannot read it is the premise of this app, but patient safety protocols call for verbal, visual and written instructions together. We removed the text. §2.1 records that as removing a barrier; this response reads the same decision as a departure from protocol.</w:t>
            </w:r>
          </w:p>
          <w:p>
            <w:pPr>
              <w:spacing w:after="80" w:line="276" w:lineRule="auto"/>
              <w:jc w:val="both"/>
            </w:pPr>
            <w:r>
              <w:rPr>
                <w:rFonts w:ascii="Times New Roman" w:hAnsi="Times New Roman" w:eastAsia="바탕"/>
                <w:sz w:val="20"/>
              </w:rPr>
              <w:t>Both readings can be true at once. Where text remains, a literate carer or pharmacist can check it, and that is presumably why the protocols ask for all three. This app moved that checking path into the teach-back of §3.8 and the provider screen of §4.4, but whether what we moved satisfies the protocol is not ours to judge. This is a reason the field evaluation of §5.10 needs someone who knows clinical protocol in it.</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Pasteur Institute of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Pasteur Institute of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(no working screens of SnapCare, for instance),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We did not write that item ourselves. The survey gave us the same thing in one sentence. Answering "could a patient who cannot read take their medicine correctly, alone, with only these screens", Associate Professor Rahul Malhotra of the Duke-NUS Medical School wrote:</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(Associate Professor Rahul Malhotra, Duke-NUS Medical School)</w:t>
            </w:r>
          </w:p>
          <w:p>
            <w:pPr>
              <w:spacing w:after="80" w:line="276" w:lineRule="auto"/>
              <w:jc w:val="both"/>
            </w:pPr>
            <w:r>
              <w:rPr>
                <w:rFonts w:ascii="Times New Roman" w:hAnsi="Times New Roman" w:eastAsia="바탕"/>
                <w:sz w:val="20"/>
              </w:rPr>
              <w:t>Eight words, saying what the first item of this section says. Between what we measured by machine in §5.2 and what that sentence requires, the people are missing, and which of us named the gap first does not matter. That we pointed at the same place does.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Twelfth, whether taking the photograph is possible was assumed and not measured. This app begins with one photograph, and we assumed that taking it is possible for anyone. It is the point Yonghan Lee, Senior Manager at the Korea Craft and Design Foundation, raised in §1.5: that blind people may be the largest group among those who cannot read, and that for them the act of photographing is itself a barrier. This app did not take blind users as its target, so it is out of scope rather than a failure. But unless the scope is written down, the "three layers overlaid" of §2.1 reads as though it required no sight. How far a screen reader and assisted capture can be joined to this is left to §5.10.</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The plans were not drawn up among ourselves. Points from the last box of the survey went into the table, and one of them is a single line from Professor Sung-il Cho of Seoul National University.</w:t>
            </w:r>
          </w:p>
          <w:p>
            <w:pPr>
              <w:spacing w:after="40" w:line="276" w:lineRule="auto"/>
              <w:ind w:left="403"/>
            </w:pPr>
            <w:r>
              <w:rPr>
                <w:rFonts w:ascii="Times New Roman" w:hAnsi="Times New Roman" w:eastAsia="바탕"/>
                <w:i/>
                <w:color w:val="606068"/>
                <w:sz w:val="19"/>
              </w:rPr>
              <w:t>"A plan is needed to reflect the fact that circumstances differ by country."</w:t>
            </w:r>
          </w:p>
          <w:p>
            <w:pPr>
              <w:spacing w:after="180" w:line="276" w:lineRule="auto"/>
              <w:ind w:left="403"/>
            </w:pPr>
            <w:r>
              <w:rPr>
                <w:rFonts w:ascii="Times New Roman" w:hAnsi="Times New Roman" w:eastAsia="바탕"/>
                <w:i w:val="0"/>
                <w:color w:val="606068"/>
                <w:sz w:val="19"/>
              </w:rPr>
              <w:t>(Professor Sung-il Cho, Seoul National University)</w:t>
            </w:r>
          </w:p>
          <w:p>
            <w:pPr>
              <w:spacing w:after="80" w:line="276" w:lineRule="auto"/>
              <w:jc w:val="both"/>
            </w:pPr>
            <w:r>
              <w:rPr>
                <w:rFonts w:ascii="Times New Roman" w:hAnsi="Times New Roman" w:eastAsia="바탕"/>
                <w:sz w:val="20"/>
              </w:rPr>
              <w:t>That one line separates stages 3 and 5 of the table below. Running the field evaluation of stage 3 in one country yields that country's answer only, and Figure 10 in §1.8 has already shown the same internationally standardised symbol going from 94% in one country to 8% in another. Table 6 in the same section likewise shows the highest pass rate belonging to a set made locally and tested on local people. So the evaluation is split by country, and building culturally adapted versions of the morphemes was set as stage 5. That the 39 respondents work in 22 countries is itself the first data for that plan.</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(no working screens of SnapCare, for instance),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2026-08-03T13:14:29Z</dcterms:modified>
</cp:coreProperties>
</file>