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짚었는데, 그 넷이 §1.3 의 표 4 에서 오류가 가장 몰린 자리다.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§5.2 에서 받아 </w:t>
            </w:r>
            <w:r>
              <w:rPr>
                <w:rFonts w:ascii="Consolas" w:hAnsi="Consolas" w:eastAsia="Consolas"/>
                <w:sz w:val="19"/>
              </w:rPr>
              <w:t>hand_wash</w:t>
            </w:r>
            <w:r>
              <w:rPr>
                <w:rFonts w:ascii="Times New Roman" w:hAnsi="Times New Roman" w:eastAsia="바탕"/>
                <w:sz w:val="20"/>
              </w:rPr>
              <w:t xml:space="preserve"> 를 다시 그렸고, 그것이 §5.7 의 응답 가운데 그림을 실제로 바꾼 두 건 중 하나다.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§1.1 의 표 1 에 있는 나라들에는 그 바코드도 그 전자화도 없다. 이 앱이 겨냥하는 곳이 거기이고, 그 사실이 이 응답을 반박하지는 않는다 — 이 응답이 옳은 범위와 우리가 서는 범위가 다를 뿐이다.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