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것이 이 그림의 논지다.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전제가 하나 더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한 가지 대가를 적어 둔다.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DS3231 이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33]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34]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적어 둔다.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after="80" w:line="276" w:lineRule="auto"/>
              <w:jc w:val="both"/>
            </w:pPr>
            <w:r>
              <w:rPr>
                <w:rFonts w:ascii="Times New Roman" w:hAnsi="Times New Roman" w:eastAsia="바탕"/>
                <w:sz w:val="20"/>
              </w:rPr>
              <w:t>여덟 영역으로 나누어 병렬로 명단을 만들었다. 국내 약학대학, 국내 간호·보건, 국내 HCI·디자인, 국내 문해교육·특수교육, 해외 의약품 픽토그램 연구자, 해외 약학, 해외 HCI·접근성, 국제기구다. 항목마다 출처 URL 을 함께 적었고(599개, 고유 296개), 주소를 찾지 못한 사람은 지어내지 않고 별도 구간에 남겨 발송에서 뺐다. 최종 1,103명이며 국내 327명, 해외 776명이다.</w:t>
            </w:r>
          </w:p>
          <w:p>
            <w:pPr>
              <w:spacing w:after="80" w:line="276" w:lineRule="auto"/>
              <w:jc w:val="both"/>
            </w:pPr>
            <w:r>
              <w:rPr>
                <w:rFonts w:ascii="Times New Roman" w:hAnsi="Times New Roman" w:eastAsia="바탕"/>
                <w:sz w:val="20"/>
              </w:rPr>
              <w:t>2026년 7월 31일 04시 48분부터 07시 50분까지 182분에 걸쳐 한 통씩 따로 보냈다. 단체 메일이나 숨은참조를 쓰지 않은 것은 명단 규칙상 주소가 서로에게 노출되어서는 안 되기 때문이다. 거부된 주소는 없었다.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35]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36]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37]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38]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19" name="Picture 19"/>
                  <wp:cNvGraphicFramePr>
                    <a:graphicFrameLocks noChangeAspect="1"/>
                  </wp:cNvGraphicFramePr>
                  <a:graphic>
                    <a:graphicData uri="http://schemas.openxmlformats.org/drawingml/2006/picture">
                      <pic:pic>
                        <pic:nvPicPr>
                          <pic:cNvPr id="0" name="chart10_survey.png"/>
                          <pic:cNvPicPr/>
                        </pic:nvPicPr>
                        <pic:blipFill>
                          <a:blip r:embed="rId3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39]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적었다.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적었다. 인도네시아의 Niken Nur Widyakusuma 약사도 시각장애 환자를 훨씬 많이 본다고 답했고, 윤휘열 충남대학교 약학대학 교수는 한국에서는 주로 외국인 환자라고 적었다.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적었다.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적었다.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적었다.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적었다.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적었다.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40]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41]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42]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w:t>
                  </w:r>
                </w:p>
              </w:tc>
              <w:tc>
                <w:tcPr>
                  <w:tcW w:type="dxa" w:w="3238"/>
                </w:tcPr>
                <w:p>
                  <w:r>
                    <w:rPr>
                      <w:rFonts w:ascii="Times New Roman" w:hAnsi="Times New Roman" w:eastAsia="바탕"/>
                      <w:sz w:val="18"/>
                    </w:rPr>
                    <w:t xml:space="preserve">금기에 </w:t>
                  </w:r>
                  <w:r>
                    <w:rPr>
                      <w:rFonts w:ascii="Consolas" w:hAnsi="Consolas" w:eastAsia="Consolas"/>
                      <w:sz w:val="17"/>
                    </w:rPr>
                    <w:t>\no{}</w:t>
                  </w:r>
                  <w:r>
                    <w:rPr>
                      <w:rFonts w:ascii="Times New Roman" w:hAnsi="Times New Roman" w:eastAsia="바탕"/>
                      <w:sz w:val="18"/>
                    </w:rPr>
                    <w:t xml:space="preserve"> 적용, </w:t>
                  </w:r>
                  <w:r>
                    <w:rPr>
                      <w:rFonts w:ascii="Consolas" w:hAnsi="Consolas" w:eastAsia="Consolas"/>
                      <w:sz w:val="17"/>
                    </w:rPr>
                    <w:t>finish_course</w:t>
                  </w:r>
                  <w:r>
                    <w:rPr>
                      <w:rFonts w:ascii="Times New Roman" w:hAnsi="Times New Roman" w:eastAsia="바탕"/>
                      <w:sz w:val="18"/>
                    </w:rPr>
                    <w:t xml:space="preserve"> 재설계, 한 장의 요소 수 축소</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있다는 점도 적어 둔다.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