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 A default in the condition-tracking module changed and the test still holds the old expectation; it is not a defect in the feature, but leaving the failure out while reporting the passes would change what this table says.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w:t>
              <w:br/>
              <w:t xml:space="preserve">  It was 700. Right there, prescriptions with many medicines were</w:t>
              <w:br/>
              <w:t xml:space="preserve">  failing outright. The answer was truncated at 700 tokens</w:t>
              <w:br/>
              <w:t xml:space="preserve">  (stop_reason: max_tokens), the cut JSON failed to parse, and the</w:t>
              <w:br/>
              <w:t xml:space="preserve">  failure surfaced as "could not read it." It was failing against</w:t>
              <w:br/>
              <w:t xml:space="preserve">  exactly the people who need it most.</w:t>
              <w:br/>
              <w:t>*/</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A mistranslated dosing instruction causes exactly the harm this app exists to prevent.</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347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5" name="Picture 45"/>
                  <wp:cNvGraphicFramePr>
                    <a:graphicFrameLocks noChangeAspect="1"/>
                  </wp:cNvGraphicFramePr>
                  <a:graphic>
                    <a:graphicData uri="http://schemas.openxmlformats.org/drawingml/2006/picture">
                      <pic:pic>
                        <pic:nvPicPr>
                          <pic:cNvPr id="0" name="chart14_amr_region.png"/>
                          <pic:cNvPicPr/>
                        </pic:nvPicPr>
                        <pic:blipFill>
                          <a:blip r:embed="rId59"/>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