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39 respondents in §5.7, 18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 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The study tested 10 pictograms on 90 people in South Africa; mean comprehension was 7.9 ± 1.8 out of 10, the correlation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and the association with health literacy </w:t>
            </w:r>
            <w:r>
              <w:rPr>
                <w:rFonts w:ascii="Times New Roman" w:hAnsi="Times New Roman" w:eastAsia="바탕"/>
                <w:i/>
                <w:sz w:val="20"/>
              </w:rPr>
              <w:t>p</w:t>
            </w:r>
            <w:r>
              <w:rPr>
                <w:rFonts w:ascii="Times New Roman" w:hAnsi="Times New Roman" w:eastAsia="바탕"/>
                <w:sz w:val="20"/>
              </w:rPr>
              <w:t xml:space="preserve"> = 0.002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There was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to 5.4%). Pictures work better with speech than alone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And making them does not mean making them well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Two of the five on the left are drawn with a heavier border: the cost of the problem and the channel that is already open. The first is the reason to take the problem on, the second the reason it can be taken on now. The red line beneath it is what this section is careful about.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18 of 39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p>
            <w:pPr>
              <w:spacing w:before="180" w:after="40"/>
            </w:pPr>
            <w:r>
              <w:rPr>
                <w:rFonts w:ascii="Times New Roman" w:hAnsi="Times New Roman" w:eastAsia="바탕"/>
                <w:b/>
                <w:sz w:val="23"/>
              </w:rPr>
              <w:t>1.12 How this problem looks in our own two countries</w:t>
            </w:r>
          </w:p>
          <w:p>
            <w:pPr>
              <w:spacing w:after="80" w:line="276" w:lineRule="auto"/>
              <w:jc w:val="both"/>
            </w:pPr>
            <w:r>
              <w:rPr>
                <w:rFonts w:ascii="Times New Roman" w:hAnsi="Times New Roman" w:eastAsia="바탕"/>
                <w:sz w:val="20"/>
              </w:rPr>
              <w:t>The five strands above were counted against the world. This team comes from Korea and Moldova, so they are read again against those two countries, and because the contest form asks how the problem bears on our own school and community.</w:t>
            </w:r>
          </w:p>
          <w:p>
            <w:pPr>
              <w:spacing w:after="80" w:line="276" w:lineRule="auto"/>
              <w:jc w:val="both"/>
            </w:pPr>
            <w:r>
              <w:rPr>
                <w:rFonts w:ascii="Times New Roman" w:hAnsi="Times New Roman" w:eastAsia="바탕"/>
                <w:sz w:val="20"/>
              </w:rPr>
              <w:t>In Korea what characterises this problem is not its size but its invisibility. Adult literacy is effectively close to 100%, so the phrase "people who cannot read" does not land. Yet the Korea Disease Control and Prevention Agency data cited in §1.2 says 39.6% of adults do not have sufficient health literacy, and 59.7% among those aged 65 and over. The distance between reading letters and understanding a dosing instruction opens that wide inside a single country.</w:t>
            </w:r>
          </w:p>
          <w:p>
            <w:pPr>
              <w:spacing w:after="80" w:line="276" w:lineRule="auto"/>
              <w:jc w:val="both"/>
            </w:pPr>
            <w:r>
              <w:rPr>
                <w:rFonts w:ascii="Times New Roman" w:hAnsi="Times New Roman" w:eastAsia="바탕"/>
                <w:sz w:val="20"/>
              </w:rPr>
              <w:t>Our own survey produced the evidence that it goes unseen. Of the 39 respondents in §5.7, 18 answered that they almost never meet such a patient. One wrote:</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We take that answer as counter-evidence. If national statistics say 39.6% while nearly half of practitioners say they do not meet them, one of the two does not mean there is no problem; it means the problem does not surface in the consulting room. That people who cannot read do not say so is something the prior work cited in §1.10 already observed, and our survey showed it again.</w:t>
            </w:r>
          </w:p>
          <w:p>
            <w:pPr>
              <w:spacing w:after="80" w:line="276" w:lineRule="auto"/>
              <w:jc w:val="both"/>
            </w:pPr>
            <w:r>
              <w:rPr>
                <w:rFonts w:ascii="Times New Roman" w:hAnsi="Times New Roman" w:eastAsia="바탕"/>
                <w:sz w:val="20"/>
              </w:rPr>
              <w:t xml:space="preserve">In Moldova the shape is different. The population is projected to fall by 31% by 2060, the median age to rise from 38 to 47, and the share of older people to more than double to 27%. The disease burden is concentrated in noncommunicable disease, and between 2008 and 2015 diabetes prevalence rose 75% and circulatory disease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It is a country where the number of people taking several medicines over a long period is rising fast, and with it the number handling those medicines alone at home.</w:t>
            </w:r>
          </w:p>
          <w:p>
            <w:pPr>
              <w:spacing w:after="80" w:line="276" w:lineRule="auto"/>
              <w:jc w:val="both"/>
            </w:pPr>
            <w:r>
              <w:rPr>
                <w:rFonts w:ascii="Times New Roman" w:hAnsi="Times New Roman" w:eastAsia="바탕"/>
                <w:sz w:val="20"/>
              </w:rPr>
              <w:t>Placed side by side, the two make the target of this app plain. In Korea it is a problem that exists but is not seen; in Moldova it is a problem that is going to grow. The first needs a route that reaches the people the consulting room missed; the second needs a tool that scales without adding staff. A design in which one photograph produces a picture and a spoken sentence, computed on the device, treats both the same way.</w:t>
            </w:r>
          </w:p>
          <w:p>
            <w:pPr>
              <w:spacing w:after="80" w:line="276" w:lineRule="auto"/>
              <w:jc w:val="both"/>
            </w:pPr>
            <w:r>
              <w:rPr>
                <w:rFonts w:ascii="Times New Roman" w:hAnsi="Times New Roman" w:eastAsia="바탕"/>
                <w:sz w:val="20"/>
              </w:rPr>
              <w:t>A limit belongs here. We could not find data measuring the relationship between health literacy and primary care use inside Moldova itself. What §1.5 cites is a study of 170 Moldovan migrant women living in Padua, Italy, and being a migrant sample it cannot be carried across to the population inside Moldova. Confirming it in Moldova is part of the field evaluation in §5.10.</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The whole home screen. Above the red line is what is visible without scrolling; below it is veiled. What is actually met on opening the app is the part above the line.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Design intent. Each of the three branches is one clause of the grammar. A modifier outside a slot fails to parse unless it is marked </w:t>
            </w:r>
            <w:r>
              <w:rPr>
                <w:rFonts w:ascii="Consolas" w:hAnsi="Consolas" w:eastAsia="Consolas"/>
                <w:sz w:val="19"/>
              </w:rPr>
              <w:t>standalone</w:t>
            </w:r>
            <w:r>
              <w:rPr>
                <w:rFonts w:ascii="Times New Roman" w:hAnsi="Times New Roman" w:eastAsia="바탕"/>
                <w:sz w:val="20"/>
              </w:rPr>
              <w:t xml:space="preserve"> (the four in §2.2 — morning, noon, evening and night; a time of day stands on its own without modifying anything, so it is allowed to stand alone),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80" w:line="276" w:lineRule="auto"/>
              <w:jc w:val="both"/>
            </w:pPr>
            <w:r>
              <w:rPr>
                <w:rFonts w:ascii="Times New Roman" w:hAnsi="Times New Roman" w:eastAsia="바탕"/>
                <w:sz w:val="20"/>
              </w:rPr>
              <w:t>What this derivation actually produces is set down here for the four age bands. These are the values the six lines above return.</w:t>
            </w:r>
          </w:p>
          <w:p>
            <w:pPr>
              <w:spacing w:after="80" w:line="276" w:lineRule="auto"/>
              <w:jc w:val="both"/>
            </w:pPr>
            <w:r>
              <w:rPr>
                <w:rFonts w:ascii="Times New Roman" w:hAnsi="Times New Roman" w:eastAsia="바탕"/>
                <w:sz w:val="20"/>
              </w:rPr>
              <w:t>[Table 10] Daily references by age band (output of the code above)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Age band</w:t>
                  </w:r>
                </w:p>
              </w:tc>
              <w:tc>
                <w:tcPr>
                  <w:tcW w:type="dxa" w:w="1221"/>
                  <w:shd w:val="clear" w:fill="F2F2F2"/>
                </w:tcPr>
                <w:p>
                  <w:r>
                    <w:rPr>
                      <w:rFonts w:ascii="Times New Roman" w:hAnsi="Times New Roman" w:eastAsia="바탕"/>
                      <w:b/>
                      <w:sz w:val="18"/>
                    </w:rPr>
                    <w:t>Energy</w:t>
                  </w:r>
                </w:p>
              </w:tc>
              <w:tc>
                <w:tcPr>
                  <w:tcW w:type="dxa" w:w="1221"/>
                  <w:shd w:val="clear" w:fill="F2F2F2"/>
                </w:tcPr>
                <w:p>
                  <w:r>
                    <w:rPr>
                      <w:rFonts w:ascii="Times New Roman" w:hAnsi="Times New Roman" w:eastAsia="바탕"/>
                      <w:b/>
                      <w:sz w:val="18"/>
                    </w:rPr>
                    <w:t>Free sugars</w:t>
                  </w:r>
                </w:p>
              </w:tc>
              <w:tc>
                <w:tcPr>
                  <w:tcW w:type="dxa" w:w="1221"/>
                  <w:shd w:val="clear" w:fill="F2F2F2"/>
                </w:tcPr>
                <w:p>
                  <w:r>
                    <w:rPr>
                      <w:rFonts w:ascii="Times New Roman" w:hAnsi="Times New Roman" w:eastAsia="바탕"/>
                      <w:b/>
                      <w:sz w:val="18"/>
                    </w:rPr>
                    <w:t>Saturated fat</w:t>
                  </w:r>
                </w:p>
              </w:tc>
              <w:tc>
                <w:tcPr>
                  <w:tcW w:type="dxa" w:w="1221"/>
                  <w:shd w:val="clear" w:fill="F2F2F2"/>
                </w:tcPr>
                <w:p>
                  <w:r>
                    <w:rPr>
                      <w:rFonts w:ascii="Times New Roman" w:hAnsi="Times New Roman" w:eastAsia="바탕"/>
                      <w:b/>
                      <w:sz w:val="18"/>
                    </w:rPr>
                    <w:t>Fat</w:t>
                  </w:r>
                </w:p>
              </w:tc>
              <w:tc>
                <w:tcPr>
                  <w:tcW w:type="dxa" w:w="1221"/>
                  <w:shd w:val="clear" w:fill="F2F2F2"/>
                </w:tcPr>
                <w:p>
                  <w:r>
                    <w:rPr>
                      <w:rFonts w:ascii="Times New Roman" w:hAnsi="Times New Roman" w:eastAsia="바탕"/>
                      <w:b/>
                      <w:sz w:val="18"/>
                    </w:rPr>
                    <w:t>Salt</w:t>
                  </w:r>
                </w:p>
              </w:tc>
              <w:tc>
                <w:tcPr>
                  <w:tcW w:type="dxa" w:w="1221"/>
                  <w:shd w:val="clear" w:fill="F2F2F2"/>
                </w:tcPr>
                <w:p>
                  <w:r>
                    <w:rPr>
                      <w:rFonts w:ascii="Times New Roman" w:hAnsi="Times New Roman" w:eastAsia="바탕"/>
                      <w:b/>
                      <w:sz w:val="18"/>
                    </w:rPr>
                    <w:t>Fibre</w:t>
                  </w:r>
                </w:p>
              </w:tc>
              <w:tc>
                <w:tcPr>
                  <w:tcW w:type="dxa" w:w="1221"/>
                  <w:shd w:val="clear" w:fill="F2F2F2"/>
                </w:tcPr>
                <w:p>
                  <w:r>
                    <w:rPr>
                      <w:rFonts w:ascii="Times New Roman" w:hAnsi="Times New Roman" w:eastAsia="바탕"/>
                      <w:b/>
                      <w:sz w:val="18"/>
                    </w:rPr>
                    <w:t>Protein</w:t>
                  </w:r>
                </w:p>
              </w:tc>
            </w:tr>
            <w:tr>
              <w:tc>
                <w:tcPr>
                  <w:tcW w:type="dxa" w:w="1221"/>
                </w:tcPr>
                <w:p>
                  <w:r>
                    <w:rPr>
                      <w:rFonts w:ascii="Times New Roman" w:hAnsi="Times New Roman" w:eastAsia="바탕"/>
                      <w:sz w:val="18"/>
                    </w:rPr>
                    <w:t>Child (7)</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Teenager (15)</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Adult (35)</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Older adult (70)</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The table is included so that a reviewer can check the arithmetic. On the deployment, the home screen in Figure 15 shows 27.5 g of free sugars as 61%, and 27.5 divided by 45 is 61.1%. The percentage on screen comes straight out of the derivation in this table.</w:t>
            </w:r>
          </w:p>
          <w:p>
            <w:pPr>
              <w:spacing w:after="80" w:line="276" w:lineRule="auto"/>
              <w:jc w:val="both"/>
            </w:pPr>
            <w:r>
              <w:rPr>
                <w:rFonts w:ascii="Times New Roman" w:hAnsi="Times New Roman" w:eastAsia="바탕"/>
                <w:sz w:val="20"/>
              </w:rPr>
              <w:t>The table also shows that child and older adult share an energy figure of 1,800 kcal while their protein targets part at 23.2 g and 49.8 g. Protein alone is derived from body weight (0.83 g per kg), with the representative weight set at 28 kg for a child and 60 kg for an older adult.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11]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The four values form a 2x2 table: </w:t>
            </w:r>
            <w:r>
              <w:rPr>
                <w:rFonts w:ascii="Consolas" w:hAnsi="Consolas" w:eastAsia="Consolas"/>
                <w:sz w:val="19"/>
              </w:rPr>
              <w:t>a</w:t>
            </w:r>
            <w:r>
              <w:rPr>
                <w:rFonts w:ascii="Times New Roman" w:hAnsi="Times New Roman" w:eastAsia="바탕"/>
                <w:sz w:val="20"/>
              </w:rPr>
              <w:t xml:space="preserve"> is the number of times the ingredient was eaten and the person felt unwell, </w:t>
            </w:r>
            <w:r>
              <w:rPr>
                <w:rFonts w:ascii="Consolas" w:hAnsi="Consolas" w:eastAsia="Consolas"/>
                <w:sz w:val="19"/>
              </w:rPr>
              <w:t>b</w:t>
            </w:r>
            <w:r>
              <w:rPr>
                <w:rFonts w:ascii="Times New Roman" w:hAnsi="Times New Roman" w:eastAsia="바탕"/>
                <w:sz w:val="20"/>
              </w:rPr>
              <w:t xml:space="preserve"> eaten and fine, </w:t>
            </w:r>
            <w:r>
              <w:rPr>
                <w:rFonts w:ascii="Consolas" w:hAnsi="Consolas" w:eastAsia="Consolas"/>
                <w:sz w:val="19"/>
              </w:rPr>
              <w:t>c</w:t>
            </w:r>
            <w:r>
              <w:rPr>
                <w:rFonts w:ascii="Times New Roman" w:hAnsi="Times New Roman" w:eastAsia="바탕"/>
                <w:sz w:val="20"/>
              </w:rPr>
              <w:t xml:space="preserve"> not eaten and unwell, </w:t>
            </w:r>
            <w:r>
              <w:rPr>
                <w:rFonts w:ascii="Consolas" w:hAnsi="Consolas" w:eastAsia="Consolas"/>
                <w:sz w:val="19"/>
              </w:rPr>
              <w:t>d</w:t>
            </w:r>
            <w:r>
              <w:rPr>
                <w:rFonts w:ascii="Times New Roman" w:hAnsi="Times New Roman" w:eastAsia="바탕"/>
                <w:sz w:val="20"/>
              </w:rPr>
              <w:t xml:space="preserve"> not eaten and fine. 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12]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(DS1302).</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13]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13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14]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15]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16]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17]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18]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Sweep the screen to hear it</w:t>
                  </w:r>
                </w:p>
              </w:tc>
              <w:tc>
                <w:tcPr>
                  <w:tcW w:type="dxa" w:w="3238"/>
                </w:tcPr>
                <w:p>
                  <w:r>
                    <w:rPr>
                      <w:rFonts w:ascii="Times New Roman" w:hAnsi="Times New Roman" w:eastAsia="바탕"/>
                      <w:sz w:val="18"/>
                    </w:rPr>
                    <w:t>Press and hold, then slide, and whatever passes under the finger is read in turn</w:t>
                  </w:r>
                </w:p>
              </w:tc>
              <w:tc>
                <w:tcPr>
                  <w:tcW w:type="dxa" w:w="3238"/>
                </w:tcPr>
                <w:p>
                  <w:r>
                    <w:rPr>
                      <w:rFonts w:ascii="Times New Roman" w:hAnsi="Times New Roman" w:eastAsia="바탕"/>
                      <w:sz w:val="18"/>
                    </w:rPr>
                    <w:t>There is no need to know in advance where the audio is</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grey speaker circles that sat on every line were taken away. Having attached audio everywhere audio could go, eight to ten circles ended up tiled across a single screen, while the thing being pressed was the whole line and the circle was only a sign saying "there is audio here". What occupied the most space on the screen was not a function but a sign.</w:t>
            </w:r>
          </w:p>
          <w:p>
            <w:pPr>
              <w:spacing w:after="80" w:line="276" w:lineRule="auto"/>
              <w:jc w:val="both"/>
            </w:pPr>
            <w:r>
              <w:rPr>
                <w:rFonts w:ascii="Times New Roman" w:hAnsi="Times New Roman" w:eastAsia="바탕"/>
                <w:sz w:val="20"/>
              </w:rPr>
              <w:t>The sign was there because we held that the user has to be told in advance where the audio is. Being able to sweep removes that premise. Press and hold, slide, and what passes under the finger is read in turn, so it is swept rather than searched for. This is how a screen reader navigates, and it is closer to the criterion established in §1.10, that no step requiring explanation should be created.</w:t>
            </w:r>
          </w:p>
          <w:p>
            <w:pPr>
              <w:spacing w:after="80" w:line="276" w:lineRule="auto"/>
              <w:jc w:val="both"/>
            </w:pPr>
            <w:r>
              <w:rPr>
                <w:rFonts w:ascii="Times New Roman" w:hAnsi="Times New Roman" w:eastAsia="바탕"/>
                <w:sz w:val="20"/>
              </w:rPr>
              <w:t xml:space="preserve">The signs did not disappear altogether; they became transient. While a sweep is in progress </w:t>
            </w:r>
            <w:r>
              <w:rPr>
                <w:rFonts w:ascii="Consolas" w:hAnsi="Consolas" w:eastAsia="Consolas"/>
                <w:sz w:val="19"/>
              </w:rPr>
              <w:t>html[data-hearing]</w:t>
            </w:r>
            <w:r>
              <w:rPr>
                <w:rFonts w:ascii="Times New Roman" w:hAnsi="Times New Roman" w:eastAsia="바탕"/>
                <w:sz w:val="20"/>
              </w:rPr>
              <w:t xml:space="preserve"> reveals them, and they go quiet again when the finger lifts (</w:t>
            </w:r>
            <w:r>
              <w:rPr>
                <w:rFonts w:ascii="Consolas" w:hAnsi="Consolas" w:eastAsia="Consolas"/>
                <w:sz w:val="19"/>
              </w:rPr>
              <w:t>app/globals.css</w:t>
            </w:r>
            <w:r>
              <w:rPr>
                <w:rFonts w:ascii="Times New Roman" w:hAnsi="Times New Roman" w:eastAsia="바탕"/>
                <w:sz w:val="20"/>
              </w:rPr>
              <w:t>). So the screen shows where the audio is exactly while the user is looking for it, and shows nothing the rest of the time.</w:t>
            </w:r>
          </w:p>
          <w:p>
            <w:pPr>
              <w:spacing w:after="80" w:line="276" w:lineRule="auto"/>
              <w:jc w:val="both"/>
            </w:pPr>
            <w:r>
              <w:rPr>
                <w:rFonts w:ascii="Times New Roman" w:hAnsi="Times New Roman" w:eastAsia="바탕"/>
                <w:sz w:val="20"/>
              </w:rPr>
              <w:t xml:space="preserve">One thing has to be stated precisely here. What a sweep reveals is </w:t>
            </w:r>
            <w:r>
              <w:rPr>
                <w:rFonts w:ascii="Times New Roman" w:hAnsi="Times New Roman" w:eastAsia="바탕"/>
                <w:b/>
                <w:sz w:val="20"/>
              </w:rPr>
              <w:t>not all</w:t>
            </w:r>
            <w:r>
              <w:rPr>
                <w:rFonts w:ascii="Times New Roman" w:hAnsi="Times New Roman" w:eastAsia="바탕"/>
                <w:sz w:val="20"/>
              </w:rPr>
              <w:t xml:space="preserve"> of the places that carry audio. Counting on the home screen of the deployment, 14 places carry audio and 3 of them get a marker. Places wrapping a picture or a bar are called with </w:t>
            </w:r>
            <w:r>
              <w:rPr>
                <w:rFonts w:ascii="Consolas" w:hAnsi="Consolas" w:eastAsia="Consolas"/>
                <w:sz w:val="19"/>
              </w:rPr>
              <w:t>bare</w:t>
            </w:r>
            <w:r>
              <w:rPr>
                <w:rFonts w:ascii="Times New Roman" w:hAnsi="Times New Roman" w:eastAsia="바탕"/>
                <w:sz w:val="20"/>
              </w:rPr>
              <w:t xml:space="preserve"> and get no marker at all (six such call sites), because putting a grey circle over a picture covers the picture. A sweep still reads those places, but for someone who is not sweeping, the fact that audio is there never appears on screen. For a user who does not know about sweeping there is still audio that cannot be seen, and that is an item to settle with people present in the field evaluation of §5.10.</w:t>
            </w:r>
          </w:p>
          <w:p>
            <w:pPr>
              <w:spacing w:after="80" w:line="276" w:lineRule="auto"/>
              <w:jc w:val="both"/>
            </w:pPr>
            <w:r>
              <w:rPr>
                <w:rFonts w:ascii="Times New Roman" w:hAnsi="Times New Roman" w:eastAsia="바탕"/>
                <w:sz w:val="20"/>
              </w:rPr>
              <w:t>Nor did all the grey circles go. Where the row is itself a button, a button cannot be nested inside it, so a 44-pixel listen button sits beside it as a sibling. There are two such places on the home screen of the deployment, and the speaker is always visible there.</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19]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19 dims but that the sentence does not read.</w:t>
            </w:r>
          </w:p>
          <w:p>
            <w:pPr>
              <w:spacing w:after="80" w:line="276" w:lineRule="auto"/>
              <w:jc w:val="both"/>
            </w:pPr>
            <w:r>
              <w:rPr>
                <w:rFonts w:ascii="Times New Roman" w:hAnsi="Times New Roman" w:eastAsia="바탕"/>
                <w:sz w:val="20"/>
              </w:rPr>
              <w:t xml:space="preserve">[Table 20]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 The lowest of the eighteen combinations is the caution colour on the off-white background at 4.52, a margin of 0.02 over the criterion. Lightening that colour by even one step would put it under, so the values in Table 20 are not a matter of taste but values taken at the boundary.</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These four were measured again on the deployment. Nine screens (</w:t>
            </w:r>
            <w:r>
              <w:rPr>
                <w:rFonts w:ascii="Consolas" w:hAnsi="Consolas" w:eastAsia="Consolas"/>
                <w:sz w:val="19"/>
              </w:rPr>
              <w:t>/home</w:t>
            </w:r>
            <w:r>
              <w:rPr>
                <w:rFonts w:ascii="Times New Roman" w:hAnsi="Times New Roman" w:eastAsia="바탕"/>
                <w:sz w:val="20"/>
              </w:rPr>
              <w:t xml:space="preserve">, </w:t>
            </w:r>
            <w:r>
              <w:rPr>
                <w:rFonts w:ascii="Consolas" w:hAnsi="Consolas" w:eastAsia="Consolas"/>
                <w:sz w:val="19"/>
              </w:rPr>
              <w:t>/scan</w:t>
            </w:r>
            <w:r>
              <w:rPr>
                <w:rFonts w:ascii="Times New Roman" w:hAnsi="Times New Roman" w:eastAsia="바탕"/>
                <w:sz w:val="20"/>
              </w:rPr>
              <w:t xml:space="preserve">,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/settings</w:t>
            </w:r>
            <w:r>
              <w:rPr>
                <w:rFonts w:ascii="Times New Roman" w:hAnsi="Times New Roman" w:eastAsia="바탕"/>
                <w:sz w:val="20"/>
              </w:rPr>
              <w:t xml:space="preserve">, </w:t>
            </w:r>
            <w:r>
              <w:rPr>
                <w:rFonts w:ascii="Consolas" w:hAnsi="Consolas" w:eastAsia="Consolas"/>
                <w:sz w:val="19"/>
              </w:rPr>
              <w:t>/profile</w:t>
            </w:r>
            <w:r>
              <w:rPr>
                <w:rFonts w:ascii="Times New Roman" w:hAnsi="Times New Roman" w:eastAsia="바탕"/>
                <w:sz w:val="20"/>
              </w:rPr>
              <w:t xml:space="preserve">, </w:t>
            </w:r>
            <w:r>
              <w:rPr>
                <w:rFonts w:ascii="Consolas" w:hAnsi="Consolas" w:eastAsia="Consolas"/>
                <w:sz w:val="19"/>
              </w:rPr>
              <w:t>/people</w:t>
            </w:r>
            <w:r>
              <w:rPr>
                <w:rFonts w:ascii="Times New Roman" w:hAnsi="Times New Roman" w:eastAsia="바탕"/>
                <w:sz w:val="20"/>
              </w:rPr>
              <w:t xml:space="preserve">, </w:t>
            </w:r>
            <w:r>
              <w:rPr>
                <w:rFonts w:ascii="Consolas" w:hAnsi="Consolas" w:eastAsia="Consolas"/>
                <w:sz w:val="19"/>
              </w:rPr>
              <w:t>/device</w:t>
            </w:r>
            <w:r>
              <w:rPr>
                <w:rFonts w:ascii="Times New Roman" w:hAnsi="Times New Roman" w:eastAsia="바탕"/>
                <w:sz w:val="20"/>
              </w:rPr>
              <w:t xml:space="preserve">, </w:t>
            </w:r>
            <w:r>
              <w:rPr>
                <w:rFonts w:ascii="Consolas" w:hAnsi="Consolas" w:eastAsia="Consolas"/>
                <w:sz w:val="19"/>
              </w:rPr>
              <w:t>/onboarding</w:t>
            </w:r>
            <w:r>
              <w:rPr>
                <w:rFonts w:ascii="Times New Roman" w:hAnsi="Times New Roman" w:eastAsia="바탕"/>
                <w:sz w:val="20"/>
              </w:rPr>
              <w:t xml:space="preserve">, </w:t>
            </w:r>
            <w:r>
              <w:rPr>
                <w:rFonts w:ascii="Consolas" w:hAnsi="Consolas" w:eastAsia="Consolas"/>
                <w:sz w:val="19"/>
              </w:rPr>
              <w:t>/dose</w:t>
            </w:r>
            <w:r>
              <w:rPr>
                <w:rFonts w:ascii="Times New Roman" w:hAnsi="Times New Roman" w:eastAsia="바탕"/>
                <w:sz w:val="20"/>
              </w:rPr>
              <w:t>) were opened at 375 pixels wide and 143 controls counted. No unnamed controls, no horizontal scrolling, and one control below 24 pixels.</w:t>
            </w:r>
          </w:p>
          <w:p>
            <w:pPr>
              <w:spacing w:after="80" w:line="276" w:lineRule="auto"/>
              <w:jc w:val="both"/>
            </w:pPr>
            <w:r>
              <w:rPr>
                <w:rFonts w:ascii="Times New Roman" w:hAnsi="Times New Roman" w:eastAsia="바탕"/>
                <w:sz w:val="20"/>
              </w:rPr>
              <w:t>That one should be set down. The close button on the capture screen (</w:t>
            </w:r>
            <w:r>
              <w:rPr>
                <w:rFonts w:ascii="Consolas" w:hAnsi="Consolas" w:eastAsia="Consolas"/>
                <w:sz w:val="19"/>
              </w:rPr>
              <w:t>×</w:t>
            </w:r>
            <w:r>
              <w:rPr>
                <w:rFonts w:ascii="Times New Roman" w:hAnsi="Times New Roman" w:eastAsia="바탕"/>
                <w:sz w:val="20"/>
              </w:rPr>
              <w:t>) is 15×24. SC 2.5.8 allows a spacing exception: an undersized target conforms if a 24-pixel-diameter circle centred on it does not touch the circle of another target. The nearest other target to this button is 601 pixels away, so it conforms. It is recorded even so, because the paragraph above says "a minimum of 24 pixels was laid down" and that is not literally true. It was laid down, and one place remains an exception.</w:t>
            </w:r>
          </w:p>
          <w:p>
            <w:pPr>
              <w:spacing w:after="80" w:line="276" w:lineRule="auto"/>
              <w:jc w:val="both"/>
            </w:pPr>
            <w:r>
              <w:rPr>
                <w:rFonts w:ascii="Times New Roman" w:hAnsi="Times New Roman" w:eastAsia="바탕"/>
                <w:sz w:val="20"/>
              </w:rPr>
              <w:t xml:space="preserve">This measurement is kept as </w:t>
            </w:r>
            <w:r>
              <w:rPr>
                <w:rFonts w:ascii="Consolas" w:hAnsi="Consolas" w:eastAsia="Consolas"/>
                <w:sz w:val="19"/>
              </w:rPr>
              <w:t>tools/check_a11y.mjs</w:t>
            </w:r>
            <w:r>
              <w:rPr>
                <w:rFonts w:ascii="Times New Roman" w:hAnsi="Times New Roman" w:eastAsia="바탕"/>
                <w:sz w:val="20"/>
              </w:rPr>
              <w:t>, to be rerun when screens are added or controls change.</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21]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22]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DS1302</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r>
                    <w:rPr>
                      <w:rFonts w:ascii="Times New Roman" w:hAnsi="Times New Roman" w:eastAsia="바탕"/>
                      <w:sz w:val="18"/>
                    </w:rPr>
                    <w:t>Stops when idle, wakes on request</w:t>
                  </w:r>
                </w:p>
              </w:tc>
            </w:tr>
          </w:tbl>
          <w:p/>
          <w:p>
            <w:pPr>
              <w:spacing w:after="120"/>
            </w:pPr>
          </w:p>
          <w:p>
            <w:pPr>
              <w:spacing w:after="80" w:line="276" w:lineRule="auto"/>
              <w:jc w:val="both"/>
            </w:pPr>
            <w:r>
              <w:rPr>
                <w:rFonts w:ascii="Times New Roman" w:hAnsi="Times New Roman" w:eastAsia="바탕"/>
                <w:sz w:val="20"/>
              </w:rPr>
              <w:t xml:space="preserve">The last row should be set down first. To avoid leaving a machine idle we set </w:t>
            </w:r>
            <w:r>
              <w:rPr>
                <w:rFonts w:ascii="Consolas" w:hAnsi="Consolas" w:eastAsia="Consolas"/>
                <w:sz w:val="19"/>
              </w:rPr>
              <w:t>min_machines_running = 0</w:t>
            </w:r>
            <w:r>
              <w:rPr>
                <w:rFonts w:ascii="Times New Roman" w:hAnsi="Times New Roman" w:eastAsia="바탕"/>
                <w:sz w:val="20"/>
              </w:rPr>
              <w:t>, so it stops when nobody is using it and wakes on the first request. Anyone opening it for the first time therefore waits a few seconds. Measured on 3 August 2026, the first request took 6.5 seconds and the ones after it 0.17. That 6.5 seconds is what someone who reads this document and opens the deployment meets first, so it is recorded. Running it always-on would remove it, but that is a question of cost rather than of design.</w:t>
            </w: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23]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Reading the paper form</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six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24]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25]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25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25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real-time clock. Whether the relay is down, unreachable or never configured at all, nobody's dose is missed. The judgement in Table 25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does not separate</w:t>
              <w:br/>
              <w:t xml:space="preserve">        values[name] = None</w:t>
              <w:br/>
              <w:t xml:space="preserve">        problems.append(</w:t>
              <w:br/>
              <w:t xml:space="preserve">            f"{name}: ambiguous ({best[0]}={best[1]:.2f}, {second[0]}={second[1]:.2f})"</w:t>
              <w:br/>
              <w:t xml:space="preserve">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26]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26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(0.55–0.74 against 0.00–0.04) shows the reading was not a near miss at the boundary. For each row the figure prints the lowest of the chosen cells beside the highest of the rest. The narrowest is the days row, where the lowest chosen is Friday at 0.55 and the highest unchosen is Tuesday at 0.04, a factor of fourteen even there. The top of the range, 0.74, is Wednesday, and does not appear in the figure because the figure prints only each row's minimum.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 (</w:t>
            </w:r>
            <w:r>
              <w:rPr>
                <w:rFonts w:ascii="Consolas" w:hAnsi="Consolas" w:eastAsia="Consolas"/>
                <w:sz w:val="19"/>
              </w:rPr>
              <w:t>public/sw.js</w:t>
            </w:r>
            <w:r>
              <w:rPr>
                <w:rFonts w:ascii="Times New Roman" w:hAnsi="Times New Roman" w:eastAsia="바탕"/>
                <w:sz w:val="20"/>
              </w:rPr>
              <w:t>). Only two long comments have been shortened; the code is as it stands in the file.</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…the nutrition model (16 MB) and its config. Comment shortened</w:t>
              <w:br/>
              <w:t xml:space="preserve">    url.pathname.startsWith('/models/') ||</w:t>
              <w:br/>
              <w:t xml:space="preserve">    // …the OCR worker, core and language data</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27]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 xml:space="preserve">The same middleware sends four more headers. The values are recorded here as confirmed on the deployment. </w:t>
            </w:r>
            <w:r>
              <w:rPr>
                <w:rFonts w:ascii="Consolas" w:hAnsi="Consolas" w:eastAsia="Consolas"/>
                <w:sz w:val="19"/>
              </w:rPr>
              <w:t>Content-Security-Policy</w:t>
            </w:r>
            <w:r>
              <w:rPr>
                <w:rFonts w:ascii="Times New Roman" w:hAnsi="Times New Roman" w:eastAsia="바탕"/>
                <w:sz w:val="20"/>
              </w:rPr>
              <w:t xml:space="preserve"> opens with </w:t>
            </w:r>
            <w:r>
              <w:rPr>
                <w:rFonts w:ascii="Consolas" w:hAnsi="Consolas" w:eastAsia="Consolas"/>
                <w:sz w:val="19"/>
              </w:rPr>
              <w:t>default-src 'self'</w:t>
            </w:r>
            <w:r>
              <w:rPr>
                <w:rFonts w:ascii="Times New Roman" w:hAnsi="Times New Roman" w:eastAsia="바탕"/>
                <w:sz w:val="20"/>
              </w:rPr>
              <w:t xml:space="preserve"> and pins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and </w:t>
            </w:r>
            <w:r>
              <w:rPr>
                <w:rFonts w:ascii="Consolas" w:hAnsi="Consolas" w:eastAsia="Consolas"/>
                <w:sz w:val="19"/>
              </w:rPr>
              <w:t>form-action 'self'</w:t>
            </w:r>
            <w:r>
              <w:rPr>
                <w:rFonts w:ascii="Times New Roman" w:hAnsi="Times New Roman" w:eastAsia="바탕"/>
                <w:sz w:val="20"/>
              </w:rPr>
              <w:t xml:space="preserve">. Its </w:t>
            </w:r>
            <w:r>
              <w:rPr>
                <w:rFonts w:ascii="Consolas" w:hAnsi="Consolas" w:eastAsia="Consolas"/>
                <w:sz w:val="19"/>
              </w:rPr>
              <w:t>connect-src</w:t>
            </w:r>
            <w:r>
              <w:rPr>
                <w:rFonts w:ascii="Times New Roman" w:hAnsi="Times New Roman" w:eastAsia="바탕"/>
                <w:sz w:val="20"/>
              </w:rPr>
              <w:t xml:space="preserve"> is only </w:t>
            </w:r>
            <w:r>
              <w:rPr>
                <w:rFonts w:ascii="Consolas" w:hAnsi="Consolas" w:eastAsia="Consolas"/>
                <w:sz w:val="19"/>
              </w:rPr>
              <w:t>'self'</w:t>
            </w:r>
            <w:r>
              <w:rPr>
                <w:rFonts w:ascii="Times New Roman" w:hAnsi="Times New Roman" w:eastAsia="바탕"/>
                <w:sz w:val="20"/>
              </w:rPr>
              <w:t xml:space="preserve"> and </w:t>
            </w:r>
            <w:r>
              <w:rPr>
                <w:rFonts w:ascii="Consolas" w:hAnsi="Consolas" w:eastAsia="Consolas"/>
                <w:sz w:val="19"/>
              </w:rPr>
              <w:t>https://snapcare-relay.fly.dev</w:t>
            </w:r>
            <w:r>
              <w:rPr>
                <w:rFonts w:ascii="Times New Roman" w:hAnsi="Times New Roman" w:eastAsia="바탕"/>
                <w:sz w:val="20"/>
              </w:rPr>
              <w:t xml:space="preserve">. That the app sends requests nowhere else is therefore not a rule but something the browser enforces, and this header is what makes the relay the single external channel described in §4.3. The other three are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and </w:t>
            </w:r>
            <w:r>
              <w:rPr>
                <w:rFonts w:ascii="Consolas" w:hAnsi="Consolas" w:eastAsia="Consolas"/>
                <w:sz w:val="19"/>
              </w:rPr>
              <w:t>Strict-Transport-Security: max-age=31536000; includeSubDomains</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There is a weak point in that policy and it belongs here too. </w:t>
            </w:r>
            <w:r>
              <w:rPr>
                <w:rFonts w:ascii="Consolas" w:hAnsi="Consolas" w:eastAsia="Consolas"/>
                <w:sz w:val="19"/>
              </w:rPr>
              <w:t>script-src</w:t>
            </w:r>
            <w:r>
              <w:rPr>
                <w:rFonts w:ascii="Times New Roman" w:hAnsi="Times New Roman" w:eastAsia="바탕"/>
                <w:sz w:val="20"/>
              </w:rPr>
              <w:t xml:space="preserve"> and </w:t>
            </w:r>
            <w:r>
              <w:rPr>
                <w:rFonts w:ascii="Consolas" w:hAnsi="Consolas" w:eastAsia="Consolas"/>
                <w:sz w:val="19"/>
              </w:rPr>
              <w:t>style-src</w:t>
            </w:r>
            <w:r>
              <w:rPr>
                <w:rFonts w:ascii="Times New Roman" w:hAnsi="Times New Roman" w:eastAsia="바탕"/>
                <w:sz w:val="20"/>
              </w:rPr>
              <w:t xml:space="preserve"> both carry </w:t>
            </w:r>
            <w:r>
              <w:rPr>
                <w:rFonts w:ascii="Consolas" w:hAnsi="Consolas" w:eastAsia="Consolas"/>
                <w:sz w:val="19"/>
              </w:rPr>
              <w:t>'unsafe-inline'</w:t>
            </w:r>
            <w:r>
              <w:rPr>
                <w:rFonts w:ascii="Times New Roman" w:hAnsi="Times New Roman" w:eastAsia="바탕"/>
                <w:sz w:val="20"/>
              </w:rPr>
              <w:t xml:space="preserve">, because Next.js emits its bootstrap script and styles inline, and the defence against cross-site scripting is that much shallower for it. A nonce would remove the need; we did not do it. </w:t>
            </w:r>
            <w:r>
              <w:rPr>
                <w:rFonts w:ascii="Consolas" w:hAnsi="Consolas" w:eastAsia="Consolas"/>
                <w:sz w:val="19"/>
              </w:rPr>
              <w:t>wasm-unsafe-eval</w:t>
            </w:r>
            <w:r>
              <w:rPr>
                <w:rFonts w:ascii="Times New Roman" w:hAnsi="Times New Roman" w:eastAsia="바탕"/>
                <w:sz w:val="20"/>
              </w:rPr>
              <w:t xml:space="preserve"> is open for the same kind of reason, because the on-device nutrition model and the OCR are WebAssembly (§4.1). Having a reason to leave something open is not the same as it being closed, so it is recorded as open.</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28]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29]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pass · 1 fail</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w:t>
            </w:r>
          </w:p>
          <w:p>
            <w:pPr>
              <w:spacing w:after="80" w:line="276" w:lineRule="auto"/>
              <w:jc w:val="both"/>
            </w:pPr>
            <w:r>
              <w:rPr>
                <w:rFonts w:ascii="Times New Roman" w:hAnsi="Times New Roman" w:eastAsia="바탕"/>
                <w:sz w:val="20"/>
              </w:rPr>
              <w:t xml:space="preserve">What failed is </w:t>
            </w:r>
            <w:r>
              <w:rPr>
                <w:rFonts w:ascii="Consolas" w:hAnsi="Consolas" w:eastAsia="Consolas"/>
                <w:sz w:val="19"/>
              </w:rPr>
              <w:t>pill_dispenser/webapp_kit/tests/kit.test.ts</w:t>
            </w:r>
            <w:r>
              <w:rPr>
                <w:rFonts w:ascii="Times New Roman" w:hAnsi="Times New Roman" w:eastAsia="바탕"/>
                <w:sz w:val="20"/>
              </w:rPr>
              <w:t xml:space="preserve">, and the cause lies not in the test but in loading it. </w:t>
            </w:r>
            <w:r>
              <w:rPr>
                <w:rFonts w:ascii="Consolas" w:hAnsi="Consolas" w:eastAsia="Consolas"/>
                <w:sz w:val="19"/>
              </w:rPr>
              <w:t>relay.ts</w:t>
            </w:r>
            <w:r>
              <w:rPr>
                <w:rFonts w:ascii="Times New Roman" w:hAnsi="Times New Roman" w:eastAsia="바탕"/>
                <w:sz w:val="20"/>
              </w:rPr>
              <w:t xml:space="preserve"> uses a constructor parameter property (</w:t>
            </w:r>
            <w:r>
              <w:rPr>
                <w:rFonts w:ascii="Consolas" w:hAnsi="Consolas" w:eastAsia="Consolas"/>
                <w:sz w:val="19"/>
              </w:rPr>
              <w:t>constructor(readonly status: number)</w:t>
            </w:r>
            <w:r>
              <w:rPr>
                <w:rFonts w:ascii="Times New Roman" w:hAnsi="Times New Roman" w:eastAsia="바탕"/>
                <w:sz w:val="20"/>
              </w:rPr>
              <w:t xml:space="preserve">), and Node's type stripping removes types without emitting code, so it does not support that syntax. The import stops with </w:t>
            </w:r>
            <w:r>
              <w:rPr>
                <w:rFonts w:ascii="Consolas" w:hAnsi="Consolas" w:eastAsia="Consolas"/>
                <w:sz w:val="19"/>
              </w:rPr>
              <w:t>ERR_UNSUPPORTED_TYPESCRIPT_SYNTAX</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It is set down because something heavier than one failure rides along with it. Since the file never loads, </w:t>
            </w:r>
            <w:r>
              <w:rPr>
                <w:rFonts w:ascii="Times New Roman" w:hAnsi="Times New Roman" w:eastAsia="바탕"/>
                <w:b/>
                <w:sz w:val="20"/>
              </w:rPr>
              <w:t>not one</w:t>
            </w:r>
            <w:r>
              <w:rPr>
                <w:rFonts w:ascii="Times New Roman" w:hAnsi="Times New Roman" w:eastAsia="바탕"/>
                <w:sz w:val="20"/>
              </w:rPr>
              <w:t xml:space="preserve"> of the tests inside it runs. The 360 above does not count that file's tests, so what looks like a single failure is in fact an entire file going unmeasured. It is the same shape of failure as the eight display constants in §5.4: the tool showed green while what it was measuring was empty.</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The "needs" column was measured and corrected. The web app was recorded as "Node only" for a while; with the dependencies removed the count falls from 360 to 335, because three files stop at an import of </w:t>
            </w:r>
            <w:r>
              <w:rPr>
                <w:rFonts w:ascii="Consolas" w:hAnsi="Consolas" w:eastAsia="Consolas"/>
                <w:sz w:val="19"/>
              </w:rPr>
              <w:t>zustand</w:t>
            </w:r>
            <w:r>
              <w:rPr>
                <w:rFonts w:ascii="Times New Roman" w:hAnsi="Times New Roman" w:eastAsia="바탕"/>
                <w:sz w:val="20"/>
              </w:rPr>
              <w:t>. Twenty-five tests disappear quietly and the rest finish green, so from the outside it looks like a pass. It is the same shape as what §5.4 records.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30]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31]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32]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 xml:space="preserve">The checker already knows why something failed. Counting attempts without using that reason is the same as rolling the same die again, and each roll costs money. Instructions were therefore hooked to the reason. What follows is </w:t>
            </w:r>
            <w:r>
              <w:rPr>
                <w:rFonts w:ascii="Consolas" w:hAnsi="Consolas" w:eastAsia="Consolas"/>
                <w:sz w:val="19"/>
              </w:rPr>
              <w:t>engine/gen_glyphs.py</w:t>
            </w:r>
            <w:r>
              <w:rPr>
                <w:rFonts w:ascii="Times New Roman" w:hAnsi="Times New Roman" w:eastAsia="바탕"/>
                <w:sz w:val="20"/>
              </w:rPr>
              <w:t xml:space="preserve"> as it stands, with only the comments and the two guard lines above removed. The conditions match on Korean words because the checker writes its reasons in Korean: 뭉쳤다 is clotted, 가늘다 too thin, 개수 wrong count, 뜻이 안 맞는다 misread, 구멍/뭉갠다 holes closing up when shrunk.</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Design intent. The six branches push in six different directions. The last catches any reason the preceding five did not match.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33]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34]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allergen_tree_nut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35]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allergen_soy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36]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37]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38]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39]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40]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3 August 2026, 39 people had answered: 3.5% of those contacted, with 124 free-text responses alongside.</w:t>
            </w:r>
          </w:p>
          <w:p>
            <w:pPr>
              <w:spacing w:after="80" w:line="276" w:lineRule="auto"/>
              <w:jc w:val="both"/>
            </w:pPr>
            <w:r>
              <w:rPr>
                <w:rFonts w:ascii="Times New Roman" w:hAnsi="Times New Roman" w:eastAsia="바탕"/>
                <w:sz w:val="20"/>
              </w:rPr>
              <w:t>[Table 41] Composition of respondents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39 respondents. Field on the left, continent on the right. Pharmacy and nursing account for more than half at 22 people, and these two are the centre of the five segments we judged qualified to view the demonstration and rule on patient comprehension. That Asia accounts for 27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22 countries across five continents, with 20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42] The 39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(13)</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(7)</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Youngchan Kim</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Seunghoon Jung</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Korea · China · Japan · Middle East</w:t>
                  </w:r>
                </w:p>
              </w:tc>
            </w:tr>
            <w:tr>
              <w:tc>
                <w:tcPr>
                  <w:tcW w:type="dxa" w:w="2429"/>
                </w:tcPr>
                <w:p>
                  <w:r>
                    <w:rPr>
                      <w:rFonts w:ascii="Times New Roman" w:hAnsi="Times New Roman" w:eastAsia="바탕"/>
                      <w:b/>
                      <w:sz w:val="18"/>
                    </w:rPr>
                    <w:t>Other (10)</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(no position given)</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Hungary</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43]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The sample is small. The judgement question went only to the five qualified segments, so n = 25 there, and questions taking all respondents as the denominator have n = 35.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44]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45]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Six tests were run, so the Bonferroni-corrected threshold is 0.0083. Two rows exceed it. We counted that number as five in an earlier version and wrote the threshold as 0.010. The error ran in our favour, so it is recorded here. The p in the fourth row is 0.0078 against a threshold of 0.0083, so the conclusion did not change, but the margin is 0.0005. That is a width one more response could overturn again. Having written that in an earlier version, four more responses did in fact arrive. The judgement question goes only to the five qualified segments, and all four of the new respondents fall outside them, so the denominator of 25 was unchanged and p did not move from 0.0078. The risk we flagged did not materialise this time; it has not gone away.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33 of the 39 respondents, 124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"In second example, the prescription read not to use the eyedrops in pregnancy while the pictogram showed a pregnant woman making the patient assume it is safe to use in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"The symbol do not show what it means. For me it means I do not need to finish the course as your black dots did not complete the fully. you may want to add a arrow symbol for direction so that its clearer?"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 xml:space="preserve">      /*</w:t>
              <w:br/>
              <w:t xml:space="preserve">        It was 700. Right there, **prescriptions with many medicines were failing</w:t>
              <w:br/>
              <w:t xml:space="preserve">        outright.**</w:t>
              <w:br/>
              <w:br/>
              <w:t xml:space="preserve">        It surfaced while measuring on 60 whole Bangladeshi prescription pages.</w:t>
              <w:br/>
              <w:t xml:space="preserve">        Eleven failed, and not at random — every one of them listed 5 to 12</w:t>
              <w:br/>
              <w:t xml:space="preserve">        medicines, and it was the same pages every time. The answer was cut off at</w:t>
              <w:br/>
              <w:t xml:space="preserve">        700 tokens (`stop_reason: max_tokens`), the cut JSON failed to parse, the</w:t>
              <w:br/>
              <w:t xml:space="preserve">        failure was caught above, and the screen said "could not read it."</w:t>
              <w:br/>
              <w:t xml:space="preserve">        The actual tail of one admission order sheet:</w:t>
              <w:br/>
              <w:t xml:space="preserve">        `…urinary catheterization. 20.` — cut mid-sentence.</w:t>
              <w:br/>
              <w:br/>
              <w:t xml:space="preserve">        **It was failing against exactly the people who need it most.** Someone</w:t>
              <w:br/>
              <w:t xml:space="preserve">        taking ten medicines needs this app most, and theirs is precisely the</w:t>
              <w:br/>
              <w:t xml:space="preserve">        prescription that does not get read.</w:t>
              <w:br/>
              <w:br/>
              <w:t xml:space="preserve">        A nutrition answer fits in 700, but dosing instructions grow with the</w:t>
              <w:br/>
              <w:t xml:space="preserve">        number of medicines. Give it room — short answers end short anyway</w:t>
              <w:br/>
              <w:t xml:space="preserve">        (end_turn), so this value does not raise the cost.</w:t>
              <w:br/>
              <w:t xml:space="preserve">      */</w:t>
              <w:br/>
              <w:t xml:space="preserve">      max_tokens: 3000,</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46]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and pharmacist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allergen_tree_nut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20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r>
              <w:rPr>
                <w:rFonts w:ascii="Times New Roman" w:hAnsi="Times New Roman" w:eastAsia="바탕"/>
                <w:color w:val="606068"/>
                <w:sz w:val="18"/>
              </w:rPr>
              <w:t xml:space="preserve"> The language picker in Settings, captured from the deployment (</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Urdu and Hausa can be seen dimmed and carrying "no voice on this phone" with a mute mark. These are the marks §5.7 describes, and this figure confirms that description.</w:t>
            </w:r>
          </w:p>
          <w:p>
            <w:pPr>
              <w:spacing w:after="80" w:line="276" w:lineRule="auto"/>
              <w:jc w:val="both"/>
            </w:pPr>
            <w:r>
              <w:rPr>
                <w:rFonts w:ascii="Times New Roman" w:hAnsi="Times New Roman" w:eastAsia="바탕"/>
                <w:sz w:val="20"/>
              </w:rPr>
              <w:t xml:space="preserve">Getting this figure took one failure. The earlier capture did not carry those marks, and we had a paragraph in the body excusing it: the browser was headless, its voice list empty, so the marks did not appear. The cause was not the browser but our capture procedure. The voice list is filled asynchronously by </w:t>
            </w:r>
            <w:r>
              <w:rPr>
                <w:rFonts w:ascii="Consolas" w:hAnsi="Consolas" w:eastAsia="Consolas"/>
                <w:sz w:val="19"/>
              </w:rPr>
              <w:t>speechSynthesis</w:t>
            </w:r>
            <w:r>
              <w:rPr>
                <w:rFonts w:ascii="Times New Roman" w:hAnsi="Times New Roman" w:eastAsia="바탕"/>
                <w:sz w:val="20"/>
              </w:rPr>
              <w:t>, and we waited only for the heading of the list before taking the shot, so the shot was taken before the marks were attached. It now waits for the marks themselves to appear on screen.</w:t>
            </w:r>
          </w:p>
          <w:p>
            <w:pPr>
              <w:spacing w:after="80" w:line="276" w:lineRule="auto"/>
              <w:jc w:val="both"/>
            </w:pPr>
            <w:r>
              <w:rPr>
                <w:rFonts w:ascii="Times New Roman" w:hAnsi="Times New Roman" w:eastAsia="바탕"/>
                <w:sz w:val="20"/>
              </w:rPr>
              <w:t>One more thing should be read from it. The disclosure sits below the red line, which is to say it is reached only by scrolling. Putting a disclosure on the screen and the user seeing it are different things, and this screen currently satisfies only the first. Someone choosing a language stops when they find their own in the list and has no reason to go further down. Whether the disclosure should move above the list is left as an item to settle with people present, in the field evaluation of §5.10.</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360 (Table 29).</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Thirty-nine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46, and it is why this section presents the free text next to the multiple choice.</w:t>
            </w:r>
          </w:p>
          <w:p>
            <w:pPr>
              <w:spacing w:after="80" w:line="276" w:lineRule="auto"/>
              <w:jc w:val="both"/>
            </w:pPr>
            <w:r>
              <w:rPr>
                <w:rFonts w:ascii="Times New Roman" w:hAnsi="Times New Roman" w:eastAsia="바탕"/>
                <w:sz w:val="20"/>
              </w:rPr>
              <w:t>A heavier flaw surfaced as the fourth wave of responses came in. What the demonstration attached to the survey shows is a prescription photograph and the pictograms and speech produced from it; the app's own screens are not in it. Youngchan Kim of Kyung Hee Cyber University gave the same answer to three questions:</w:t>
            </w:r>
          </w:p>
          <w:p>
            <w:pPr>
              <w:spacing w:after="40" w:line="276" w:lineRule="auto"/>
              <w:ind w:left="403"/>
            </w:pPr>
            <w:r>
              <w:rPr>
                <w:rFonts w:ascii="Times New Roman" w:hAnsi="Times New Roman" w:eastAsia="바탕"/>
                <w:i/>
                <w:color w:val="606068"/>
                <w:sz w:val="19"/>
              </w:rPr>
              <w:t>"I have neither seen nor used the system. (There is no system in the email.)"</w:t>
            </w:r>
          </w:p>
          <w:p>
            <w:pPr>
              <w:spacing w:after="180" w:line="276" w:lineRule="auto"/>
              <w:ind w:left="403"/>
            </w:pPr>
            <w:r>
              <w:rPr>
                <w:rFonts w:ascii="Times New Roman" w:hAnsi="Times New Roman" w:eastAsia="바탕"/>
                <w:i w:val="0"/>
                <w:color w:val="606068"/>
                <w:sz w:val="19"/>
              </w:rPr>
              <w:t>(Youngchan Kim, Kyung Hee Cyber University)</w:t>
            </w:r>
          </w:p>
          <w:p>
            <w:pPr>
              <w:spacing w:after="80" w:line="276" w:lineRule="auto"/>
              <w:jc w:val="both"/>
            </w:pPr>
            <w:r>
              <w:rPr>
                <w:rFonts w:ascii="Times New Roman" w:hAnsi="Times New Roman" w:eastAsia="바탕"/>
                <w:sz w:val="20"/>
              </w:rPr>
              <w:t>Seunghoon Jung of the Korea Institute of Design Promotion stopped at the same place.</w:t>
            </w:r>
          </w:p>
          <w:p>
            <w:pPr>
              <w:spacing w:after="40" w:line="276" w:lineRule="auto"/>
              <w:ind w:left="403"/>
            </w:pPr>
            <w:r>
              <w:rPr>
                <w:rFonts w:ascii="Times New Roman" w:hAnsi="Times New Roman" w:eastAsia="바탕"/>
                <w:i/>
                <w:color w:val="606068"/>
                <w:sz w:val="19"/>
              </w:rPr>
              <w:t>"There is no material at all to judge from — no working screens of SnapCare, for instance — so I cannot judge."</w:t>
            </w:r>
          </w:p>
          <w:p>
            <w:pPr>
              <w:spacing w:after="180" w:line="276" w:lineRule="auto"/>
              <w:ind w:left="403"/>
            </w:pPr>
            <w:r>
              <w:rPr>
                <w:rFonts w:ascii="Times New Roman" w:hAnsi="Times New Roman" w:eastAsia="바탕"/>
                <w:i w:val="0"/>
                <w:color w:val="606068"/>
                <w:sz w:val="19"/>
              </w:rPr>
              <w:t>(Seunghoon Jung, Korea Institute of Design Promotion)</w:t>
            </w:r>
          </w:p>
          <w:p>
            <w:pPr>
              <w:spacing w:after="80" w:line="276" w:lineRule="auto"/>
              <w:jc w:val="both"/>
            </w:pPr>
            <w:r>
              <w:rPr>
                <w:rFonts w:ascii="Times New Roman" w:hAnsi="Times New Roman" w:eastAsia="바탕"/>
                <w:sz w:val="20"/>
              </w:rPr>
              <w:t>Both are in the HCI and design segment. We asked people whose work is judging screens to judge without showing them a screen, and this is a flaw not in the questions but in what we chose to show. We put in only the pictograms, judging them the core of this work, and that decision made one segment's answers unusable. It differs in kind from the judgement question going to only five segments: that was a filter on qualification, this was withholding the material from people who were qualified.</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39, 30 answered on a desktop, 3 on mobile and 2 on a tablet, and for 4 no record remains.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47]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48]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39.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124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 Positions and affiliations are likewise as the respondent wrote them. Table 41 uses what we confirmed against the institution's own faculty listing when the list was built, so it is sometimes more specific: respondent Hangil Lee is "Professor · Ewha Womans University" here and "Associate Professor · College of Pharmacy, Ewha Womans University" there.</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w:t>
                  </w:r>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 xml:space="preserve"> — pictogram information for pharmacists worldwide can be found here.</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Ewha Womans University</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There is no material at all to judge from — no working screens of SnapCare, for instance — so I cannot judge.</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Youngchan Kim</w:t>
                  </w:r>
                </w:p>
              </w:tc>
              <w:tc>
                <w:tcPr>
                  <w:tcW w:type="dxa" w:w="2429"/>
                </w:tcPr>
                <w:p/>
              </w:tc>
              <w:tc>
                <w:tcPr>
                  <w:tcW w:type="dxa" w:w="2429"/>
                </w:tcPr>
                <w:p>
                  <w:r>
                    <w:rPr>
                      <w:rFonts w:ascii="Times New Roman" w:hAnsi="Times New Roman" w:eastAsia="바탕"/>
                      <w:sz w:val="18"/>
                    </w:rPr>
                    <w:t>Kyung Hee Cyber University</w:t>
                  </w:r>
                </w:p>
              </w:tc>
              <w:tc>
                <w:tcPr>
                  <w:tcW w:type="dxa" w:w="2429"/>
                </w:tcPr>
                <w:p>
                  <w:r>
                    <w:rPr>
                      <w:rFonts w:ascii="Times New Roman" w:hAnsi="Times New Roman" w:eastAsia="바탕"/>
                      <w:sz w:val="18"/>
                    </w:rPr>
                    <w:t>I have neither seen nor used the system. (There is no system in the email.)</w:t>
                  </w:r>
                </w:p>
              </w:tc>
            </w:tr>
            <w:tr>
              <w:tc>
                <w:tcPr>
                  <w:tcW w:type="dxa" w:w="2429"/>
                </w:tcPr>
                <w:p>
                  <w:r>
                    <w:rPr>
                      <w:rFonts w:ascii="Times New Roman" w:hAnsi="Times New Roman" w:eastAsia="바탕"/>
                      <w:sz w:val="18"/>
                    </w:rPr>
                    <w:t>Seunghoon Jung</w:t>
                  </w:r>
                </w:p>
              </w:tc>
              <w:tc>
                <w:tcPr>
                  <w:tcW w:type="dxa" w:w="2429"/>
                </w:tcPr>
                <w:p/>
              </w:tc>
              <w:tc>
                <w:tcPr>
                  <w:tcW w:type="dxa" w:w="2429"/>
                </w:tcPr>
                <w:p>
                  <w:r>
                    <w:rPr>
                      <w:rFonts w:ascii="Times New Roman" w:hAnsi="Times New Roman" w:eastAsia="바탕"/>
                      <w:sz w:val="18"/>
                    </w:rPr>
                    <w:t>Korea Institute of Design Promotion</w:t>
                  </w:r>
                </w:p>
              </w:tc>
              <w:tc>
                <w:tcPr>
                  <w:tcW w:type="dxa" w:w="2429"/>
                </w:tcPr>
                <w:p>
                  <w:r>
                    <w:rPr>
                      <w:rFonts w:ascii="Times New Roman" w:hAnsi="Times New Roman" w:eastAsia="바탕"/>
                      <w:sz w:val="18"/>
                    </w:rPr>
                    <w:t>In Korea I do not think there are many adults whose literacy is low enough that they cannot understand Hangul.</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In Korea I do not think there are many adults whose literacy is low enough that they cannot understand Hangul.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 have neither seen nor used the system. (There is no system in the email.)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