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before="160" w:after="60"/>
              <w:jc w:val="center"/>
            </w:pPr>
            <w:r>
              <w:drawing>
                <wp:inline xmlns:a="http://schemas.openxmlformats.org/drawingml/2006/main" xmlns:pic="http://schemas.openxmlformats.org/drawingml/2006/picture">
                  <wp:extent cx="5486400" cy="2660822"/>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6608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집단별 제한적 건강 문해력 비율. 고소득국이라고 낮지 않다는 것과, 같은 나라 안에서도 연령으로 갈린다는 것이 함께 보인다. 한국 65세 이상(59.7%)과 19~64세(34.1%)의 25.6%p 차이는 국가 간 차이보다 크다.</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조제 단계 비율</w:t>
                  </w:r>
                </w:p>
              </w:tc>
              <w:tc>
                <w:tcPr>
                  <w:tcW w:type="dxa" w:w="2441"/>
                  <w:shd w:val="clear" w:fill="F2F2F2"/>
                </w:tcPr>
                <w:p>
                  <w:r>
                    <w:rPr>
                      <w:rFonts w:ascii="Times New Roman" w:hAnsi="Times New Roman" w:eastAsia="바탕"/>
                      <w:b/>
                      <w:sz w:val="18"/>
                    </w:rPr>
                    <w:t>심각 위해 가능 오류 중 비율</w:t>
                  </w:r>
                </w:p>
              </w:tc>
              <w:tc>
                <w:tcPr>
                  <w:tcW w:type="dxa" w:w="2441"/>
                  <w:shd w:val="clear" w:fill="F2F2F2"/>
                </w:tcPr>
                <w:p>
                  <w:r>
                    <w:rPr>
                      <w:rFonts w:ascii="Times New Roman" w:hAnsi="Times New Roman" w:eastAsia="바탕"/>
                      <w:b/>
                      <w:sz w:val="18"/>
                    </w:rPr>
                    <w:t>대응하는 형태소</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28.4%</w:t>
                  </w:r>
                </w:p>
              </w:tc>
              <w:tc>
                <w:tcPr>
                  <w:tcW w:type="dxa" w:w="2441"/>
                </w:tcPr>
                <w:p>
                  <w:r>
                    <w:rPr>
                      <w:rFonts w:ascii="Times New Roman" w:hAnsi="Times New Roman" w:eastAsia="바탕"/>
                      <w:sz w:val="18"/>
                    </w:rPr>
                    <w:t>30.7%</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23.2%</w:t>
                  </w:r>
                </w:p>
              </w:tc>
              <w:tc>
                <w:tcPr>
                  <w:tcW w:type="dxa" w:w="2441"/>
                </w:tcPr>
                <w:p>
                  <w:r>
                    <w:rPr>
                      <w:rFonts w:ascii="Times New Roman" w:hAnsi="Times New Roman" w:eastAsia="바탕"/>
                      <w:sz w:val="18"/>
                    </w:rPr>
                    <w:t>17.1%</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32.9%</w:t>
                  </w:r>
                </w:p>
              </w:tc>
              <w:tc>
                <w:tcPr>
                  <w:tcW w:type="dxa" w:w="2441"/>
                </w:tcPr>
                <w:p>
                  <w:r>
                    <w:rPr>
                      <w:rFonts w:ascii="Times New Roman" w:hAnsi="Times New Roman" w:eastAsia="바탕"/>
                      <w:sz w:val="18"/>
                    </w:rPr>
                    <w:t>—</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중복 처방</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14.4%</w:t>
                  </w:r>
                </w:p>
              </w:tc>
              <w:tc>
                <w:tcPr>
                  <w:tcW w:type="dxa" w:w="2441"/>
                </w:tcPr>
                <w:p>
                  <w:r>
                    <w:rPr>
                      <w:rFonts w:ascii="Times New Roman" w:hAnsi="Times New Roman" w:eastAsia="바탕"/>
                      <w:sz w:val="18"/>
                    </w:rPr>
                    <w:t>상호작용 판정</w:t>
                  </w:r>
                </w:p>
              </w:tc>
            </w:tr>
          </w:tbl>
          <w:p/>
          <w:p>
            <w:pPr>
              <w:spacing w:after="120"/>
            </w:pP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before="160" w:after="60"/>
              <w:jc w:val="center"/>
            </w:pPr>
            <w:r>
              <w:drawing>
                <wp:inline xmlns:a="http://schemas.openxmlformats.org/drawingml/2006/main" xmlns:pic="http://schemas.openxmlformats.org/drawingml/2006/picture">
                  <wp:extent cx="5486400" cy="3081463"/>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308146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복약 오류의 유형별 분포. 회색은 조제 단계 오류 중의 비율, 파랑은 심각한 위해로 이어질 수 있는 오류 중의 비율이다. 용량 오류는 두 기준 모두에서 상위이며, 이것이 </w:t>
            </w:r>
            <w:r>
              <w:rPr>
                <w:rFonts w:ascii="Consolas" w:hAnsi="Consolas" w:eastAsia="Consolas"/>
                <w:color w:val="606068"/>
                <w:sz w:val="17"/>
              </w:rPr>
              <w:t>qty_one</w:t>
            </w:r>
            <w:r>
              <w:rPr>
                <w:rFonts w:ascii="Times New Roman" w:hAnsi="Times New Roman" w:eastAsia="바탕"/>
                <w:color w:val="606068"/>
                <w:sz w:val="18"/>
              </w:rPr>
              <w:t>~</w:t>
            </w:r>
            <w:r>
              <w:rPr>
                <w:rFonts w:ascii="Consolas" w:hAnsi="Consolas" w:eastAsia="Consolas"/>
                <w:color w:val="606068"/>
                <w:sz w:val="17"/>
              </w:rPr>
              <w:t>qty_five</w:t>
            </w:r>
            <w:r>
              <w:rPr>
                <w:rFonts w:ascii="Times New Roman" w:hAnsi="Times New Roman" w:eastAsia="바탕"/>
                <w:color w:val="606068"/>
                <w:sz w:val="18"/>
              </w:rPr>
              <w:t xml:space="preserve"> 형태소를 세트의 첫 자리에 둔 이유다.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76~78%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2024–2025). 65세 이상과 50세 미만의 격차는 20%p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연구</w:t>
                  </w:r>
                </w:p>
              </w:tc>
              <w:tc>
                <w:tcPr>
                  <w:tcW w:type="dxa" w:w="3255"/>
                  <w:shd w:val="clear" w:fill="F2F2F2"/>
                </w:tcPr>
                <w:p>
                  <w:r>
                    <w:rPr>
                      <w:rFonts w:ascii="Times New Roman" w:hAnsi="Times New Roman" w:eastAsia="바탕"/>
                      <w:b/>
                      <w:sz w:val="18"/>
                    </w:rPr>
                    <w:t>대상</w:t>
                  </w:r>
                </w:p>
              </w:tc>
              <w:tc>
                <w:tcPr>
                  <w:tcW w:type="dxa" w:w="3255"/>
                  <w:shd w:val="clear" w:fill="F2F2F2"/>
                </w:tcPr>
                <w:p>
                  <w:r>
                    <w:rPr>
                      <w:rFonts w:ascii="Times New Roman" w:hAnsi="Times New Roman" w:eastAsia="바탕"/>
                      <w:b/>
                      <w:sz w:val="18"/>
                    </w:rPr>
                    <w:t>결과</w:t>
                  </w:r>
                </w:p>
              </w:tc>
            </w:tr>
            <w:tr>
              <w:tc>
                <w:tcPr>
                  <w:tcW w:type="dxa" w:w="3255"/>
                </w:tcPr>
                <w:p>
                  <w:r>
                    <w:rPr>
                      <w:rFonts w:ascii="Times New Roman" w:hAnsi="Times New Roman" w:eastAsia="바탕"/>
                      <w:sz w:val="18"/>
                    </w:rPr>
                    <w:t>Gutierrez 등 (2022)</w:t>
                  </w:r>
                </w:p>
              </w:tc>
              <w:tc>
                <w:tcPr>
                  <w:tcW w:type="dxa" w:w="3255"/>
                </w:tcPr>
                <w:p>
                  <w:r>
                    <w:rPr>
                      <w:rFonts w:ascii="Times New Roman" w:hAnsi="Times New Roman" w:eastAsia="바탕"/>
                      <w:sz w:val="18"/>
                    </w:rPr>
                    <w:t>필리핀 성인 · USP 82종 + FIP 26종</w:t>
                  </w:r>
                </w:p>
              </w:tc>
              <w:tc>
                <w:tcPr>
                  <w:tcW w:type="dxa" w:w="3255"/>
                </w:tcPr>
                <w:p>
                  <w:r>
                    <w:rPr>
                      <w:rFonts w:ascii="Times New Roman" w:hAnsi="Times New Roman" w:eastAsia="바탕"/>
                      <w:sz w:val="18"/>
                    </w:rPr>
                    <w:t xml:space="preserve">ANSI 85% 기준 통과 </w:t>
                  </w:r>
                  <w:r>
                    <w:rPr>
                      <w:rFonts w:ascii="Times New Roman" w:hAnsi="Times New Roman" w:eastAsia="바탕"/>
                      <w:b/>
                      <w:sz w:val="18"/>
                    </w:rPr>
                    <w:t>108종 중 17종(15.7%)</w:t>
                  </w:r>
                </w:p>
              </w:tc>
            </w:tr>
            <w:tr>
              <w:tc>
                <w:tcPr>
                  <w:tcW w:type="dxa" w:w="3255"/>
                </w:tcPr>
                <w:p>
                  <w:r>
                    <w:rPr>
                      <w:rFonts w:ascii="Times New Roman" w:hAnsi="Times New Roman" w:eastAsia="바탕"/>
                      <w:sz w:val="18"/>
                    </w:rPr>
                    <w:t>Dowse et al. (2012)</w:t>
                  </w:r>
                </w:p>
              </w:tc>
              <w:tc>
                <w:tcPr>
                  <w:tcW w:type="dxa" w:w="3255"/>
                </w:tcPr>
                <w:p>
                  <w:r>
                    <w:rPr>
                      <w:rFonts w:ascii="Times New Roman" w:hAnsi="Times New Roman" w:eastAsia="바탕"/>
                      <w:sz w:val="18"/>
                    </w:rPr>
                    <w:t>픽토그램 9종</w:t>
                  </w:r>
                </w:p>
              </w:tc>
              <w:tc>
                <w:tcPr>
                  <w:tcW w:type="dxa" w:w="3255"/>
                </w:tcPr>
                <w:p>
                  <w:r>
                    <w:rPr>
                      <w:rFonts w:ascii="Times New Roman" w:hAnsi="Times New Roman" w:eastAsia="바탕"/>
                      <w:sz w:val="18"/>
                    </w:rPr>
                    <w:t xml:space="preserve">ISO 기준 통과 </w:t>
                  </w:r>
                  <w:r>
                    <w:rPr>
                      <w:rFonts w:ascii="Times New Roman" w:hAnsi="Times New Roman" w:eastAsia="바탕"/>
                      <w:b/>
                      <w:sz w:val="18"/>
                    </w:rPr>
                    <w:t>3종</w:t>
                  </w:r>
                  <w:r>
                    <w:rPr>
                      <w:rFonts w:ascii="Times New Roman" w:hAnsi="Times New Roman" w:eastAsia="바탕"/>
                      <w:sz w:val="18"/>
                    </w:rPr>
                    <w:t xml:space="preserve"> (두통·발진·구토)</w:t>
                  </w:r>
                </w:p>
              </w:tc>
            </w:tr>
            <w:tr>
              <w:tc>
                <w:tcPr>
                  <w:tcW w:type="dxa" w:w="3255"/>
                </w:tcPr>
                <w:p>
                  <w:r>
                    <w:rPr>
                      <w:rFonts w:ascii="Times New Roman" w:hAnsi="Times New Roman" w:eastAsia="바탕"/>
                      <w:sz w:val="18"/>
                    </w:rPr>
                    <w:t>Dowse &amp; Ehlers (2005)</w:t>
                  </w:r>
                </w:p>
              </w:tc>
              <w:tc>
                <w:tcPr>
                  <w:tcW w:type="dxa" w:w="3255"/>
                </w:tcPr>
                <w:p>
                  <w:r>
                    <w:rPr>
                      <w:rFonts w:ascii="Times New Roman" w:hAnsi="Times New Roman" w:eastAsia="바탕"/>
                      <w:sz w:val="18"/>
                    </w:rPr>
                    <w:t>현지 제작 vs. USP</w:t>
                  </w:r>
                </w:p>
              </w:tc>
              <w:tc>
                <w:tcPr>
                  <w:tcW w:type="dxa" w:w="3255"/>
                </w:tcPr>
                <w:p>
                  <w:r>
                    <w:rPr>
                      <w:rFonts w:ascii="Times New Roman" w:hAnsi="Times New Roman" w:eastAsia="바탕"/>
                      <w:sz w:val="18"/>
                    </w:rPr>
                    <w:t xml:space="preserve">ANSI 기준 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r>
              <w:tc>
                <w:tcPr>
                  <w:tcW w:type="dxa" w:w="3255"/>
                </w:tcPr>
                <w:p>
                  <w:r>
                    <w:rPr>
                      <w:rFonts w:ascii="Times New Roman" w:hAnsi="Times New Roman" w:eastAsia="바탕"/>
                      <w:sz w:val="18"/>
                    </w:rPr>
                    <w:t>이란 대상 연구 (2020)</w:t>
                  </w:r>
                </w:p>
              </w:tc>
              <w:tc>
                <w:tcPr>
                  <w:tcW w:type="dxa" w:w="3255"/>
                </w:tcPr>
                <w:p>
                  <w:r>
                    <w:rPr>
                      <w:rFonts w:ascii="Times New Roman" w:hAnsi="Times New Roman" w:eastAsia="바탕"/>
                      <w:sz w:val="18"/>
                    </w:rPr>
                    <w:t>USP 픽토그램</w:t>
                  </w:r>
                </w:p>
              </w:tc>
              <w:tc>
                <w:tcPr>
                  <w:tcW w:type="dxa" w:w="3255"/>
                </w:tcPr>
                <w:p>
                  <w:r>
                    <w:rPr>
                      <w:rFonts w:ascii="Times New Roman" w:hAnsi="Times New Roman" w:eastAsia="바탕"/>
                      <w:sz w:val="18"/>
                    </w:rPr>
                    <w:t xml:space="preserve">정답률 </w:t>
                  </w:r>
                  <w:r>
                    <w:rPr>
                      <w:rFonts w:ascii="Times New Roman" w:hAnsi="Times New Roman" w:eastAsia="바탕"/>
                      <w:b/>
                      <w:sz w:val="18"/>
                    </w:rPr>
                    <w:t>0~68%</w:t>
                  </w:r>
                  <w:r>
                    <w:rPr>
                      <w:rFonts w:ascii="Times New Roman" w:hAnsi="Times New Roman" w:eastAsia="바탕"/>
                      <w:sz w:val="18"/>
                    </w:rPr>
                    <w:t>, 오답률 28.6~80.3%</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et al., 2022). 나아가 건강 문해력이 낮을수록 픽토그램 오독률이 높다는 것이 통계적으로 확인되었으며 (Dowse, 2023), 저문해 환자에게서는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현상까지 보고되었다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268683"/>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26868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분자와 분모가 모두 확인된 연구만 실었다 — Dowse &amp; Ehlers 의 20 대 11 은 분모를 확인하지 못했고, 이란 연구의 0~68% 는 통과율이 아니라 문항별 정답률이라 같은 축에 놓을 수 없다. 본 연구 값(69.2%)은 §5.2 의 기계 판정 결과이며 사람 대상 시험이 아니므로 앞의 둘과 직접 비교할 수 없다. 같은 축에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737895"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737895"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화면에서 가장 큰 요소가 촬영 버튼 하나이며, 그 아래는 오늘 할 일과 최근에 찍은 것이다. 메뉴도 검색창도 없다 — 앱을 열고 처음 마주치는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2195911" cy="4754880"/>
                  <wp:docPr id="9" name="Picture 9"/>
                  <wp:cNvGraphicFramePr>
                    <a:graphicFrameLocks noChangeAspect="1"/>
                  </wp:cNvGraphicFramePr>
                  <a:graphic>
                    <a:graphicData uri="http://schemas.openxmlformats.org/drawingml/2006/picture">
                      <pic:pic>
                        <pic:nvPicPr>
                          <pic:cNvPr id="0" name="fig04_camera.png"/>
                          <pic:cNvPicPr/>
                        </pic:nvPicPr>
                        <pic:blipFill>
                          <a:blip r:embed="rId23"/>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 화면. 무엇을 찍는지 사용자가 고르지 않는다 — 처방전인지 영양성분표인지 음식인지는 찍힌 이미지에서 판별한다. 고르게 하는 순간 그 선택지를 읽어야 하기 때문이다.</w:t>
            </w:r>
          </w:p>
          <w:p>
            <w:pPr>
              <w:spacing w:before="160" w:after="60"/>
              <w:jc w:val="center"/>
            </w:pPr>
            <w:r>
              <w:drawing>
                <wp:inline xmlns:a="http://schemas.openxmlformats.org/drawingml/2006/main" xmlns:pic="http://schemas.openxmlformats.org/drawingml/2006/picture">
                  <wp:extent cx="2195911" cy="4754880"/>
                  <wp:docPr id="10" name="Picture 10"/>
                  <wp:cNvGraphicFramePr>
                    <a:graphicFrameLocks noChangeAspect="1"/>
                  </wp:cNvGraphicFramePr>
                  <a:graphic>
                    <a:graphicData uri="http://schemas.openxmlformats.org/drawingml/2006/picture">
                      <pic:pic>
                        <pic:nvPicPr>
                          <pic:cNvPr id="0" name="fig05_processing.png"/>
                          <pic:cNvPicPr/>
                        </pic:nvPicPr>
                        <pic:blipFill>
                          <a:blip r:embed="rId24"/>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인식이 진행되는 동안의 화면. 이 단계를 감추지 않은 것은 의도적이다. 저문해 사용자 연구가 지적한 장벽 가운데 하나가 위압감이며(</w:t>
            </w:r>
            <w:r>
              <w:rPr>
                <w:rFonts w:ascii="Times New Roman" w:hAnsi="Times New Roman" w:eastAsia="바탕"/>
                <w:i/>
                <w:color w:val="606068"/>
                <w:sz w:val="18"/>
              </w:rPr>
              <w:t>It’s not just illiteracy</w:t>
            </w:r>
            <w:r>
              <w:rPr>
                <w:rFonts w:ascii="Times New Roman" w:hAnsi="Times New Roman" w:eastAsia="바탕"/>
                <w:color w:val="606068"/>
                <w:sz w:val="18"/>
              </w:rPr>
              <w:t>), 아무 표시 없이 멈춘 화면은 고장으로 읽힌다.</w:t>
            </w:r>
          </w:p>
          <w:p>
            <w:pPr>
              <w:spacing w:before="160" w:after="60"/>
              <w:jc w:val="center"/>
            </w:pPr>
            <w:r>
              <w:drawing>
                <wp:inline xmlns:a="http://schemas.openxmlformats.org/drawingml/2006/main" xmlns:pic="http://schemas.openxmlformats.org/drawingml/2006/picture">
                  <wp:extent cx="1795650" cy="4754880"/>
                  <wp:docPr id="11" name="Picture 11"/>
                  <wp:cNvGraphicFramePr>
                    <a:graphicFrameLocks noChangeAspect="1"/>
                  </wp:cNvGraphicFramePr>
                  <a:graphic>
                    <a:graphicData uri="http://schemas.openxmlformats.org/drawingml/2006/picture">
                      <pic:pic>
                        <pic:nvPicPr>
                          <pic:cNvPr id="0" name="fig06_verdict_rx.png"/>
                          <pic:cNvPicPr/>
                        </pic:nvPicPr>
                        <pic:blipFill>
                          <a:blip r:embed="rId25"/>
                          <a:stretch>
                            <a:fillRect/>
                          </a:stretch>
                        </pic:blipFill>
                        <pic:spPr>
                          <a:xfrm>
                            <a:off x="0" y="0"/>
                            <a:ext cx="179565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처방 판정 화면(아목시실린 250 mg, 1일 3회 식후). 위에서 아래로 무엇인지·안전한지·어떻게 하는지·무슨 뜻인지·언제인지의 순서다. 아래쪽 픽토그램 세 장이 SIGIL 이 그 자리에서 합성한 것이며, 각각 하루 세 번 식사와 함께·아침·저녁을 뜻한다. 모든 문장 옆의 스피커는 그 문장만 다시 읽어 준다.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1942353" cy="4754880"/>
                  <wp:docPr id="12" name="Picture 12"/>
                  <wp:cNvGraphicFramePr>
                    <a:graphicFrameLocks noChangeAspect="1"/>
                  </wp:cNvGraphicFramePr>
                  <a:graphic>
                    <a:graphicData uri="http://schemas.openxmlformats.org/drawingml/2006/picture">
                      <pic:pic>
                        <pic:nvPicPr>
                          <pic:cNvPr id="0" name="fig07_verdict_label.png"/>
                          <pic:cNvPicPr/>
                        </pic:nvPicPr>
                        <pic:blipFill>
                          <a:blip r:embed="rId26"/>
                          <a:stretch>
                            <a:fillRect/>
                          </a:stretch>
                        </pic:blipFill>
                        <pic:spPr>
                          <a:xfrm>
                            <a:off x="0" y="0"/>
                            <a:ext cx="19423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영양성분표 판정 화면. 수치를 그대로 옮기지 않고 </w:t>
            </w:r>
            <w:r>
              <w:rPr>
                <w:rFonts w:ascii="Times New Roman" w:hAnsi="Times New Roman" w:eastAsia="바탕"/>
                <w:b/>
                <w:color w:val="606068"/>
                <w:sz w:val="18"/>
              </w:rPr>
              <w:t>이 사람의 하루 기준치에서 차지하는 비중</w:t>
            </w:r>
            <w:r>
              <w:rPr>
                <w:rFonts w:ascii="Times New Roman" w:hAnsi="Times New Roman" w:eastAsia="바탕"/>
                <w:color w:val="606068"/>
                <w:sz w:val="18"/>
              </w:rPr>
              <w:t>으로 바꾼다. 기준치는 구성원의 나이와 조건에서 유도하므로 같은 제품도 사람이 바뀌면 막대가 달라진다. 맨 아래의 대체 기준은 회피할 것에 부정 연산자를 씌운 그림이며, 그림 자체가 "이것이 없는 것을 고르라"는 뜻이다.</w:t>
            </w:r>
          </w:p>
          <w:p>
            <w:pPr>
              <w:spacing w:before="160" w:after="60"/>
              <w:jc w:val="center"/>
            </w:pPr>
            <w:r>
              <w:drawing>
                <wp:inline xmlns:a="http://schemas.openxmlformats.org/drawingml/2006/main" xmlns:pic="http://schemas.openxmlformats.org/drawingml/2006/picture">
                  <wp:extent cx="2110154" cy="4754880"/>
                  <wp:docPr id="13" name="Picture 13"/>
                  <wp:cNvGraphicFramePr>
                    <a:graphicFrameLocks noChangeAspect="1"/>
                  </wp:cNvGraphicFramePr>
                  <a:graphic>
                    <a:graphicData uri="http://schemas.openxmlformats.org/drawingml/2006/picture">
                      <pic:pic>
                        <pic:nvPicPr>
                          <pic:cNvPr id="0" name="fig08_today.png"/>
                          <pic:cNvPicPr/>
                        </pic:nvPicPr>
                        <pic:blipFill>
                          <a:blip r:embed="rId27"/>
                          <a:stretch>
                            <a:fillRect/>
                          </a:stretch>
                        </pic:blipFill>
                        <pic:spPr>
                          <a:xfrm>
                            <a:off x="0" y="0"/>
                            <a:ext cx="2110154"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오늘 누적 화면. 한 번의 판정이 아니라 하루의 합을 보여 준다. 아래의 출처 표시는 값이 커뮤니티 편집 데이터베이스에서 왔고 추정이며 의료 조언이 아니라는 것을 화면에서 지운 적이 없다 — §2.5 의 판정 한계를 사용자에게 숨기지 않기 위해서다.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2195911" cy="4754880"/>
                  <wp:docPr id="14" name="Picture 14"/>
                  <wp:cNvGraphicFramePr>
                    <a:graphicFrameLocks noChangeAspect="1"/>
                  </wp:cNvGraphicFramePr>
                  <a:graphic>
                    <a:graphicData uri="http://schemas.openxmlformats.org/drawingml/2006/picture">
                      <pic:pic>
                        <pic:nvPicPr>
                          <pic:cNvPr id="0" name="fig09_device.png"/>
                          <pic:cNvPicPr/>
                        </pic:nvPicPr>
                        <pic:blipFill>
                          <a:blip r:embed="rId28"/>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기기 연동 화면. 앱이 만든 복약 일정을 디스펜서의 트레이에 배치한 결과를 보여 주고, 한 번 눌러 기기로 보낸다. §4.3 에서 서술한 대로 브라우저가 HTTPS 에서 HTTP 기기를 직접 호출할 수 없으므로 이 버튼은 최상위 내비게이션으로 동작한다.</w:t>
            </w:r>
          </w:p>
          <w:p>
            <w:pPr>
              <w:spacing w:before="160" w:after="60"/>
              <w:jc w:val="center"/>
            </w:pPr>
            <w:r>
              <w:drawing>
                <wp:inline xmlns:a="http://schemas.openxmlformats.org/drawingml/2006/main" xmlns:pic="http://schemas.openxmlformats.org/drawingml/2006/picture">
                  <wp:extent cx="5486400" cy="2852928"/>
                  <wp:docPr id="15" name="Picture 15"/>
                  <wp:cNvGraphicFramePr>
                    <a:graphicFrameLocks noChangeAspect="1"/>
                  </wp:cNvGraphicFramePr>
                  <a:graphic>
                    <a:graphicData uri="http://schemas.openxmlformats.org/drawingml/2006/picture">
                      <pic:pic>
                        <pic:nvPicPr>
                          <pic:cNvPr id="0" name="fig10_dispenser.png"/>
                          <pic:cNvPicPr/>
                        </pic:nvPicPr>
                        <pic:blipFill>
                          <a:blip r:embed="rId29"/>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6" name="Picture 16"/>
                  <wp:cNvGraphicFramePr>
                    <a:graphicFrameLocks noChangeAspect="1"/>
                  </wp:cNvGraphicFramePr>
                  <a:graphic>
                    <a:graphicData uri="http://schemas.openxmlformats.org/drawingml/2006/picture">
                      <pic:pic>
                        <pic:nvPicPr>
                          <pic:cNvPr id="0" name="fig11_userflow.png"/>
                          <pic:cNvPicPr/>
                        </pic:nvPicPr>
                        <pic:blipFill>
                          <a:blip r:embed="rId30"/>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2195911" cy="4754880"/>
                  <wp:docPr id="17" name="Picture 17"/>
                  <wp:cNvGraphicFramePr>
                    <a:graphicFrameLocks noChangeAspect="1"/>
                  </wp:cNvGraphicFramePr>
                  <a:graphic>
                    <a:graphicData uri="http://schemas.openxmlformats.org/drawingml/2006/picture">
                      <pic:pic>
                        <pic:nvPicPr>
                          <pic:cNvPr id="0" name="fig12_onboarding.png"/>
                          <pic:cNvPicPr/>
                        </pic:nvPicPr>
                        <pic:blipFill>
                          <a:blip r:embed="rId31"/>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첫 실행 안내. 네 장 모두 그림과 한 문장으로 되어 있고 각 문장은 눌러서 들을 수 있다. 건너뛸 수 있다.</w:t>
            </w:r>
          </w:p>
          <w:p>
            <w:pPr>
              <w:spacing w:before="160" w:after="60"/>
              <w:jc w:val="center"/>
            </w:pPr>
            <w:r>
              <w:drawing>
                <wp:inline xmlns:a="http://schemas.openxmlformats.org/drawingml/2006/main" xmlns:pic="http://schemas.openxmlformats.org/drawingml/2006/picture">
                  <wp:extent cx="1602049" cy="4754880"/>
                  <wp:docPr id="18" name="Picture 18"/>
                  <wp:cNvGraphicFramePr>
                    <a:graphicFrameLocks noChangeAspect="1"/>
                  </wp:cNvGraphicFramePr>
                  <a:graphic>
                    <a:graphicData uri="http://schemas.openxmlformats.org/drawingml/2006/picture">
                      <pic:pic>
                        <pic:nvPicPr>
                          <pic:cNvPr id="0" name="fig13_profile.png"/>
                          <pic:cNvPicPr/>
                        </pic:nvPicPr>
                        <pic:blipFill>
                          <a:blip r:embed="rId32"/>
                          <a:stretch>
                            <a:fillRect/>
                          </a:stretch>
                        </pic:blipFill>
                        <pic:spPr>
                          <a:xfrm>
                            <a:off x="0" y="0"/>
                            <a:ext cx="160204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프로필 설정 화면. 나이 구간은 얼굴 그림으로, 조건은 그림 카드로 고르며 어느 쪽에도 입력란이 없다. 화면에 남아 있는 문자는 눌러서 들을 수 있는 이름표이지 읽어야 하는 지시가 아니다.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화면은 그림 10 에, 그 결과인 판정 화면은 그림 11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9" name="Picture 19"/>
                  <wp:cNvGraphicFramePr>
                    <a:graphicFrameLocks noChangeAspect="1"/>
                  </wp:cNvGraphicFramePr>
                  <a:graphic>
                    <a:graphicData uri="http://schemas.openxmlformats.org/drawingml/2006/picture">
                      <pic:pic>
                        <pic:nvPicPr>
                          <pic:cNvPr id="0" name="fig14_formsheet.png"/>
                          <pic:cNvPicPr/>
                        </pic:nvPicPr>
                        <pic:blipFill>
                          <a:blip r:embed="rId33"/>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20" name="Picture 20"/>
                  <wp:cNvGraphicFramePr>
                    <a:graphicFrameLocks noChangeAspect="1"/>
                  </wp:cNvGraphicFramePr>
                  <a:graphic>
                    <a:graphicData uri="http://schemas.openxmlformats.org/drawingml/2006/picture">
                      <pic:pic>
                        <pic:nvPicPr>
                          <pic:cNvPr id="0" name="chart06_formative.png"/>
                          <pic:cNvPicPr/>
                        </pic:nvPicPr>
                        <pic:blipFill>
                          <a:blip r:embed="rId34"/>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21" name="Picture 21"/>
                  <wp:cNvGraphicFramePr>
                    <a:graphicFrameLocks noChangeAspect="1"/>
                  </wp:cNvGraphicFramePr>
                  <a:graphic>
                    <a:graphicData uri="http://schemas.openxmlformats.org/drawingml/2006/picture">
                      <pic:pic>
                        <pic:nvPicPr>
                          <pic:cNvPr id="0" name="chart07_glyph_check.png"/>
                          <pic:cNvPicPr/>
                        </pic:nvPicPr>
                        <pic:blipFill>
                          <a:blip r:embed="rId35"/>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