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people who find it hard to take medicine as directed can take it and choose their food on their own: people carrying a load on executive function (attention deficit hyperactivity disorder, burnout, lack of sleep), people with damage to memory or movement (Alzheimer's disease, Parkinson's disease), people for whom reading itself is blocked (non-literacy, dyslexia), and older adults and people with low vision. Its design standard is set at the harshest of those conditions, the one in which the instruction never arrives at all because it cannot be read (739 million adults worldwide, and 18% of adults even across 31 developed countries), because a screen that holds under that condition holds under the others while the reverse does not follow.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after="80" w:line="276" w:lineRule="auto"/>
              <w:jc w:val="both"/>
              <w:rPr>
                <w:rFonts w:ascii="Arial" w:eastAsia="Arial" w:hAnsi="Arial" w:cs="Arial"/>
              </w:rPr>
            </w:pPr>
            <w:r>
              <w:rPr>
                <w:rFonts w:ascii="Times New Roman" w:hAnsi="Times New Roman" w:eastAsia="바탕"/>
                <w:b/>
                <w:sz w:val="20"/>
              </w:rPr>
              <w:t>Contents</w:t>
            </w:r>
          </w:p>
          <w:p>
            <w:pPr>
              <w:spacing w:after="80" w:line="276" w:lineRule="auto"/>
              <w:jc w:val="both"/>
            </w:pPr>
            <w:r>
              <w:rPr>
                <w:rFonts w:ascii="Times New Roman" w:hAnsi="Times New Roman" w:eastAsia="바탕"/>
                <w:sz w:val="20"/>
              </w:rPr>
              <w:t>No page numbers are given; sections are found by their number.</w:t>
            </w:r>
          </w:p>
          <w:p>
            <w:pPr>
              <w:spacing w:after="80" w:line="276" w:lineRule="auto"/>
              <w:jc w:val="both"/>
            </w:pPr>
            <w:r>
              <w:rPr>
                <w:rFonts w:ascii="Times New Roman" w:hAnsi="Times New Roman" w:eastAsia="바탕"/>
                <w:b/>
                <w:sz w:val="20"/>
              </w:rPr>
              <w:t>Contents</w:t>
            </w:r>
          </w:p>
          <w:p>
            <w:pPr>
              <w:spacing w:after="80" w:line="276" w:lineRule="auto"/>
              <w:jc w:val="both"/>
            </w:pPr>
            <w:r>
              <w:rPr>
                <w:rFonts w:ascii="Times New Roman" w:hAnsi="Times New Roman" w:eastAsia="바탕"/>
                <w:b/>
                <w:sz w:val="20"/>
              </w:rPr>
              <w:t>Problem Statement and Background</w:t>
            </w:r>
          </w:p>
          <w:p>
            <w:pPr>
              <w:spacing w:after="80" w:line="276" w:lineRule="auto"/>
              <w:jc w:val="both"/>
            </w:pPr>
            <w:r>
              <w:rPr>
                <w:rFonts w:ascii="Times New Roman" w:hAnsi="Times New Roman" w:eastAsia="바탕"/>
                <w:sz w:val="20"/>
              </w:rPr>
              <w:t>1.1  The size and trend of the non-literate population</w:t>
            </w:r>
          </w:p>
          <w:p>
            <w:pPr>
              <w:spacing w:after="80" w:line="276" w:lineRule="auto"/>
              <w:jc w:val="both"/>
            </w:pPr>
            <w:r>
              <w:rPr>
                <w:rFonts w:ascii="Times New Roman" w:hAnsi="Times New Roman" w:eastAsia="바탕"/>
                <w:sz w:val="20"/>
              </w:rPr>
              <w:t>1.2  The distribution of health literacy</w:t>
            </w:r>
          </w:p>
          <w:p>
            <w:pPr>
              <w:spacing w:after="80" w:line="276" w:lineRule="auto"/>
              <w:jc w:val="both"/>
            </w:pPr>
            <w:r>
              <w:rPr>
                <w:rFonts w:ascii="Times New Roman" w:hAnsi="Times New Roman" w:eastAsia="바탕"/>
                <w:sz w:val="20"/>
              </w:rPr>
              <w:t>1.3  The types of medication error and what they cost</w:t>
            </w:r>
          </w:p>
          <w:p>
            <w:pPr>
              <w:spacing w:after="80" w:line="276" w:lineRule="auto"/>
              <w:jc w:val="both"/>
            </w:pPr>
            <w:r>
              <w:rPr>
                <w:rFonts w:ascii="Times New Roman" w:hAnsi="Times New Roman" w:eastAsia="바탕"/>
                <w:sz w:val="20"/>
              </w:rPr>
              <w:t>1.4  International policy and its blind spot</w:t>
            </w:r>
          </w:p>
          <w:p>
            <w:pPr>
              <w:spacing w:after="80" w:line="276" w:lineRule="auto"/>
              <w:jc w:val="both"/>
            </w:pPr>
            <w:r>
              <w:rPr>
                <w:rFonts w:ascii="Times New Roman" w:hAnsi="Times New Roman" w:eastAsia="바탕"/>
                <w:sz w:val="20"/>
              </w:rPr>
              <w:t>1.5  The undiagnosed population as a precondition</w:t>
            </w:r>
          </w:p>
          <w:p>
            <w:pPr>
              <w:spacing w:after="80" w:line="276" w:lineRule="auto"/>
              <w:jc w:val="both"/>
            </w:pPr>
            <w:r>
              <w:rPr>
                <w:rFonts w:ascii="Times New Roman" w:hAnsi="Times New Roman" w:eastAsia="바탕"/>
                <w:sz w:val="20"/>
              </w:rPr>
              <w:t>1.6  How widely the delivery medium has spread</w:t>
            </w:r>
          </w:p>
          <w:p>
            <w:pPr>
              <w:spacing w:after="80" w:line="276" w:lineRule="auto"/>
              <w:jc w:val="both"/>
            </w:pPr>
            <w:r>
              <w:rPr>
                <w:rFonts w:ascii="Times New Roman" w:hAnsi="Times New Roman" w:eastAsia="바탕"/>
                <w:sz w:val="20"/>
              </w:rPr>
              <w:t>1.7  The scale of population ageing and its geographic shift</w:t>
            </w:r>
          </w:p>
          <w:p>
            <w:pPr>
              <w:spacing w:after="80" w:line="276" w:lineRule="auto"/>
              <w:jc w:val="both"/>
            </w:pPr>
            <w:r>
              <w:rPr>
                <w:rFonts w:ascii="Times New Roman" w:hAnsi="Times New Roman" w:eastAsia="바탕"/>
                <w:sz w:val="20"/>
              </w:rPr>
              <w:t>1.8  The effect and the limits of visual delivery</w:t>
            </w:r>
          </w:p>
          <w:p>
            <w:pPr>
              <w:spacing w:after="80" w:line="276" w:lineRule="auto"/>
              <w:jc w:val="both"/>
            </w:pPr>
            <w:r>
              <w:rPr>
                <w:rFonts w:ascii="Times New Roman" w:hAnsi="Times New Roman" w:eastAsia="바탕"/>
                <w:sz w:val="20"/>
              </w:rPr>
              <w:t>1.9  Structural constraints of the existing pictogram standard</w:t>
            </w:r>
          </w:p>
          <w:p>
            <w:pPr>
              <w:spacing w:after="80" w:line="276" w:lineRule="auto"/>
              <w:jc w:val="both"/>
            </w:pPr>
            <w:r>
              <w:rPr>
                <w:rFonts w:ascii="Times New Roman" w:hAnsi="Times New Roman" w:eastAsia="바탕"/>
                <w:sz w:val="20"/>
              </w:rPr>
              <w:t>1.10  Prior work on interfaces for low-literate users</w:t>
            </w:r>
          </w:p>
          <w:p>
            <w:pPr>
              <w:spacing w:after="80" w:line="276" w:lineRule="auto"/>
              <w:jc w:val="both"/>
            </w:pPr>
            <w:r>
              <w:rPr>
                <w:rFonts w:ascii="Times New Roman" w:hAnsi="Times New Roman" w:eastAsia="바탕"/>
                <w:sz w:val="20"/>
              </w:rPr>
              <w:t>1.11  The problem in summary</w:t>
            </w:r>
          </w:p>
          <w:p>
            <w:pPr>
              <w:spacing w:after="80" w:line="276" w:lineRule="auto"/>
              <w:jc w:val="both"/>
            </w:pPr>
            <w:r>
              <w:rPr>
                <w:rFonts w:ascii="Times New Roman" w:hAnsi="Times New Roman" w:eastAsia="바탕"/>
                <w:sz w:val="20"/>
              </w:rPr>
              <w:t>1.12  How this problem looks in our own two countries</w:t>
            </w:r>
          </w:p>
          <w:p>
            <w:pPr>
              <w:spacing w:after="80" w:line="276" w:lineRule="auto"/>
              <w:jc w:val="both"/>
            </w:pPr>
            <w:r>
              <w:rPr>
                <w:rFonts w:ascii="Times New Roman" w:hAnsi="Times New Roman" w:eastAsia="바탕"/>
                <w:sz w:val="20"/>
              </w:rPr>
              <w:t>1.13  The range of the target and the design standard</w:t>
            </w:r>
          </w:p>
          <w:p>
            <w:pPr>
              <w:spacing w:after="80" w:line="276" w:lineRule="auto"/>
              <w:jc w:val="both"/>
            </w:pPr>
            <w:r>
              <w:rPr>
                <w:rFonts w:ascii="Times New Roman" w:hAnsi="Times New Roman" w:eastAsia="바탕"/>
                <w:b/>
                <w:sz w:val="20"/>
              </w:rPr>
              <w:t>Solution and Main Functions</w:t>
            </w:r>
          </w:p>
          <w:p>
            <w:pPr>
              <w:spacing w:after="80" w:line="276" w:lineRule="auto"/>
              <w:jc w:val="both"/>
            </w:pPr>
            <w:r>
              <w:rPr>
                <w:rFonts w:ascii="Times New Roman" w:hAnsi="Times New Roman" w:eastAsia="바탕"/>
                <w:sz w:val="20"/>
              </w:rPr>
              <w:t>2.1  Design principle</w:t>
            </w:r>
          </w:p>
          <w:p>
            <w:pPr>
              <w:spacing w:after="80" w:line="276" w:lineRule="auto"/>
              <w:jc w:val="both"/>
            </w:pPr>
            <w:r>
              <w:rPr>
                <w:rFonts w:ascii="Times New Roman" w:hAnsi="Times New Roman" w:eastAsia="바탕"/>
                <w:sz w:val="20"/>
              </w:rPr>
              <w:t>2.2  SIGIL, the pictogram composition engine</w:t>
            </w:r>
          </w:p>
          <w:p>
            <w:pPr>
              <w:spacing w:after="80" w:line="276" w:lineRule="auto"/>
              <w:jc w:val="both"/>
            </w:pPr>
            <w:r>
              <w:rPr>
                <w:rFonts w:ascii="Times New Roman" w:hAnsi="Times New Roman" w:eastAsia="바탕"/>
                <w:sz w:val="20"/>
              </w:rPr>
              <w:t>2.3  VOCA, the spoken instruction engine</w:t>
            </w:r>
          </w:p>
          <w:p>
            <w:pPr>
              <w:spacing w:after="80" w:line="276" w:lineRule="auto"/>
              <w:jc w:val="both"/>
            </w:pPr>
            <w:r>
              <w:rPr>
                <w:rFonts w:ascii="Times New Roman" w:hAnsi="Times New Roman" w:eastAsia="바탕"/>
                <w:sz w:val="20"/>
              </w:rPr>
              <w:t>2.4  Deriving a per-person verdict threshold</w:t>
            </w:r>
          </w:p>
          <w:p>
            <w:pPr>
              <w:spacing w:after="80" w:line="276" w:lineRule="auto"/>
              <w:jc w:val="both"/>
            </w:pPr>
            <w:r>
              <w:rPr>
                <w:rFonts w:ascii="Times New Roman" w:hAnsi="Times New Roman" w:eastAsia="바탕"/>
                <w:sz w:val="20"/>
              </w:rPr>
              <w:t>2.5  Collecting conditions and inferring allergies</w:t>
            </w:r>
          </w:p>
          <w:p>
            <w:pPr>
              <w:spacing w:after="80" w:line="276" w:lineRule="auto"/>
              <w:jc w:val="both"/>
            </w:pPr>
            <w:r>
              <w:rPr>
                <w:rFonts w:ascii="Times New Roman" w:hAnsi="Times New Roman" w:eastAsia="바탕"/>
                <w:sz w:val="20"/>
              </w:rPr>
              <w:t>2.6  How this differs from existing approaches</w:t>
            </w:r>
          </w:p>
          <w:p>
            <w:pPr>
              <w:spacing w:after="80" w:line="276" w:lineRule="auto"/>
              <w:jc w:val="both"/>
            </w:pPr>
            <w:r>
              <w:rPr>
                <w:rFonts w:ascii="Times New Roman" w:hAnsi="Times New Roman" w:eastAsia="바탕"/>
                <w:sz w:val="20"/>
              </w:rPr>
              <w:t>2.7  The three core functions</w:t>
            </w:r>
          </w:p>
          <w:p>
            <w:pPr>
              <w:spacing w:after="80" w:line="276" w:lineRule="auto"/>
              <w:jc w:val="both"/>
            </w:pPr>
            <w:r>
              <w:rPr>
                <w:rFonts w:ascii="Times New Roman" w:hAnsi="Times New Roman" w:eastAsia="바탕"/>
                <w:b/>
                <w:sz w:val="20"/>
              </w:rPr>
              <w:t>User Flow of the Web App</w:t>
            </w:r>
          </w:p>
          <w:p>
            <w:pPr>
              <w:spacing w:after="80" w:line="276" w:lineRule="auto"/>
              <w:jc w:val="both"/>
            </w:pPr>
            <w:r>
              <w:rPr>
                <w:rFonts w:ascii="Times New Roman" w:hAnsi="Times New Roman" w:eastAsia="바탕"/>
                <w:sz w:val="20"/>
              </w:rPr>
              <w:t>3.1  The overall flow</w:t>
            </w:r>
          </w:p>
          <w:p>
            <w:pPr>
              <w:spacing w:after="80" w:line="276" w:lineRule="auto"/>
              <w:jc w:val="both"/>
            </w:pPr>
            <w:r>
              <w:rPr>
                <w:rFonts w:ascii="Times New Roman" w:hAnsi="Times New Roman" w:eastAsia="바탕"/>
                <w:sz w:val="20"/>
              </w:rPr>
              <w:t>3.2  First run and profile setup</w:t>
            </w:r>
          </w:p>
          <w:p>
            <w:pPr>
              <w:spacing w:after="80" w:line="276" w:lineRule="auto"/>
              <w:jc w:val="both"/>
            </w:pPr>
            <w:r>
              <w:rPr>
                <w:rFonts w:ascii="Times New Roman" w:hAnsi="Times New Roman" w:eastAsia="바탕"/>
                <w:sz w:val="20"/>
              </w:rPr>
              <w:t>3.3  From capture to verdict</w:t>
            </w:r>
          </w:p>
          <w:p>
            <w:pPr>
              <w:spacing w:after="80" w:line="276" w:lineRule="auto"/>
              <w:jc w:val="both"/>
            </w:pPr>
            <w:r>
              <w:rPr>
                <w:rFonts w:ascii="Times New Roman" w:hAnsi="Times New Roman" w:eastAsia="바탕"/>
                <w:sz w:val="20"/>
              </w:rPr>
              <w:t>3.4  The path when recognition fails</w:t>
            </w:r>
          </w:p>
          <w:p>
            <w:pPr>
              <w:spacing w:after="80" w:line="276" w:lineRule="auto"/>
              <w:jc w:val="both"/>
            </w:pPr>
            <w:r>
              <w:rPr>
                <w:rFonts w:ascii="Times New Roman" w:hAnsi="Times New Roman" w:eastAsia="바탕"/>
                <w:sz w:val="20"/>
              </w:rPr>
              <w:t>3.5  Routes to the audio</w:t>
            </w:r>
          </w:p>
          <w:p>
            <w:pPr>
              <w:spacing w:after="80" w:line="276" w:lineRule="auto"/>
              <w:jc w:val="both"/>
            </w:pPr>
            <w:r>
              <w:rPr>
                <w:rFonts w:ascii="Times New Roman" w:hAnsi="Times New Roman" w:eastAsia="바탕"/>
                <w:sz w:val="20"/>
              </w:rPr>
              <w:t>3.6  Sharing a device and separating household members</w:t>
            </w:r>
          </w:p>
          <w:p>
            <w:pPr>
              <w:spacing w:after="80" w:line="276" w:lineRule="auto"/>
              <w:jc w:val="both"/>
            </w:pPr>
            <w:r>
              <w:rPr>
                <w:rFonts w:ascii="Times New Roman" w:hAnsi="Times New Roman" w:eastAsia="바탕"/>
                <w:sz w:val="20"/>
              </w:rPr>
              <w:t>3.7  Channels other than colour</w:t>
            </w:r>
          </w:p>
          <w:p>
            <w:pPr>
              <w:spacing w:after="80" w:line="276" w:lineRule="auto"/>
              <w:jc w:val="both"/>
            </w:pPr>
            <w:r>
              <w:rPr>
                <w:rFonts w:ascii="Times New Roman" w:hAnsi="Times New Roman" w:eastAsia="바탕"/>
                <w:sz w:val="20"/>
              </w:rPr>
              <w:t>3.8  Checking that it was understood</w:t>
            </w:r>
          </w:p>
          <w:p>
            <w:pPr>
              <w:spacing w:after="80" w:line="276" w:lineRule="auto"/>
              <w:jc w:val="both"/>
            </w:pPr>
            <w:r>
              <w:rPr>
                <w:rFonts w:ascii="Times New Roman" w:hAnsi="Times New Roman" w:eastAsia="바탕"/>
                <w:sz w:val="20"/>
              </w:rPr>
              <w:t>3.9  Medication routine and the last four weeks</w:t>
            </w:r>
          </w:p>
          <w:p>
            <w:pPr>
              <w:spacing w:after="80" w:line="276" w:lineRule="auto"/>
              <w:jc w:val="both"/>
            </w:pPr>
            <w:r>
              <w:rPr>
                <w:rFonts w:ascii="Times New Roman" w:hAnsi="Times New Roman" w:eastAsia="바탕"/>
                <w:b/>
                <w:sz w:val="20"/>
              </w:rPr>
              <w:t>Development and Implementation</w:t>
            </w:r>
          </w:p>
          <w:p>
            <w:pPr>
              <w:spacing w:after="80" w:line="276" w:lineRule="auto"/>
              <w:jc w:val="both"/>
            </w:pPr>
            <w:r>
              <w:rPr>
                <w:rFonts w:ascii="Times New Roman" w:hAnsi="Times New Roman" w:eastAsia="바탕"/>
                <w:sz w:val="20"/>
              </w:rPr>
              <w:t>4.1  Overview of the stack</w:t>
            </w:r>
          </w:p>
          <w:p>
            <w:pPr>
              <w:spacing w:after="80" w:line="276" w:lineRule="auto"/>
              <w:jc w:val="both"/>
            </w:pPr>
            <w:r>
              <w:rPr>
                <w:rFonts w:ascii="Times New Roman" w:hAnsi="Times New Roman" w:eastAsia="바탕"/>
                <w:sz w:val="20"/>
              </w:rPr>
              <w:t>4.2  Physical checks in the verdict engine</w:t>
            </w:r>
          </w:p>
          <w:p>
            <w:pPr>
              <w:spacing w:after="80" w:line="276" w:lineRule="auto"/>
              <w:jc w:val="both"/>
            </w:pPr>
            <w:r>
              <w:rPr>
                <w:rFonts w:ascii="Times New Roman" w:hAnsi="Times New Roman" w:eastAsia="바탕"/>
                <w:sz w:val="20"/>
              </w:rPr>
              <w:t>4.3  Choosing the hardware link</w:t>
            </w:r>
          </w:p>
          <w:p>
            <w:pPr>
              <w:spacing w:after="80" w:line="276" w:lineRule="auto"/>
              <w:jc w:val="both"/>
            </w:pPr>
            <w:r>
              <w:rPr>
                <w:rFonts w:ascii="Times New Roman" w:hAnsi="Times New Roman" w:eastAsia="바탕"/>
                <w:sz w:val="20"/>
              </w:rPr>
              <w:t>4.4  Reading the paper form</w:t>
            </w:r>
          </w:p>
          <w:p>
            <w:pPr>
              <w:spacing w:after="80" w:line="276" w:lineRule="auto"/>
              <w:jc w:val="both"/>
            </w:pPr>
            <w:r>
              <w:rPr>
                <w:rFonts w:ascii="Times New Roman" w:hAnsi="Times New Roman" w:eastAsia="바탕"/>
                <w:sz w:val="20"/>
              </w:rPr>
              <w:t>4.5  Offline operation</w:t>
            </w:r>
          </w:p>
          <w:p>
            <w:pPr>
              <w:spacing w:after="80" w:line="276" w:lineRule="auto"/>
              <w:jc w:val="both"/>
            </w:pPr>
            <w:r>
              <w:rPr>
                <w:rFonts w:ascii="Times New Roman" w:hAnsi="Times New Roman" w:eastAsia="바탕"/>
                <w:sz w:val="20"/>
              </w:rPr>
              <w:t>4.6  Privacy</w:t>
            </w:r>
          </w:p>
          <w:p>
            <w:pPr>
              <w:spacing w:after="80" w:line="276" w:lineRule="auto"/>
              <w:jc w:val="both"/>
            </w:pPr>
            <w:r>
              <w:rPr>
                <w:rFonts w:ascii="Times New Roman" w:hAnsi="Times New Roman" w:eastAsia="바탕"/>
                <w:sz w:val="20"/>
              </w:rPr>
              <w:t>4.7  The repository and how the team worked</w:t>
            </w:r>
          </w:p>
          <w:p>
            <w:pPr>
              <w:spacing w:after="80" w:line="276" w:lineRule="auto"/>
              <w:jc w:val="both"/>
            </w:pPr>
            <w:r>
              <w:rPr>
                <w:rFonts w:ascii="Times New Roman" w:hAnsi="Times New Roman" w:eastAsia="바탕"/>
                <w:b/>
                <w:sz w:val="20"/>
              </w:rPr>
              <w:t>Results and Expected Impact (SDG 3 Contribution)</w:t>
            </w:r>
          </w:p>
          <w:p>
            <w:pPr>
              <w:spacing w:after="80" w:line="276" w:lineRule="auto"/>
              <w:jc w:val="both"/>
            </w:pPr>
            <w:r>
              <w:rPr>
                <w:rFonts w:ascii="Times New Roman" w:hAnsi="Times New Roman" w:eastAsia="바탕"/>
                <w:sz w:val="20"/>
              </w:rPr>
              <w:t>5.1  Formative evaluation: whether the information arrives</w:t>
            </w:r>
          </w:p>
          <w:p>
            <w:pPr>
              <w:spacing w:after="80" w:line="276" w:lineRule="auto"/>
              <w:jc w:val="both"/>
            </w:pPr>
            <w:r>
              <w:rPr>
                <w:rFonts w:ascii="Times New Roman" w:hAnsi="Times New Roman" w:eastAsia="바탕"/>
                <w:sz w:val="20"/>
              </w:rPr>
              <w:t>5.2  A procedure for verifying pictogram comprehension</w:t>
            </w:r>
          </w:p>
          <w:p>
            <w:pPr>
              <w:spacing w:after="80" w:line="276" w:lineRule="auto"/>
              <w:jc w:val="both"/>
            </w:pPr>
            <w:r>
              <w:rPr>
                <w:rFonts w:ascii="Times New Roman" w:hAnsi="Times New Roman" w:eastAsia="바탕"/>
                <w:sz w:val="20"/>
              </w:rPr>
              <w:t>5.3  Morphemes judged unimprovable</w:t>
            </w:r>
          </w:p>
          <w:p>
            <w:pPr>
              <w:spacing w:after="80" w:line="276" w:lineRule="auto"/>
              <w:jc w:val="both"/>
            </w:pPr>
            <w:r>
              <w:rPr>
                <w:rFonts w:ascii="Times New Roman" w:hAnsi="Times New Roman" w:eastAsia="바탕"/>
                <w:sz w:val="20"/>
              </w:rPr>
              <w:t>5.4  Limits of the measurement</w:t>
            </w:r>
          </w:p>
          <w:p>
            <w:pPr>
              <w:spacing w:after="80" w:line="276" w:lineRule="auto"/>
              <w:jc w:val="both"/>
            </w:pPr>
            <w:r>
              <w:rPr>
                <w:rFonts w:ascii="Times New Roman" w:hAnsi="Times New Roman" w:eastAsia="바탕"/>
                <w:sz w:val="20"/>
              </w:rPr>
              <w:t>5.5  Measured performance of the nutrition estimation model</w:t>
            </w:r>
          </w:p>
          <w:p>
            <w:pPr>
              <w:spacing w:after="80" w:line="276" w:lineRule="auto"/>
              <w:jc w:val="both"/>
            </w:pPr>
            <w:r>
              <w:rPr>
                <w:rFonts w:ascii="Times New Roman" w:hAnsi="Times New Roman" w:eastAsia="바탕"/>
                <w:sz w:val="20"/>
              </w:rPr>
              <w:t>5.6  Measured offline operation</w:t>
            </w:r>
          </w:p>
          <w:p>
            <w:pPr>
              <w:spacing w:after="80" w:line="276" w:lineRule="auto"/>
              <w:jc w:val="both"/>
            </w:pPr>
            <w:r>
              <w:rPr>
                <w:rFonts w:ascii="Times New Roman" w:hAnsi="Times New Roman" w:eastAsia="바탕"/>
                <w:sz w:val="20"/>
              </w:rPr>
              <w:t>5.7  Expert opinion survey</w:t>
            </w:r>
          </w:p>
          <w:p>
            <w:pPr>
              <w:spacing w:after="80" w:line="276" w:lineRule="auto"/>
              <w:jc w:val="both"/>
            </w:pPr>
            <w:r>
              <w:rPr>
                <w:rFonts w:ascii="Times New Roman" w:hAnsi="Times New Roman" w:eastAsia="바탕"/>
                <w:sz w:val="20"/>
              </w:rPr>
              <w:t>5.8  Contribution to SDG 3</w:t>
            </w:r>
          </w:p>
          <w:p>
            <w:pPr>
              <w:spacing w:after="80" w:line="276" w:lineRule="auto"/>
              <w:jc w:val="both"/>
            </w:pPr>
            <w:r>
              <w:rPr>
                <w:rFonts w:ascii="Times New Roman" w:hAnsi="Times New Roman" w:eastAsia="바탕"/>
                <w:sz w:val="20"/>
              </w:rPr>
              <w:t>5.9  Unverified items</w:t>
            </w:r>
          </w:p>
          <w:p>
            <w:pPr>
              <w:spacing w:after="80" w:line="276" w:lineRule="auto"/>
              <w:jc w:val="both"/>
            </w:pPr>
            <w:r>
              <w:rPr>
                <w:rFonts w:ascii="Times New Roman" w:hAnsi="Times New Roman" w:eastAsia="바탕"/>
                <w:sz w:val="20"/>
              </w:rPr>
              <w:t>5.10  Future plans</w:t>
            </w:r>
          </w:p>
          <w:p>
            <w:pPr>
              <w:spacing w:after="80" w:line="276" w:lineRule="auto"/>
              <w:jc w:val="both"/>
            </w:pPr>
            <w:r>
              <w:rPr>
                <w:rFonts w:ascii="Times New Roman" w:hAnsi="Times New Roman" w:eastAsia="바탕"/>
                <w:sz w:val="20"/>
              </w:rPr>
              <w:t>5.11  Appendix. Every free-text response</w:t>
            </w:r>
          </w:p>
          <w:p>
            <w:pPr>
              <w:spacing w:after="80" w:line="276" w:lineRule="auto"/>
              <w:jc w:val="both"/>
            </w:pPr>
            <w:r>
              <w:rPr>
                <w:rFonts w:ascii="Times New Roman" w:hAnsi="Times New Roman" w:eastAsia="바탕"/>
                <w:sz w:val="20"/>
              </w:rPr>
              <w:t>5.12  Appendix. Every multiple-choice response</w:t>
            </w:r>
          </w:p>
          <w:p>
            <w:pPr>
              <w:spacing w:after="80" w:line="276" w:lineRule="auto"/>
              <w:jc w:val="both"/>
            </w:pPr>
            <w:r>
              <w:rPr>
                <w:rFonts w:ascii="Times New Roman" w:hAnsi="Times New Roman" w:eastAsia="바탕"/>
                <w:sz w:val="20"/>
              </w:rPr>
              <w:t xml:space="preserve">Taking medicine as directed is hard for anyone. In a meta-analysis pooling 22 studies and 92,443 subjects on hypertension in low- and middle-income countries, non-adherence ranged from 25.45% to 63.35% depending on the instrument used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xml:space="preserve">, 31(1):14–21, 2017, doi:10.1038/jhh.2016.31), and in the United States the avoidable health care costs arising from medication non-adherence are estimated at $100 billion to $300 billion a year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 This is not the problem of one group. From finding in the evening the supplement meant for the morning, to stopping an antibiotic on the day the symptoms fade, the same kind of failure runs through.</w:t>
            </w:r>
          </w:p>
          <w:p>
            <w:pPr>
              <w:spacing w:after="80" w:line="276" w:lineRule="auto"/>
              <w:jc w:val="both"/>
            </w:pPr>
            <w:r>
              <w:rPr>
                <w:rFonts w:ascii="Times New Roman" w:hAnsi="Times New Roman" w:eastAsia="바탕"/>
                <w:sz w:val="20"/>
              </w:rPr>
              <w:t>The mechanism of that failure is mostly not reading. Three studies this document cites later point at the same place from three different tasks. What the authors identified as the reason non-literate users slowed down on a hierarchical screen was the load of holding in mind how far down they had gone (§1.10); the one screen out of six for estimating food portions on which nobody succeeded was the screen that made people forget which dimension they had already measured (§1.10); and what older adults said about interactive voice response was that it demands attention and concentration in particular (§2.3). All three are matters of working memory and attention rather than of letters.</w:t>
            </w:r>
          </w:p>
          <w:p>
            <w:pPr>
              <w:spacing w:after="80" w:line="276" w:lineRule="auto"/>
              <w:jc w:val="both"/>
            </w:pPr>
            <w:r>
              <w:rPr>
                <w:rFonts w:ascii="Times New Roman" w:hAnsi="Times New Roman" w:eastAsia="바탕"/>
                <w:sz w:val="20"/>
              </w:rPr>
              <w:t xml:space="preserve">If that is so, the conditions under which this failure grows heavier do not narrow to reading either. States that load executive function, such as attention deficit hyperactivity disorder and burnout; states with damage to memory and movement, such as Alzheimer's disease and Parkinson's disease; states that are temporary but common, such as lack of sleep and sustained stress; and old age all sit on the same axis. To these are added the conditions that block reading itself, non-literacy and dyslexia. That 79.4% of 131 Korean adults over 65 took their medicines themselves while only 28.2% had received medication safety education gives some measure of that axis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w:t>
            </w:r>
          </w:p>
          <w:p>
            <w:pPr>
              <w:spacing w:after="80" w:line="276" w:lineRule="auto"/>
              <w:jc w:val="both"/>
            </w:pPr>
            <w:r>
              <w:rPr>
                <w:rFonts w:ascii="Times New Roman" w:hAnsi="Times New Roman" w:eastAsia="바탕"/>
                <w:sz w:val="20"/>
              </w:rPr>
              <w:t>That is the order in which this document narrows the problem. It begins with the harshest of these conditions, non-literacy, where the instruction never arrives at all (§1.1 to §1.3). A design that holds under that condition holds under the others, while the reverse does not follow. That logic is set out formally in §1.13, and the full range of the target together with where each condition blocks is laid out in a table in the same section. The design from §2 onward and the evaluation in §5 all take that harshest condition as their standard.</w:t>
            </w:r>
          </w:p>
          <w:p>
            <w:pPr>
              <w:spacing w:before="180" w:after="40"/>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same happened in Western Asia and Northern Africa. While the literacy rate rose from 82% to 84%, the number of non-literate adults rose from 59 million to 65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It is not an accident of one region but a second case of the rate and the absolute number moving apart.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 caveat attaches to the fall in the global number of non-literate adults from 754 million in 2023 to 739 million in 2024 as well. It reflects both the UN Population Division's 2024 revision of World Population Prospects and updated national literacy statistics, and the factsheet states that India's literacy rate being revised upward from 77% to 81% contributed significantly to the global reduction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Fifteen million people did not learn to read in a single year: part of the change lies in how the counting was done. The number of people this app is aimed at does not fall because a statistic was revised.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The expert responses quoted from this section onward are not carried over from someone else's survey; we collected them ourselves. Over three hours before dawn on 31 July 2026 we sent 1,103 individual emails, each carrying a different link that opened a working demonstration of the app together with the questions. Thirty-nine people answered, all consenting to be quoted by name and affiliation, and all 124 free-text answers are reproduced in full in §5.11. How the list was built and how it was sent are in §5.7.1 and §5.7.2. Every quotation below comes from that survey, and the question it answers is named with it.</w:t>
            </w:r>
          </w:p>
          <w:p>
            <w:pPr>
              <w:spacing w:after="80" w:line="276" w:lineRule="auto"/>
              <w:jc w:val="both"/>
            </w:pPr>
            <w:r>
              <w:rPr>
                <w:rFonts w:ascii="Times New Roman" w:hAnsi="Times New Roman" w:eastAsia="바탕"/>
                <w:sz w:val="20"/>
              </w:rPr>
              <w:t>We record here that the experts we asked answered in a direction that cuts against this statistic. Of the 39 respondents in §5.7, 18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gathering survey results from 18 countries, wrote that at least one third show low health literacy (in 12 of those countries the proportion passes half), while noting in the same report that the instruments differ by country and the results are not directly comparable across them,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9),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after="80" w:line="276" w:lineRule="auto"/>
              <w:jc w:val="both"/>
            </w:pPr>
            <w:r>
              <w:rPr>
                <w:rFonts w:ascii="Times New Roman" w:hAnsi="Times New Roman" w:eastAsia="바탕"/>
                <w:sz w:val="20"/>
              </w:rPr>
              <w:t>The misreading this section counted from the literature we observed in our own pictures too. Asked how the whole looked from a pharmacy standpoint, Sheron Sir Loon Goh, Pharmacy Lecturer at the Department of Clinical Pharmacy and Pharmacy Practice, pointed at two things:</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The first is this section's "how much" error and the second its contraindication error. The top types in Table 4 reproduced themselves in our own pictures, which is where the distribution in the literature stopped being someone else's story.</w:t>
            </w:r>
          </w:p>
          <w:p>
            <w:pPr>
              <w:spacing w:after="80" w:line="276" w:lineRule="auto"/>
              <w:jc w:val="both"/>
            </w:pPr>
            <w:r>
              <w:rPr>
                <w:rFonts w:ascii="Times New Roman" w:hAnsi="Times New Roman" w:eastAsia="바탕"/>
                <w:sz w:val="20"/>
              </w:rPr>
              <w:t xml:space="preserve">The second is the heavier one. A pregnancy symbol with no prohibition mark can be read as "safe in pregnancy". That is not meaning going vague but meaning </w:t>
            </w:r>
            <w:r>
              <w:rPr>
                <w:rFonts w:ascii="Times New Roman" w:hAnsi="Times New Roman" w:eastAsia="바탕"/>
                <w:b/>
                <w:sz w:val="20"/>
              </w:rPr>
              <w:t>inverting</w:t>
            </w:r>
            <w:r>
              <w:rPr>
                <w:rFonts w:ascii="Times New Roman" w:hAnsi="Times New Roman" w:eastAsia="바탕"/>
                <w:sz w:val="20"/>
              </w:rPr>
              <w:t>, and it is why ANSI Z535.3 requires critical-confusion errors below 5%. Dividing the prohibition marking into three by the nature of the flag in §5.2 was the result of taking this point.</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errors attached to those 421 preventable events arose in, prescribing is 58.4%, monitoring 60.8%, and </w:t>
            </w:r>
            <w:r>
              <w:rPr>
                <w:rFonts w:ascii="Times New Roman" w:hAnsi="Times New Roman" w:eastAsia="바탕"/>
                <w:b/>
                <w:sz w:val="20"/>
              </w:rPr>
              <w:t>the patient adherence stage 21.1%</w:t>
            </w:r>
            <w:r>
              <w:rPr>
                <w:rFonts w:ascii="Times New Roman" w:hAnsi="Times New Roman" w:eastAsia="바탕"/>
                <w:sz w:val="20"/>
              </w:rPr>
              <w:t xml:space="preserve">. The three add to more than 100% because a single event can involve errors at several stages. They should be read as how often each stage was implicated, not as shares of a whole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after="80" w:line="276" w:lineRule="auto"/>
              <w:jc w:val="both"/>
            </w:pPr>
            <w:r>
              <w:rPr>
                <w:rFonts w:ascii="Times New Roman" w:hAnsi="Times New Roman" w:eastAsia="바탕"/>
                <w:sz w:val="20"/>
              </w:rPr>
              <w:t>This section doubted one premise: that the user knows their own condition. The survey handed us a premise we had not doubted. Asked whether a patient who cannot read could take their medicine correctly with only these screens, Yonghan Lee, Senior Manager at the Korea Craft and Design Foundation, answered:</w:t>
            </w:r>
          </w:p>
          <w:p>
            <w:pPr>
              <w:spacing w:after="40" w:line="276" w:lineRule="auto"/>
              <w:ind w:left="403"/>
            </w:pPr>
            <w:r>
              <w:rPr>
                <w:rFonts w:ascii="Times New Roman" w:hAnsi="Times New Roman" w:eastAsia="바탕"/>
                <w:i/>
                <w:color w:val="606068"/>
                <w:sz w:val="19"/>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This app begins with one photograph. That premise, that taking it is possible for anyone, we never tested anywhere in this document. If the 43% above are people who do not know their illness, this point is about people who cannot see the screen, and both are premises we built into the design without counting them.</w:t>
            </w:r>
          </w:p>
          <w:p>
            <w:pPr>
              <w:spacing w:after="80" w:line="276" w:lineRule="auto"/>
              <w:jc w:val="both"/>
            </w:pPr>
            <w:r>
              <w:rPr>
                <w:rFonts w:ascii="Times New Roman" w:hAnsi="Times New Roman" w:eastAsia="바탕"/>
                <w:sz w:val="20"/>
              </w:rPr>
              <w:t>This app did not take blind users as its target. The premise of §1.5 is being undiagnosed rather than being visually impaired, and of the three layers §2.1 overlays, picture and colour both require sight. Speech alone still carries the verdict, but the photographing remains. We have recorded that gap as the twelfth item in §5.9, and how far a screen reader and assisted capture can be joined to this is left to §5.10.</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same study also measures what that education is worth. Those who had received medication safety education came out safer in their actual medication practice than those who had not (</w:t>
            </w:r>
            <w:r>
              <w:rPr>
                <w:rFonts w:ascii="Times New Roman" w:hAnsi="Times New Roman" w:eastAsia="바탕"/>
                <w:i/>
                <w:sz w:val="20"/>
              </w:rPr>
              <w:t>p</w:t>
            </w:r>
            <w:r>
              <w:rPr>
                <w:rFonts w:ascii="Times New Roman" w:hAnsi="Times New Roman" w:eastAsia="바탕"/>
                <w:sz w:val="20"/>
              </w:rPr>
              <w:t xml:space="preserve"> &lt; 0.05). What helps was confirmed to help, and 28.2% had received it. The participants were 131 people gathered at senior welfare centres and pharmacies in the capital and in urban and rural regions, and the authors record as a limitation that their survey stayed on paper and could not use newer tools such as multimedia. What this app sets out to do stands in the place of that limitation.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The two figures do not carry the same weight, and that should be stated. The smoking difference is a reported value, whereas for visits to a general practitioner the multivariate odds ratio is 0.4 (95% CI 0.2–1.07), a confidence interval that crosses 1. The authors themselves write only that it approaches significance. That people with lower literacy use primary care less is therefore not a fact established by this study but an observation pointing that way. Since this is precisely the relationship we say we will examine in §5.9, there is no reason to write it now as settled.</w:t>
            </w:r>
          </w:p>
          <w:p>
            <w:pPr>
              <w:spacing w:after="80" w:line="276" w:lineRule="auto"/>
              <w:jc w:val="both"/>
            </w:pPr>
            <w:r>
              <w:rPr>
                <w:rFonts w:ascii="Times New Roman" w:hAnsi="Times New Roman" w:eastAsia="바탕"/>
                <w:sz w:val="20"/>
              </w:rPr>
              <w:t>How the sample was gathered belongs here too. A convenience sample was obtained by time-space sampling at places where Moldovan women gather: the Moldovan consulate, two Orthodox churches, a car park and a park. That is a standard way of reaching a hard-to-reach population, but it is not a random sample. Add that these are migrants and it cannot be carried across to the population inside Moldova. What we take from this study is neither the figures nor a settled cause, but grounds for measuring health literacy together with primary care use, and the confirming of it belongs to the field evaluation in §5.9.</w:t>
            </w:r>
          </w:p>
          <w:p>
            <w:pPr>
              <w:spacing w:after="80" w:line="276" w:lineRule="auto"/>
              <w:jc w:val="both"/>
            </w:pPr>
            <w:r>
              <w:rPr>
                <w:rFonts w:ascii="Times New Roman" w:hAnsi="Times New Roman" w:eastAsia="바탕"/>
                <w:sz w:val="20"/>
              </w:rPr>
              <w:t>Whether this section is right to treat old age as a single layer we put back to the survey. Kyungseo Park, Assistant Manager at the Korea Disabled People's Development Institute, wrote in the "anything you would add" box:</w:t>
            </w:r>
          </w:p>
          <w:p>
            <w:pPr>
              <w:spacing w:after="40" w:line="276" w:lineRule="auto"/>
              <w:ind w:left="403"/>
            </w:pPr>
            <w:r>
              <w:rPr>
                <w:rFonts w:ascii="Times New Roman" w:hAnsi="Times New Roman" w:eastAsia="바탕"/>
                <w:i/>
                <w:color w:val="606068"/>
                <w:sz w:val="19"/>
              </w:rPr>
              <w:t>"Being in a position of not being able to read comes from a range of individual circumstances: old age, childhood, blindness, low vision. It is certainly needed, and our own institute has run projects such as typeface development for legibility."</w:t>
            </w:r>
          </w:p>
          <w:p>
            <w:pPr>
              <w:spacing w:after="180" w:line="276" w:lineRule="auto"/>
              <w:ind w:left="403"/>
            </w:pPr>
            <w:r>
              <w:rPr>
                <w:rFonts w:ascii="Times New Roman" w:hAnsi="Times New Roman" w:eastAsia="바탕"/>
                <w:i w:val="0"/>
                <w:color w:val="606068"/>
                <w:sz w:val="19"/>
              </w:rPr>
              <w:t>(Kyungseo Park, Assistant Manager, Korea Disabled People's Development Institute)</w:t>
            </w:r>
          </w:p>
          <w:p>
            <w:pPr>
              <w:spacing w:after="80" w:line="276" w:lineRule="auto"/>
              <w:jc w:val="both"/>
            </w:pPr>
            <w:r>
              <w:rPr>
                <w:rFonts w:ascii="Times New Roman" w:hAnsi="Times New Roman" w:eastAsia="바탕"/>
                <w:sz w:val="20"/>
              </w:rPr>
              <w:t>That answer joins this section to §1.1. §1.1 counted non-literacy as a matter of educational opportunity and this section counts ageing as a matter of population structure, but in the field the two meet in one person. Eyes that have weakened with age and never having been taught come to the same thing in front of a screen, and that is why this app does not separate them. The same answer told us one thing more: an institution in Korea has already approached this problem from the typeface side, which means making letters easier to read and not using letters at all are two answers to one problem. We chose the second and do not claim the first is wrong.</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52 Filipino adults, capital region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The first row of Table 6 has to be read together with its scope. The figure of 17 out of 108 comes from 52 adults in the capital region of the Philippines gathered by quota sampling, and the authors record the small sample and the single region as limitations, recommending that the measurement be repeated on 168 participants sampled randomly across regions. It therefore does not mean that those pictograms are inherently unreadable, but that they were read that way by those people. That is also why Table 6 sets values from three countries side by side: no single value tells us the property of a pictogram.</w:t>
            </w:r>
          </w:p>
          <w:p>
            <w:pPr>
              <w:spacing w:after="80" w:line="276" w:lineRule="auto"/>
              <w:jc w:val="both"/>
            </w:pPr>
            <w:r>
              <w:rPr>
                <w:rFonts w:ascii="Times New Roman" w:hAnsi="Times New Roman" w:eastAsia="바탕"/>
                <w:sz w:val="20"/>
              </w:rPr>
              <w:t>What separated comprehension in the same study is worth setting down as well. Out of 108 points, scores were 21.58 points lower where education was below Grade 12, 5.85 points lower for women, and 1.20 points lower above the age of 46. The only statistically significant predictor was education. Those conditions overlap exactly with the people this app is aimed at.</w:t>
            </w:r>
          </w:p>
          <w:p>
            <w:pPr>
              <w:spacing w:after="80" w:line="276" w:lineRule="auto"/>
              <w:jc w:val="both"/>
            </w:pPr>
            <w:r>
              <w:rPr>
                <w:rFonts w:ascii="Times New Roman" w:hAnsi="Times New Roman" w:eastAsia="바탕"/>
                <w:sz w:val="20"/>
              </w:rPr>
              <w:t>The authors' conclusion points at the same place as our architecture. Since only 17 passed, they recommend that pictograms not be used as a stand-alone tool but be complemented with verbal and written instructions. That is why this app sends out picture and speech together (§3.5). We deliberately dropped half of that recommendation, though: the written half, because the people this app is for cannot read, so writing cannot complement anything. We put that much more weight on the half that remains, which is speech.</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The paper names the biological risk symbol as the most striking difference: 94.1% of participants in Cuba scored it correctly against 8.0% in the Democratic Republic of the Congo. One thing more belongs here: these participants are laboratory staff, not patients. The weight of the finding is that trained people diverge this far, not that the figures carry over to patients unchanged.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That figure covers only the 99 caregivers given a daily medicine. For the 158 given an as-needed medicine it was 40.0% to 15.6%, an absolute risk reduction of 24.4 percentage points. Quoting only the larger of the two would inflate the effect, so both are given. Non-adherence fell from 38.0% to 9.3% across everyone followed up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randomly allocating 60 low-literate adults, with seven years of schooling or less and English as a second language, to a control and an experimental group,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Two things have to be stated when this trial is used as our evidence. First, what the experimental group received was </w:t>
            </w:r>
            <w:r>
              <w:rPr>
                <w:rFonts w:ascii="Times New Roman" w:hAnsi="Times New Roman" w:eastAsia="바탕"/>
                <w:b/>
                <w:sz w:val="20"/>
              </w:rPr>
              <w:t>text with pictograms added</w:t>
            </w:r>
            <w:r>
              <w:rPr>
                <w:rFonts w:ascii="Times New Roman" w:hAnsi="Times New Roman" w:eastAsia="바탕"/>
                <w:sz w:val="20"/>
              </w:rPr>
              <w:t xml:space="preserve">, not pictograms alone. This app removed the text, so what the trial supports is adding pictures, not removing words. It should be read alongside the Qatar trial cited later in §1.8, which measured pictogram-only separately and found it last. Second, the paper records that both sets of materials were generally well understood and that the pictogram effect appeared on </w:t>
            </w:r>
            <w:r>
              <w:rPr>
                <w:rFonts w:ascii="Times New Roman" w:hAnsi="Times New Roman" w:eastAsia="바탕"/>
                <w:b/>
                <w:sz w:val="20"/>
              </w:rPr>
              <w:t>more complex information</w:t>
            </w:r>
            <w:r>
              <w:rPr>
                <w:rFonts w:ascii="Times New Roman" w:hAnsi="Times New Roman" w:eastAsia="바탕"/>
                <w:sz w:val="20"/>
              </w:rPr>
              <w:t>. On simple instructions the difference was not large, and what brings the result to our ground is that the compound instructions we aim at (§1.9) fall on the complex side.</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heavier finding from that trial is which arm came last. The paper concludes that </w:t>
            </w:r>
            <w:r>
              <w:rPr>
                <w:rFonts w:ascii="Times New Roman" w:hAnsi="Times New Roman" w:eastAsia="바탕"/>
                <w:b/>
                <w:sz w:val="20"/>
              </w:rPr>
              <w:t>pictogram-only labels were the least comprehended of the three</w:t>
            </w:r>
            <w:r>
              <w:rPr>
                <w:rFonts w:ascii="Times New Roman" w:hAnsi="Times New Roman" w:eastAsia="바탕"/>
                <w:sz w:val="20"/>
              </w:rPr>
              <w:t>, worse even than text carrying verbal support in a language the participant could not read. That does not say pictures beat text; it says pictures beat text once speech is attached, and that a picture with the speech removed can do worse than letters the reader cannot read. It is why this app does not let the speech be switched off and plays it once automatically on the verdict screen (§3.5).</w:t>
            </w:r>
          </w:p>
          <w:p>
            <w:pPr>
              <w:spacing w:after="80" w:line="276" w:lineRule="auto"/>
              <w:jc w:val="both"/>
            </w:pPr>
            <w:r>
              <w:rPr>
                <w:rFonts w:ascii="Times New Roman" w:hAnsi="Times New Roman" w:eastAsia="바탕"/>
                <w:sz w:val="20"/>
              </w:rPr>
              <w:t>The caution the paper leaves belongs here too. Some pictograms were difficult to interpret even with verbal instructions, and the authors write that they therefore need thorough piloting with users before implementation. What §5.9 records as the absence of testing with people lands on exactly that sentence.</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though large is not the same as representative, and that belongs first. This is a cross-sectional study recruited by snowball sampling, so the sample was not drawn to represent Lebanese adults, and both forms were shown to the same people rather than to separate arms.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95% CI −0.028 to −0.009, standardised coefficient −0.148, </w:t>
            </w:r>
            <w:r>
              <w:rPr>
                <w:rFonts w:ascii="Times New Roman" w:hAnsi="Times New Roman" w:eastAsia="바탕"/>
                <w:i/>
                <w:sz w:val="20"/>
              </w:rPr>
              <w:t>p</w:t>
            </w:r>
            <w:r>
              <w:rPr>
                <w:rFonts w:ascii="Times New Roman" w:hAnsi="Times New Roman" w:eastAsia="바탕"/>
                <w:sz w:val="20"/>
              </w:rPr>
              <w:t xml:space="preserve"> &lt; 0.001). The coefficient itself is small: the score difference falls by 0.019 for each additional year, so wiping out the overall gain of 1.52 points seen above would take eighty years.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to 5.4%). Pictures work better with speech than alone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And making them does not mean making them well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Rather than close this section on the literature alone, we put the limitation to the field directly. In the survey sent to 1,103 people on 31 July 2026 (§5.7) we asked "could a patient who cannot read take their medicine correctly, alone, with only these screens, and why", and Foued Maaoui, Researcher at the Pasteur Institute of Tunis, answered:</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What the studies above measured and what this answer says are the same thing. It differs in having been written after looking at what we made. The pass rates in Table 6 are values for other people's sets; this is the word of someone who actually looked at the 78 morphemes of §2.2. In the same answer he singled out four of our morphemes as particularly abstract: completion, quantity, timing and prohibition. The first three coincide exactly with the three types where errors concentrate in Table 4 of §1.3 (omission 32.9%, dose 28.4%, timing 23.2%). The fourth, prohibition, is not in Table 4. That table counts errors pharmacists made while dispensing, so contraindication marking was never among the things counted. That the response nonetheless lists it fourth is because prohibition is separately dangerous seen from the patient side, and §1.3.1 takes up that misreading on its own. That the places most needed are the hardest is the conclusion of this section, and the literature and the survey pointed at it separately.</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One discrepancy in the numbers inside this document should be stated as well. Gutierrez et al. in Table 6 counted and tested the USP set as 82 symbols, and this section says 81. The set may have grown or shrunk over time, but we could not confirm at a primary source which figure belongs to which date. Each source's own count has therefore been left as it stands. A difference of one does not change the argument of this section or of Table 6.</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after="80" w:line="276" w:lineRule="auto"/>
              <w:jc w:val="both"/>
            </w:pPr>
            <w:r>
              <w:rPr>
                <w:rFonts w:ascii="Times New Roman" w:hAnsi="Times New Roman" w:eastAsia="바탕"/>
                <w:sz w:val="20"/>
              </w:rPr>
              <w:t>An answer against this section's conclusion came out of our survey, so it is set down as written. At the end of the survey we left open "anything you would add that we did not ask", and Professor Atif Usman of The Islamia University of Bahawalpur in Pakistan wrote in that box:</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This whole section argues why a new set has to be made, and the answer from the field is not to. Our reply is the second licence condition set out above: USP forbids overlaying or joining symbols, so there is no way to build one compound instruction into one picture while observing the standard. But the answer cannot be called wrong. For an instruction that needs no composition, using USP is right, and among our 78 the ones that stand alone could indeed have been replaced by USP. We built the whole set new because we did not want to mix composable and non-composable symbols inside one set, and that is a judgement rather than a necessity.</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the results split by screen. On the liquids screen all ten estimated the coffee correctly but seven the water, and on the amorphous screen eight estimated the mashed potatoes and eight the spaghetti. The solid-food side divides into three. On the shapes screen two got the apple and five the pizza; on the portions screen four got the apple and five the pizza. And </w:t>
            </w:r>
            <w:r>
              <w:rPr>
                <w:rFonts w:ascii="Times New Roman" w:hAnsi="Times New Roman" w:eastAsia="바탕"/>
                <w:b/>
                <w:sz w:val="20"/>
              </w:rPr>
              <w:t>on the measurements screen not one participant succeeded in measuring all three dimensions of the steak.</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after="80" w:line="276" w:lineRule="auto"/>
              <w:jc w:val="both"/>
            </w:pPr>
            <w:r>
              <w:rPr>
                <w:rFonts w:ascii="Times New Roman" w:hAnsi="Times New Roman" w:eastAsia="바탕"/>
                <w:sz w:val="20"/>
              </w:rPr>
              <w:t>The limitation the authors set down themselves belongs here as well. The experiment had no control group of literate readers. The authors wrote that they therefore cannot rule out that literate users would also have been comparably slow on the hierarchical UI under the same conditions, and they named this a limitation of their study. On this evidence, then, one cannot say that difficulty with hierarchy is peculiar to non-literate users.</w:t>
            </w:r>
          </w:p>
          <w:p>
            <w:pPr>
              <w:spacing w:after="80" w:line="276" w:lineRule="auto"/>
              <w:jc w:val="both"/>
            </w:pPr>
            <w:r>
              <w:rPr>
                <w:rFonts w:ascii="Times New Roman" w:hAnsi="Times New Roman" w:eastAsia="바탕"/>
                <w:sz w:val="20"/>
              </w:rPr>
              <w:t>Stating that limitation in fact favours our design. The mechanism the authors point to is not the ability to read but the memory load of holding in mind how far down one has come. If that is right, a screen with the hierarchy removed is not an accommodation that works only for low-literacy users but a structure that works for everyone. It runs the same way as the decision in §1.5 to design for total blindness, low vision and low literacy as one, and it is also why this app flattens its screens to a single layer in §3.2.</w:t>
            </w:r>
          </w:p>
          <w:p>
            <w:pPr>
              <w:spacing w:after="80" w:line="276" w:lineRule="auto"/>
              <w:jc w:val="both"/>
            </w:pPr>
            <w:r>
              <w:rPr>
                <w:rFonts w:ascii="Times New Roman" w:hAnsi="Times New Roman" w:eastAsia="바탕"/>
                <w:sz w:val="20"/>
              </w:rPr>
              <w:t>All of this prior work is other people's making, measured by other people. To hear the same thing said about ours, the survey asked "where it could be misread", and Yonghan Lee, Senior Manager at the Korea Craft and Design Foundation, answered:</w:t>
            </w:r>
          </w:p>
          <w:p>
            <w:pPr>
              <w:spacing w:after="40" w:line="276" w:lineRule="auto"/>
              <w:ind w:left="403"/>
            </w:pPr>
            <w:r>
              <w:rPr>
                <w:rFonts w:ascii="Times New Roman" w:hAnsi="Times New Roman" w:eastAsia="바탕"/>
                <w:i/>
                <w:color w:val="606068"/>
                <w:sz w:val="19"/>
              </w:rPr>
              <w:t>"The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 xml:space="preserve">Where the papers above say "they do not grasp the hierarchy", this answer goes one step more concrete. It names which picture fails to read and why, and offers the alternative. We took the point and redrew </w:t>
            </w:r>
            <w:r>
              <w:rPr>
                <w:rFonts w:ascii="Consolas" w:hAnsi="Consolas" w:eastAsia="Consolas"/>
                <w:sz w:val="19"/>
              </w:rPr>
              <w:t>hand_wash</w:t>
            </w:r>
            <w:r>
              <w:rPr>
                <w:rFonts w:ascii="Times New Roman" w:hAnsi="Times New Roman" w:eastAsia="바탕"/>
                <w:sz w:val="20"/>
              </w:rPr>
              <w:t xml:space="preserve"> as a hand under a running tap (§5.7.13). Three responses actually changed a picture: this one, </w:t>
            </w:r>
            <w:r>
              <w:rPr>
                <w:rFonts w:ascii="Consolas" w:hAnsi="Consolas" w:eastAsia="Consolas"/>
                <w:sz w:val="19"/>
              </w:rPr>
              <w:t>allergen_egg</w:t>
            </w:r>
            <w:r>
              <w:rPr>
                <w:rFonts w:ascii="Times New Roman" w:hAnsi="Times New Roman" w:eastAsia="바탕"/>
                <w:sz w:val="20"/>
              </w:rPr>
              <w:t xml:space="preserve">, and </w:t>
            </w:r>
            <w:r>
              <w:rPr>
                <w:rFonts w:ascii="Consolas" w:hAnsi="Consolas" w:eastAsia="Consolas"/>
                <w:sz w:val="19"/>
              </w:rPr>
              <w:t>finish_course</w:t>
            </w:r>
            <w:r>
              <w:rPr>
                <w:rFonts w:ascii="Times New Roman" w:hAnsi="Times New Roman" w:eastAsia="바탕"/>
                <w:sz w:val="20"/>
              </w:rPr>
              <w:t>, which followed a suggestion from Pharmacy Lecturer Sheron Sir Loon Goh. What the prior work told us was where to be careful; what the survey told us was what to fix.</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when 108 pharmaceutical pictograms actually produced were tested on 52 Filipino adults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Two of the five on the left are drawn with a heavier border: the cost of the problem and the channel that is already open. The first is the reason to take the problem on, the second the reason it can be taken on now.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18 of 39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p>
            <w:pPr>
              <w:spacing w:after="80" w:line="276" w:lineRule="auto"/>
              <w:jc w:val="both"/>
            </w:pPr>
            <w:r>
              <w:rPr>
                <w:rFonts w:ascii="Times New Roman" w:hAnsi="Times New Roman" w:eastAsia="바탕"/>
                <w:sz w:val="20"/>
              </w:rPr>
              <w:t>Putting these three to the survey brought agreement on the direction with a condition attached. Asked whether a patient who cannot read could take their medicine correctly with only these screens, Myojung Choi, Researcher at the Korea Disabled People's Development Institute, answered:</w:t>
            </w:r>
          </w:p>
          <w:p>
            <w:pPr>
              <w:spacing w:after="40" w:line="276" w:lineRule="auto"/>
              <w:ind w:left="403"/>
            </w:pPr>
            <w:r>
              <w:rPr>
                <w:rFonts w:ascii="Times New Roman" w:hAnsi="Times New Roman" w:eastAsia="바탕"/>
                <w:i/>
                <w:color w:val="606068"/>
                <w:sz w:val="19"/>
              </w:rPr>
              <w:t>"Presenting information on a multi-channel cognitive basis, combining pictogram and sound, seems the right direction. Where one pictogram contains a lot of information, however, clarity of perception can fall, so it needs simplifying around the core information."</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first sentence supports the third of the three above, delivery that does not demand text; the second collides head-on with the first, composition. We set as our conclusion that one instruction should become one picture, and doing so increases what one picture has to carry. The gain from composition and clarity of perception are two ends of one axis, and our design picks a point on that axis rather than getting both.</w:t>
            </w:r>
          </w:p>
          <w:p>
            <w:pPr>
              <w:spacing w:after="80" w:line="276" w:lineRule="auto"/>
              <w:jc w:val="both"/>
            </w:pPr>
            <w:r>
              <w:rPr>
                <w:rFonts w:ascii="Times New Roman" w:hAnsi="Times New Roman" w:eastAsia="바탕"/>
                <w:sz w:val="20"/>
              </w:rPr>
              <w:t>How far that tension can be carried is the ceiling of this approach. §2.2 restricts the grammar so that a head takes only one modifier, which stops a picture growing heavy, and the machine evaluation of §5.2 measures whether pictures built that way are read. Where clarity breaks down, though, can only be learned by asking people, and that remains in §5.10.</w:t>
            </w:r>
          </w:p>
          <w:p>
            <w:pPr>
              <w:spacing w:before="180" w:after="40"/>
            </w:pPr>
            <w:r>
              <w:rPr>
                <w:rFonts w:ascii="Times New Roman" w:hAnsi="Times New Roman" w:eastAsia="바탕"/>
                <w:b/>
                <w:sz w:val="23"/>
              </w:rPr>
              <w:t>1.12 How this problem looks in our own two countries</w:t>
            </w:r>
          </w:p>
          <w:p>
            <w:pPr>
              <w:spacing w:after="80" w:line="276" w:lineRule="auto"/>
              <w:jc w:val="both"/>
            </w:pPr>
            <w:r>
              <w:rPr>
                <w:rFonts w:ascii="Times New Roman" w:hAnsi="Times New Roman" w:eastAsia="바탕"/>
                <w:sz w:val="20"/>
              </w:rPr>
              <w:t>The five strands above were counted against the world. This team comes from Korea and Moldova, so they are read again against those two countries, and because the contest form asks how the problem bears on our own school and community.</w:t>
            </w:r>
          </w:p>
          <w:p>
            <w:pPr>
              <w:spacing w:after="80" w:line="276" w:lineRule="auto"/>
              <w:jc w:val="both"/>
            </w:pPr>
            <w:r>
              <w:rPr>
                <w:rFonts w:ascii="Times New Roman" w:hAnsi="Times New Roman" w:eastAsia="바탕"/>
                <w:sz w:val="20"/>
              </w:rPr>
              <w:t>In Korea what characterises this problem is not its size but its invisibility. Adult literacy is effectively close to 100%, so the phrase "people who cannot read" does not land. Yet the Korea Disease Control and Prevention Agency data cited in §1.2 says 39.6% of adults do not have sufficient health literacy, and 59.7% among those aged 65 and over. The distance between reading letters and understanding a dosing instruction opens that wide inside a single country.</w:t>
            </w:r>
          </w:p>
          <w:p>
            <w:pPr>
              <w:spacing w:after="80" w:line="276" w:lineRule="auto"/>
              <w:jc w:val="both"/>
            </w:pPr>
            <w:r>
              <w:rPr>
                <w:rFonts w:ascii="Times New Roman" w:hAnsi="Times New Roman" w:eastAsia="바탕"/>
                <w:sz w:val="20"/>
              </w:rPr>
              <w:t>Our own survey produced the evidence that it goes unseen. Of the 39 respondents in §5.7, 18 answered that they almost never meet such a patient. One wrote:</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We take that answer as counter-evidence. If national statistics say 39.6% while nearly half of practitioners say they do not meet them, one of the two does not mean there is no problem; it means the problem does not surface in the consulting room. That people who cannot read do not say so is something the prior work cited in §1.10 already observed, and our survey showed it again.</w:t>
            </w:r>
          </w:p>
          <w:p>
            <w:pPr>
              <w:spacing w:after="80" w:line="276" w:lineRule="auto"/>
              <w:jc w:val="both"/>
            </w:pPr>
            <w:r>
              <w:rPr>
                <w:rFonts w:ascii="Times New Roman" w:hAnsi="Times New Roman" w:eastAsia="바탕"/>
                <w:sz w:val="20"/>
              </w:rPr>
              <w:t>The same judgement came once more from a different segment. Asked whether this approach frames the problem correctly, Seunghoon Jung of the Korea Institute of Design Promotion answered:</w:t>
            </w:r>
          </w:p>
          <w:p>
            <w:pPr>
              <w:spacing w:after="40" w:line="276" w:lineRule="auto"/>
              <w:ind w:left="403"/>
            </w:pPr>
            <w:r>
              <w:rPr>
                <w:rFonts w:ascii="Times New Roman" w:hAnsi="Times New Roman" w:eastAsia="바탕"/>
                <w:i/>
                <w:color w:val="606068"/>
                <w:sz w:val="19"/>
              </w:rPr>
              <w:t>"In Korea I do not think there are many adults whose literacy is low enough that they cannot understand Hangul."</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That the same thing is said from two different positions, pharmacy practice and design, strengthens this section's argument rather than weakening it, because it means this is not one person's impression but common sense widely shared in Korea. The only way that common sense and the national figure of 39.6% can both be true is if reading letters and understanding a dosing instruction are different things, and that gap is where this app stands.</w:t>
            </w:r>
          </w:p>
          <w:p>
            <w:pPr>
              <w:spacing w:after="80" w:line="276" w:lineRule="auto"/>
              <w:jc w:val="both"/>
            </w:pPr>
            <w:r>
              <w:rPr>
                <w:rFonts w:ascii="Times New Roman" w:hAnsi="Times New Roman" w:eastAsia="바탕"/>
                <w:sz w:val="20"/>
              </w:rPr>
              <w:t xml:space="preserve">In Moldova the shape is different. The population is projected to fall by 31% by 2060, the median age to rise from 38 to 47, and the share of older people to more than double to 27%. The disease burden is concentrated in noncommunicable disease, and between 2008 and 2015 diabetes prevalence rose 75% and circulatory disease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It is a country where the number of people taking several medicines over a long period is rising fast, and with it the number handling those medicines alone at home.</w:t>
            </w:r>
          </w:p>
          <w:p>
            <w:pPr>
              <w:spacing w:after="80" w:line="276" w:lineRule="auto"/>
              <w:jc w:val="both"/>
            </w:pPr>
            <w:r>
              <w:rPr>
                <w:rFonts w:ascii="Times New Roman" w:hAnsi="Times New Roman" w:eastAsia="바탕"/>
                <w:sz w:val="20"/>
              </w:rPr>
              <w:t>Placed side by side, the two make the target of this app plain. In Korea it is a problem that exists but is not seen; in Moldova it is a problem that is going to grow. The first needs a route that reaches the people the consulting room missed; the second needs a tool that scales without adding staff. A design in which one photograph produces a picture and a spoken sentence, computed on the device, treats both the same way.</w:t>
            </w:r>
          </w:p>
          <w:p>
            <w:pPr>
              <w:spacing w:after="80" w:line="276" w:lineRule="auto"/>
              <w:jc w:val="both"/>
            </w:pPr>
            <w:r>
              <w:rPr>
                <w:rFonts w:ascii="Times New Roman" w:hAnsi="Times New Roman" w:eastAsia="바탕"/>
                <w:sz w:val="20"/>
              </w:rPr>
              <w:t>A limit belongs here. We could not find data measuring the relationship between health literacy and primary care use inside Moldova itself. What §1.5 cites is a study of 170 Moldovan migrant women living in Padua, Italy, and being a migrant sample it cannot be carried across to the population inside Moldova. Confirming it in Moldova is part of the field evaluation in §5.10.</w:t>
            </w:r>
          </w:p>
          <w:p>
            <w:pPr>
              <w:spacing w:after="80" w:line="276" w:lineRule="auto"/>
              <w:jc w:val="both"/>
            </w:pPr>
            <w:r>
              <w:rPr>
                <w:rFonts w:ascii="Times New Roman" w:hAnsi="Times New Roman" w:eastAsia="바탕"/>
                <w:sz w:val="20"/>
              </w:rPr>
              <w:t>Once the target is widened in the next section, the Korean half of this section's argument grows heavier rather than lighter. The grounds given for calling it invisible are that 18 of the 39 respondents in §5.7 said they scarcely meet such patients, and that is an answer about patients who cannot read. The conditions §1.13 adds are counted even less than those. Health literacy at least has a figure of 39.6%, whereas we found no statistic within the range of this document that counts people too worn out to take medicine on time, or people who cannot remember whether they took last night's dose. Nor does that arrive in a consulting room as a diagnosis. Saying that this problem is invisible in Korea becomes truer the further the target is widened.</w:t>
            </w:r>
          </w:p>
          <w:p>
            <w:pPr>
              <w:spacing w:before="180" w:after="40"/>
            </w:pPr>
            <w:r>
              <w:rPr>
                <w:rFonts w:ascii="Times New Roman" w:hAnsi="Times New Roman" w:eastAsia="바탕"/>
                <w:b/>
                <w:sz w:val="23"/>
              </w:rPr>
              <w:t>1.13 The range of the target and the design standard</w:t>
            </w:r>
          </w:p>
          <w:p>
            <w:pPr>
              <w:spacing w:after="80" w:line="276" w:lineRule="auto"/>
              <w:jc w:val="both"/>
            </w:pPr>
            <w:r>
              <w:rPr>
                <w:rFonts w:ascii="Times New Roman" w:hAnsi="Times New Roman" w:eastAsia="바탕"/>
                <w:sz w:val="20"/>
              </w:rPr>
              <w:t>The twelve preceding sections have been narrowing toward one condition: the condition in which the content of a prescription never arrives because it cannot be read. This section sets out why that condition is taken as the design standard, and what a design built to it actually reaches.</w:t>
            </w:r>
          </w:p>
          <w:p>
            <w:pPr>
              <w:spacing w:after="80" w:line="276" w:lineRule="auto"/>
              <w:jc w:val="both"/>
            </w:pPr>
            <w:r>
              <w:rPr>
                <w:rFonts w:ascii="Times New Roman" w:hAnsi="Times New Roman" w:eastAsia="바탕"/>
                <w:sz w:val="20"/>
              </w:rPr>
              <w:t>The reason for setting the standard at the harshest condition lies in a containment that holds in one direction only. A screen a person who cannot read can understand is also understood by a person who can read, while a screen a reader can understand is not thereby understood by someone who cannot read. There is therefore no need to build two versions aimed at two groups: one version built to the harsher condition covers both. That is why this document describes only one set of screens from §2 onward.</w:t>
            </w:r>
          </w:p>
          <w:p>
            <w:pPr>
              <w:spacing w:after="80" w:line="276" w:lineRule="auto"/>
              <w:jc w:val="both"/>
            </w:pPr>
            <w:r>
              <w:rPr>
                <w:rFonts w:ascii="Times New Roman" w:hAnsi="Times New Roman" w:eastAsia="바탕"/>
                <w:sz w:val="20"/>
              </w:rPr>
              <w:t>That containment does not hold on every axis, though. It holds on the axis of comprehensibility. How much sight a screen demands is a separate axis, so a size legible to a user with low vision does not thereby become usable for a blind user. As stated in §1.5, this app begins with a photograph, and taking that photograph remains a barrier for someone who cannot see. Tremor in the hand and the precision an action requires are separate axes in the same way. The table below therefore records, for each condition, which axis is the one that blocks.</w:t>
            </w:r>
          </w:p>
          <w:p>
            <w:pPr>
              <w:spacing w:after="80" w:line="276" w:lineRule="auto"/>
              <w:jc w:val="both"/>
            </w:pPr>
            <w:r>
              <w:rPr>
                <w:rFonts w:ascii="Times New Roman" w:hAnsi="Times New Roman" w:eastAsia="바탕"/>
                <w:sz w:val="20"/>
              </w:rPr>
              <w:t>The grounds for saying that the barrier we designed against is not peculiar to literacy lie inside studies this document already cites. In the hierarchy experiment of §1.10 the authors themselves wrote that, having had no control group of literate readers, they could not say the difficulty of hierarchy was peculiar to non-literate users, and the mechanism they pointed to was the load of holding in mind how far down one had gone. In the portion-estimation experiment in the same section, the one screen out of six on which nobody succeeded was the screen that made people forget which dimension they had already measured. In the interactive voice response study cited in §2.3, what older participants said about the interaction was that it demands attention and concentration in particular. All three point at working memory and attention, and those are resources that can be loaded independently of reading.</w:t>
            </w:r>
          </w:p>
          <w:p>
            <w:pPr>
              <w:spacing w:after="80" w:line="276" w:lineRule="auto"/>
              <w:jc w:val="both"/>
            </w:pPr>
            <w:r>
              <w:rPr>
                <w:rFonts w:ascii="Times New Roman" w:hAnsi="Times New Roman" w:eastAsia="바탕"/>
                <w:sz w:val="20"/>
              </w:rPr>
              <w:t xml:space="preserve">How medication actually breaks down in groups carrying that load has been measured as well. In a systematic review of 66 studies of children and adolescents with attention deficit hyperactivity disorder, the proportion showing good adherence at 12-month follow-up under the most commonly used definition (medication possession ratio of 80% or more) was 22.9%, and mean treatment duration over those 12 months was 170 days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20"/>
              </w:rPr>
              <w:t>European Child &amp; Adolescent Psychiatry</w:t>
            </w:r>
            <w:r>
              <w:rPr>
                <w:rFonts w:ascii="Times New Roman" w:hAnsi="Times New Roman" w:eastAsia="바탕"/>
                <w:sz w:val="20"/>
              </w:rPr>
              <w:t xml:space="preserve">, 34(3):867–882, 2025, doi:10.1007/s00787-024-02538-z). In a study of 124 Parkinson's disease patients taking at least three daily doses, 36.3% reported low adherence, 29.8% medium and only 33.9% high (Straka, I., Minár, M., Škorvánek, M. et al., "Adherence to Pharmacotherapy in Patients With Parkinson's Disease Taking Three and More Daily Doses of Medication," </w:t>
            </w:r>
            <w:r>
              <w:rPr>
                <w:rFonts w:ascii="Times New Roman" w:hAnsi="Times New Roman" w:eastAsia="바탕"/>
                <w:i/>
                <w:sz w:val="20"/>
              </w:rPr>
              <w:t>Frontiers in Neurology</w:t>
            </w:r>
            <w:r>
              <w:rPr>
                <w:rFonts w:ascii="Times New Roman" w:hAnsi="Times New Roman" w:eastAsia="바탕"/>
                <w:sz w:val="20"/>
              </w:rPr>
              <w:t>, 10:799, 2019, doi:10.3389/fneur.2019.00799). The latter bears on this section most directly, because the independent risk factors the authors found for non-adherence were excessive daytime sleepiness, anhedonia and forgetfulness. The diagnosis is Parkinson's disease, but what actually broke adherence was being sleepy, being without drive, and forgetting. Those three also come to anyone, diagnosis or not.</w:t>
            </w:r>
          </w:p>
          <w:p>
            <w:pPr>
              <w:spacing w:after="80" w:line="276" w:lineRule="auto"/>
              <w:jc w:val="both"/>
            </w:pPr>
            <w:r>
              <w:rPr>
                <w:rFonts w:ascii="Times New Roman" w:hAnsi="Times New Roman" w:eastAsia="바탕"/>
                <w:sz w:val="20"/>
              </w:rPr>
              <w:t>The leaps taken in carrying these two studies across should be named. The first looked at children and adolescents, whereas the users this app aims at are mostly adults. That attention deficit hyperactivity disorder can carry into adulthood and that adherence figures for children can be carried across to adults are two different statements, and we hold no evidence for the second. What is taken here is not the proportion but the fact that medication-taking does break down in this group. The second sampled only Parkinson's patients without dementia, so it cannot be carried across to people with severe memory impairment. That the risk factors the authors found fit our argument does not make their sample the same as our target.</w:t>
            </w:r>
          </w:p>
          <w:p>
            <w:pPr>
              <w:spacing w:after="80" w:line="276" w:lineRule="auto"/>
              <w:jc w:val="both"/>
            </w:pPr>
            <w:r>
              <w:rPr>
                <w:rFonts w:ascii="Times New Roman" w:hAnsi="Times New Roman" w:eastAsia="바탕"/>
                <w:sz w:val="20"/>
              </w:rPr>
              <w:t>[Table 7] Target conditions, where each is blocked, and the corresponding function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Condition</w:t>
                  </w:r>
                </w:p>
              </w:tc>
              <w:tc>
                <w:tcPr>
                  <w:tcW w:type="dxa" w:w="2441"/>
                  <w:shd w:val="clear" w:fill="F2F2F2"/>
                </w:tcPr>
                <w:p>
                  <w:r>
                    <w:rPr>
                      <w:rFonts w:ascii="Times New Roman" w:hAnsi="Times New Roman" w:eastAsia="바탕"/>
                      <w:b/>
                      <w:sz w:val="18"/>
                    </w:rPr>
                    <w:t>What blocks</w:t>
                  </w:r>
                </w:p>
              </w:tc>
              <w:tc>
                <w:tcPr>
                  <w:tcW w:type="dxa" w:w="2441"/>
                  <w:shd w:val="clear" w:fill="F2F2F2"/>
                </w:tcPr>
                <w:p>
                  <w:r>
                    <w:rPr>
                      <w:rFonts w:ascii="Times New Roman" w:hAnsi="Times New Roman" w:eastAsia="바탕"/>
                      <w:b/>
                      <w:sz w:val="18"/>
                    </w:rPr>
                    <w:t>Which part of this app reaches it</w:t>
                  </w:r>
                </w:p>
              </w:tc>
              <w:tc>
                <w:tcPr>
                  <w:tcW w:type="dxa" w:w="2441"/>
                  <w:shd w:val="clear" w:fill="F2F2F2"/>
                </w:tcPr>
                <w:p>
                  <w:r>
                    <w:rPr>
                      <w:rFonts w:ascii="Times New Roman" w:hAnsi="Times New Roman" w:eastAsia="바탕"/>
                      <w:b/>
                      <w:sz w:val="18"/>
                    </w:rPr>
                    <w:t>Grounds</w:t>
                  </w:r>
                </w:p>
              </w:tc>
            </w:tr>
            <w:tr>
              <w:tc>
                <w:tcPr>
                  <w:tcW w:type="dxa" w:w="2441"/>
                </w:tcPr>
                <w:p>
                  <w:r>
                    <w:rPr>
                      <w:rFonts w:ascii="Times New Roman" w:hAnsi="Times New Roman" w:eastAsia="바탕"/>
                      <w:b/>
                      <w:sz w:val="18"/>
                    </w:rPr>
                    <w:t>Non-literacy and low literacy</w:t>
                  </w:r>
                </w:p>
              </w:tc>
              <w:tc>
                <w:tcPr>
                  <w:tcW w:type="dxa" w:w="2441"/>
                </w:tcPr>
                <w:p>
                  <w:r>
                    <w:rPr>
                      <w:rFonts w:ascii="Times New Roman" w:hAnsi="Times New Roman" w:eastAsia="바탕"/>
                      <w:sz w:val="18"/>
                    </w:rPr>
                    <w:t>Reading itself</w:t>
                  </w:r>
                </w:p>
              </w:tc>
              <w:tc>
                <w:tcPr>
                  <w:tcW w:type="dxa" w:w="2441"/>
                </w:tcPr>
                <w:p>
                  <w:r>
                    <w:rPr>
                      <w:rFonts w:ascii="Times New Roman" w:hAnsi="Times New Roman" w:eastAsia="바탕"/>
                      <w:sz w:val="18"/>
                    </w:rPr>
                    <w:t>The whole screen, which demands no letters (§2.2), and speech (§2.3)</w:t>
                  </w:r>
                </w:p>
              </w:tc>
              <w:tc>
                <w:tcPr>
                  <w:tcW w:type="dxa" w:w="2441"/>
                </w:tcPr>
                <w:p>
                  <w:r>
                    <w:rPr>
                      <w:rFonts w:ascii="Times New Roman" w:hAnsi="Times New Roman" w:eastAsia="바탕"/>
                      <w:sz w:val="18"/>
                    </w:rPr>
                    <w:t>§1.1 to §1.3 · the design standard</w:t>
                  </w:r>
                </w:p>
              </w:tc>
            </w:tr>
            <w:tr>
              <w:tc>
                <w:tcPr>
                  <w:tcW w:type="dxa" w:w="2441"/>
                </w:tcPr>
                <w:p>
                  <w:r>
                    <w:rPr>
                      <w:rFonts w:ascii="Times New Roman" w:hAnsi="Times New Roman" w:eastAsia="바탕"/>
                      <w:b/>
                      <w:sz w:val="18"/>
                    </w:rPr>
                    <w:t>Dyslexia</w:t>
                  </w:r>
                </w:p>
              </w:tc>
              <w:tc>
                <w:tcPr>
                  <w:tcW w:type="dxa" w:w="2441"/>
                </w:tcPr>
                <w:p>
                  <w:r>
                    <w:rPr>
                      <w:rFonts w:ascii="Times New Roman" w:hAnsi="Times New Roman" w:eastAsia="바탕"/>
                      <w:sz w:val="18"/>
                    </w:rPr>
                    <w:t>The speed and accuracy of reading</w:t>
                  </w:r>
                </w:p>
              </w:tc>
              <w:tc>
                <w:tcPr>
                  <w:tcW w:type="dxa" w:w="2441"/>
                </w:tcPr>
                <w:p>
                  <w:r>
                    <w:rPr>
                      <w:rFonts w:ascii="Times New Roman" w:hAnsi="Times New Roman" w:eastAsia="바탕"/>
                      <w:sz w:val="18"/>
                    </w:rPr>
                    <w:t>As above</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Attention deficit hyperactivity disorder</w:t>
                  </w:r>
                </w:p>
              </w:tc>
              <w:tc>
                <w:tcPr>
                  <w:tcW w:type="dxa" w:w="2441"/>
                </w:tcPr>
                <w:p>
                  <w:r>
                    <w:rPr>
                      <w:rFonts w:ascii="Times New Roman" w:hAnsi="Times New Roman" w:eastAsia="바탕"/>
                      <w:sz w:val="18"/>
                    </w:rPr>
                    <w:t>Executive function, sustained attention</w:t>
                  </w:r>
                </w:p>
              </w:tc>
              <w:tc>
                <w:tcPr>
                  <w:tcW w:type="dxa" w:w="2441"/>
                </w:tcPr>
                <w:p>
                  <w:r>
                    <w:rPr>
                      <w:rFonts w:ascii="Times New Roman" w:hAnsi="Times New Roman" w:eastAsia="바탕"/>
                      <w:sz w:val="18"/>
                    </w:rPr>
                    <w:t>A verdict finished in one screen and one colour (§3.3), the dispenser's timed prompt (§4.3)</w:t>
                  </w:r>
                </w:p>
              </w:tc>
              <w:tc>
                <w:tcPr>
                  <w:tcW w:type="dxa" w:w="2441"/>
                </w:tcPr>
                <w:p>
                  <w:r>
                    <w:rPr>
                      <w:rFonts w:ascii="Times New Roman" w:hAnsi="Times New Roman" w:eastAsia="바탕"/>
                      <w:sz w:val="18"/>
                    </w:rPr>
                    <w:t xml:space="preserve">22.9% good adherence at 12 months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18"/>
                    </w:rPr>
                    <w:t>European Child &amp; Adolescent Psychiatry</w:t>
                  </w:r>
                  <w:r>
                    <w:rPr>
                      <w:rFonts w:ascii="Times New Roman" w:hAnsi="Times New Roman" w:eastAsia="바탕"/>
                      <w:sz w:val="18"/>
                    </w:rPr>
                    <w:t>, 34(3):867–882, 2025, doi:10.1007/s00787-024-02538-z)</w:t>
                  </w:r>
                </w:p>
              </w:tc>
            </w:tr>
            <w:tr>
              <w:tc>
                <w:tcPr>
                  <w:tcW w:type="dxa" w:w="2441"/>
                </w:tcPr>
                <w:p>
                  <w:r>
                    <w:rPr>
                      <w:rFonts w:ascii="Times New Roman" w:hAnsi="Times New Roman" w:eastAsia="바탕"/>
                      <w:b/>
                      <w:sz w:val="18"/>
                    </w:rPr>
                    <w:t>Burnout, lack of sleep, sustained stress</w:t>
                  </w:r>
                </w:p>
              </w:tc>
              <w:tc>
                <w:tcPr>
                  <w:tcW w:type="dxa" w:w="2441"/>
                </w:tcPr>
                <w:p>
                  <w:r>
                    <w:rPr>
                      <w:rFonts w:ascii="Times New Roman" w:hAnsi="Times New Roman" w:eastAsia="바탕"/>
                      <w:sz w:val="18"/>
                    </w:rPr>
                    <w:t>Temporary decline in attention and drive</w:t>
                  </w:r>
                </w:p>
              </w:tc>
              <w:tc>
                <w:tcPr>
                  <w:tcW w:type="dxa" w:w="2441"/>
                </w:tcPr>
                <w:p>
                  <w:r>
                    <w:rPr>
                      <w:rFonts w:ascii="Times New Roman" w:hAnsi="Times New Roman" w:eastAsia="바탕"/>
                      <w:sz w:val="18"/>
                    </w:rPr>
                    <w:t>As above</w:t>
                  </w:r>
                </w:p>
              </w:tc>
              <w:tc>
                <w:tcPr>
                  <w:tcW w:type="dxa" w:w="2441"/>
                </w:tcPr>
                <w:p>
                  <w:r>
                    <w:rPr>
                      <w:rFonts w:ascii="Times New Roman" w:hAnsi="Times New Roman" w:eastAsia="바탕"/>
                      <w:sz w:val="18"/>
                    </w:rPr>
                    <w:t xml:space="preserve">Sleepiness and anhedonia were independent risk factors in the Parkinson's data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Alzheimer's disease and memory disorders</w:t>
                  </w:r>
                </w:p>
              </w:tc>
              <w:tc>
                <w:tcPr>
                  <w:tcW w:type="dxa" w:w="2441"/>
                </w:tcPr>
                <w:p>
                  <w:r>
                    <w:rPr>
                      <w:rFonts w:ascii="Times New Roman" w:hAnsi="Times New Roman" w:eastAsia="바탕"/>
                      <w:sz w:val="18"/>
                    </w:rPr>
                    <w:t>Memory of what has already been done</w:t>
                  </w:r>
                </w:p>
              </w:tc>
              <w:tc>
                <w:tcPr>
                  <w:tcW w:type="dxa" w:w="2441"/>
                </w:tcPr>
                <w:p>
                  <w:r>
                    <w:rPr>
                      <w:rFonts w:ascii="Times New Roman" w:hAnsi="Times New Roman" w:eastAsia="바탕"/>
                      <w:sz w:val="18"/>
                    </w:rPr>
                    <w:t>The confirming step (§3.8), and the dispenser recording whether a dose was taken</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Parkinson's disease</w:t>
                  </w:r>
                </w:p>
              </w:tc>
              <w:tc>
                <w:tcPr>
                  <w:tcW w:type="dxa" w:w="2441"/>
                </w:tcPr>
                <w:p>
                  <w:r>
                    <w:rPr>
                      <w:rFonts w:ascii="Times New Roman" w:hAnsi="Times New Roman" w:eastAsia="바탕"/>
                      <w:sz w:val="18"/>
                    </w:rPr>
                    <w:t>Memory and drive, plus complex dosing times</w:t>
                  </w:r>
                </w:p>
              </w:tc>
              <w:tc>
                <w:tcPr>
                  <w:tcW w:type="dxa" w:w="2441"/>
                </w:tcPr>
                <w:p>
                  <w:r>
                    <w:rPr>
                      <w:rFonts w:ascii="Times New Roman" w:hAnsi="Times New Roman" w:eastAsia="바탕"/>
                      <w:sz w:val="18"/>
                    </w:rPr>
                    <w:t>Time morphemes (§2.2), the dispenser (§4.3)</w:t>
                  </w:r>
                </w:p>
              </w:tc>
              <w:tc>
                <w:tcPr>
                  <w:tcW w:type="dxa" w:w="2441"/>
                </w:tcPr>
                <w:p>
                  <w:r>
                    <w:rPr>
                      <w:rFonts w:ascii="Times New Roman" w:hAnsi="Times New Roman" w:eastAsia="바탕"/>
                      <w:sz w:val="18"/>
                    </w:rPr>
                    <w:t xml:space="preserve">36.3% low adherence among those on three or more daily doses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Autism and intellectual disability</w:t>
                  </w:r>
                </w:p>
              </w:tc>
              <w:tc>
                <w:tcPr>
                  <w:tcW w:type="dxa" w:w="2441"/>
                </w:tcPr>
                <w:p>
                  <w:r>
                    <w:rPr>
                      <w:rFonts w:ascii="Times New Roman" w:hAnsi="Times New Roman" w:eastAsia="바탕"/>
                      <w:sz w:val="18"/>
                    </w:rPr>
                    <w:t>Interpretation of text and abstract symbols</w:t>
                  </w:r>
                </w:p>
              </w:tc>
              <w:tc>
                <w:tcPr>
                  <w:tcW w:type="dxa" w:w="2441"/>
                </w:tcPr>
                <w:p>
                  <w:r>
                    <w:rPr>
                      <w:rFonts w:ascii="Times New Roman" w:hAnsi="Times New Roman" w:eastAsia="바탕"/>
                      <w:sz w:val="18"/>
                    </w:rPr>
                    <w:t>The single-layer screen with the hierarchy removed (§3.1) and the confirming step (§3.8). That our glyphs are black-and-white silhouettes may count against us for this condition, though (§1.10)</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Thyroid dysfunction</w:t>
                  </w:r>
                </w:p>
              </w:tc>
              <w:tc>
                <w:tcPr>
                  <w:tcW w:type="dxa" w:w="2441"/>
                </w:tcPr>
                <w:p>
                  <w:r>
                    <w:rPr>
                      <w:rFonts w:ascii="Times New Roman" w:hAnsi="Times New Roman" w:eastAsia="바탕"/>
                      <w:sz w:val="18"/>
                    </w:rPr>
                    <w:t>The drug is not absorbed unless the timing is kept</w:t>
                  </w:r>
                </w:p>
              </w:tc>
              <w:tc>
                <w:tcPr>
                  <w:tcW w:type="dxa" w:w="2441"/>
                </w:tcPr>
                <w:p>
                  <w:r>
                    <w:rPr>
                      <w:rFonts w:ascii="Consolas" w:hAnsi="Consolas" w:eastAsia="Consolas"/>
                      <w:sz w:val="17"/>
                    </w:rPr>
                    <w:t>time_morning</w:t>
                  </w:r>
                  <w:r>
                    <w:rPr>
                      <w:rFonts w:ascii="Times New Roman" w:hAnsi="Times New Roman" w:eastAsia="바탕"/>
                      <w:sz w:val="18"/>
                    </w:rPr>
                    <w:t xml:space="preserve"> and </w:t>
                  </w:r>
                  <w:r>
                    <w:rPr>
                      <w:rFonts w:ascii="Consolas" w:hAnsi="Consolas" w:eastAsia="Consolas"/>
                      <w:sz w:val="17"/>
                    </w:rPr>
                    <w:t>food_empty_bowl</w:t>
                  </w:r>
                  <w:r>
                    <w:rPr>
                      <w:rFonts w:ascii="Times New Roman" w:hAnsi="Times New Roman" w:eastAsia="바탕"/>
                      <w:sz w:val="18"/>
                    </w:rPr>
                    <w:t xml:space="preserve"> draw "morning, empty stomach" (§2.2). The box dispenses only within a dose window (§4.3). No morpheme among the 78, however, means "keep this many hours apart from that"</w:t>
                  </w:r>
                </w:p>
              </w:tc>
              <w:tc>
                <w:tcPr>
                  <w:tcW w:type="dxa" w:w="2441"/>
                </w:tcPr>
                <w:p>
                  <w:r>
                    <w:rPr>
                      <w:rFonts w:ascii="Times New Roman" w:hAnsi="Times New Roman" w:eastAsia="바탕"/>
                      <w:sz w:val="18"/>
                    </w:rPr>
                    <w:t xml:space="preserve">107 articles and 128 studies on interfering substances (Liu, H., Lu, M., Hu, J., Fu, G., Feng, Q., Sun, S. &amp; Chen, C., "Medications and Food Interfering with the Bioavailability of Levothyroxine: A Systematic Review," </w:t>
                  </w:r>
                  <w:r>
                    <w:rPr>
                      <w:rFonts w:ascii="Times New Roman" w:hAnsi="Times New Roman" w:eastAsia="바탕"/>
                      <w:i/>
                      <w:sz w:val="18"/>
                    </w:rPr>
                    <w:t>Therapeutics and Clinical Risk Management</w:t>
                  </w:r>
                  <w:r>
                    <w:rPr>
                      <w:rFonts w:ascii="Times New Roman" w:hAnsi="Times New Roman" w:eastAsia="바탕"/>
                      <w:sz w:val="18"/>
                    </w:rPr>
                    <w:t>, 19:503–523, 2023, doi:10.2147/TCRM.S414460)</w:t>
                  </w:r>
                </w:p>
              </w:tc>
            </w:tr>
            <w:tr>
              <w:tc>
                <w:tcPr>
                  <w:tcW w:type="dxa" w:w="2441"/>
                </w:tcPr>
                <w:p>
                  <w:r>
                    <w:rPr>
                      <w:rFonts w:ascii="Times New Roman" w:hAnsi="Times New Roman" w:eastAsia="바탕"/>
                      <w:b/>
                      <w:sz w:val="18"/>
                    </w:rPr>
                    <w:t>Old age</w:t>
                  </w:r>
                </w:p>
              </w:tc>
              <w:tc>
                <w:tcPr>
                  <w:tcW w:type="dxa" w:w="2441"/>
                </w:tcPr>
                <w:p>
                  <w:r>
                    <w:rPr>
                      <w:rFonts w:ascii="Times New Roman" w:hAnsi="Times New Roman" w:eastAsia="바탕"/>
                      <w:sz w:val="18"/>
                    </w:rPr>
                    <w:t>Several of the axes above overlapping</w:t>
                  </w:r>
                </w:p>
              </w:tc>
              <w:tc>
                <w:tcPr>
                  <w:tcW w:type="dxa" w:w="2441"/>
                </w:tcPr>
                <w:p>
                  <w:r>
                    <w:rPr>
                      <w:rFonts w:ascii="Times New Roman" w:hAnsi="Times New Roman" w:eastAsia="바탕"/>
                      <w:sz w:val="18"/>
                    </w:rPr>
                    <w:t>The whole</w:t>
                  </w:r>
                </w:p>
              </w:tc>
              <w:tc>
                <w:tcPr>
                  <w:tcW w:type="dxa" w:w="2441"/>
                </w:tcPr>
                <w:p>
                  <w:r>
                    <w:rPr>
                      <w:rFonts w:ascii="Times New Roman" w:hAnsi="Times New Roman" w:eastAsia="바탕"/>
                      <w:sz w:val="18"/>
                    </w:rPr>
                    <w:t>79.4% of adults over 65 self-administer, 28.2% educated (§1.2)</w:t>
                  </w:r>
                </w:p>
              </w:tc>
            </w:tr>
            <w:tr>
              <w:tc>
                <w:tcPr>
                  <w:tcW w:type="dxa" w:w="2441"/>
                </w:tcPr>
                <w:p>
                  <w:r>
                    <w:rPr>
                      <w:rFonts w:ascii="Times New Roman" w:hAnsi="Times New Roman" w:eastAsia="바탕"/>
                      <w:b/>
                      <w:sz w:val="18"/>
                    </w:rPr>
                    <w:t>Low vision</w:t>
                  </w:r>
                </w:p>
              </w:tc>
              <w:tc>
                <w:tcPr>
                  <w:tcW w:type="dxa" w:w="2441"/>
                </w:tcPr>
                <w:p>
                  <w:r>
                    <w:rPr>
                      <w:rFonts w:ascii="Times New Roman" w:hAnsi="Times New Roman" w:eastAsia="바탕"/>
                      <w:sz w:val="18"/>
                    </w:rPr>
                    <w:t>Character size and contrast</w:t>
                  </w:r>
                </w:p>
              </w:tc>
              <w:tc>
                <w:tcPr>
                  <w:tcW w:type="dxa" w:w="2441"/>
                </w:tcPr>
                <w:p>
                  <w:r>
                    <w:rPr>
                      <w:rFonts w:ascii="Times New Roman" w:hAnsi="Times New Roman" w:eastAsia="바탕"/>
                      <w:sz w:val="18"/>
                    </w:rPr>
                    <w:t>Large pictures, layers beyond colour (§3.7), speech (§3.5)</w:t>
                  </w:r>
                </w:p>
              </w:tc>
              <w:tc>
                <w:tcPr>
                  <w:tcW w:type="dxa" w:w="2441"/>
                </w:tcPr>
                <w:p>
                  <w:r>
                    <w:rPr>
                      <w:rFonts w:ascii="Times New Roman" w:hAnsi="Times New Roman" w:eastAsia="바탕"/>
                      <w:sz w:val="18"/>
                    </w:rPr>
                    <w:t>2.2 billion people with vision impairment (§1.5)</w:t>
                  </w:r>
                </w:p>
              </w:tc>
            </w:tr>
            <w:tr>
              <w:tc>
                <w:tcPr>
                  <w:tcW w:type="dxa" w:w="2441"/>
                </w:tcPr>
                <w:p>
                  <w:r>
                    <w:rPr>
                      <w:rFonts w:ascii="Times New Roman" w:hAnsi="Times New Roman" w:eastAsia="바탕"/>
                      <w:b/>
                      <w:sz w:val="18"/>
                    </w:rPr>
                    <w:t>Total blindness</w:t>
                  </w:r>
                </w:p>
              </w:tc>
              <w:tc>
                <w:tcPr>
                  <w:tcW w:type="dxa" w:w="2441"/>
                </w:tcPr>
                <w:p>
                  <w:r>
                    <w:rPr>
                      <w:rFonts w:ascii="Times New Roman" w:hAnsi="Times New Roman" w:eastAsia="바탕"/>
                      <w:sz w:val="18"/>
                    </w:rPr>
                    <w:t>The act of photographing itself</w:t>
                  </w:r>
                </w:p>
              </w:tc>
              <w:tc>
                <w:tcPr>
                  <w:tcW w:type="dxa" w:w="2441"/>
                </w:tcPr>
                <w:p>
                  <w:r>
                    <w:rPr>
                      <w:rFonts w:ascii="Times New Roman" w:hAnsi="Times New Roman" w:eastAsia="바탕"/>
                      <w:sz w:val="18"/>
                    </w:rPr>
                    <w:t>Not taken as a target</w:t>
                  </w:r>
                </w:p>
              </w:tc>
              <w:tc>
                <w:tcPr>
                  <w:tcW w:type="dxa" w:w="2441"/>
                </w:tcPr>
                <w:p>
                  <w:r>
                    <w:rPr>
                      <w:rFonts w:ascii="Times New Roman" w:hAnsi="Times New Roman" w:eastAsia="바탕"/>
                      <w:sz w:val="18"/>
                    </w:rPr>
                    <w:t>§1.5 · §5.9 unverified items</w:t>
                  </w:r>
                </w:p>
              </w:tc>
            </w:tr>
            <w:tr>
              <w:tc>
                <w:tcPr>
                  <w:tcW w:type="dxa" w:w="2441"/>
                </w:tcPr>
                <w:p>
                  <w:r>
                    <w:rPr>
                      <w:rFonts w:ascii="Times New Roman" w:hAnsi="Times New Roman" w:eastAsia="바탕"/>
                      <w:b/>
                      <w:sz w:val="18"/>
                    </w:rPr>
                    <w:t>Misuse by children</w:t>
                  </w:r>
                </w:p>
              </w:tc>
              <w:tc>
                <w:tcPr>
                  <w:tcW w:type="dxa" w:w="2441"/>
                </w:tcPr>
                <w:p>
                  <w:r>
                    <w:rPr>
                      <w:rFonts w:ascii="Times New Roman" w:hAnsi="Times New Roman" w:eastAsia="바탕"/>
                      <w:sz w:val="18"/>
                    </w:rPr>
                    <w:t>Not recognising a medicine as a medicine</w:t>
                  </w:r>
                </w:p>
              </w:tc>
              <w:tc>
                <w:tcPr>
                  <w:tcW w:type="dxa" w:w="2441"/>
                </w:tcPr>
                <w:p>
                  <w:r>
                    <w:rPr>
                      <w:rFonts w:ascii="Times New Roman" w:hAnsi="Times New Roman" w:eastAsia="바탕"/>
                      <w:sz w:val="18"/>
                    </w:rPr>
                    <w:t>The medicine stays inside the box and is dispensed only within a dose window (§4.3). A child lock as such was not built</w:t>
                  </w:r>
                </w:p>
              </w:tc>
              <w:tc>
                <w:tcPr>
                  <w:tcW w:type="dxa" w:w="2441"/>
                </w:tcPr>
                <w:p>
                  <w:r>
                    <w:rPr>
                      <w:rFonts w:ascii="Times New Roman" w:hAnsi="Times New Roman" w:eastAsia="바탕"/>
                      <w:sz w:val="18"/>
                    </w:rPr>
                    <w:t>Mechanism shared only. We did not measure it</w:t>
                  </w:r>
                </w:p>
              </w:tc>
            </w:tr>
          </w:tbl>
          <w:p/>
          <w:p>
            <w:pPr>
              <w:spacing w:after="120"/>
            </w:pPr>
          </w:p>
          <w:p>
            <w:pPr>
              <w:spacing w:after="80" w:line="276" w:lineRule="auto"/>
              <w:jc w:val="both"/>
            </w:pPr>
            <w:r>
              <w:rPr>
                <w:rFonts w:ascii="Times New Roman" w:hAnsi="Times New Roman" w:eastAsia="바탕"/>
                <w:sz w:val="20"/>
              </w:rPr>
              <w:t xml:space="preserve">Thyroid dysfunction differs in character from the other conditions in the table, so it is treated separately. For the others the problem is that the instruction does not arrive; for this one, even when the instruction arrives, the drug is not absorbed unless the timing is kept. The routine is itself a condition of the drug working. A systematic review gathering what interferes with the bioavailability of levothyroxine lists calcium and iron supplements, proton pump inhibitors, bile acid sequestrants, phosphate binders, sex hormones, anticonvulsants, and food and drink, and among the remedies the authors give is separating the times at which these are taken (Liu, H., Lu, M., Hu, J., Fu, G., Feng, Q., Sun, S. &amp; Chen, C., "Medications and Food Interfering with the Bioavailability of Levothyroxine: A Systematic Review," </w:t>
            </w:r>
            <w:r>
              <w:rPr>
                <w:rFonts w:ascii="Times New Roman" w:hAnsi="Times New Roman" w:eastAsia="바탕"/>
                <w:i/>
                <w:sz w:val="20"/>
              </w:rPr>
              <w:t>Therapeutics and Clinical Risk Management</w:t>
            </w:r>
            <w:r>
              <w:rPr>
                <w:rFonts w:ascii="Times New Roman" w:hAnsi="Times New Roman" w:eastAsia="바탕"/>
                <w:sz w:val="20"/>
              </w:rPr>
              <w:t>, 19:503–523, 2023, doi:10.2147/TCRM.S414460). The authors also record that most of the included studies were of moderate quality and that better designed studies are needed.</w:t>
            </w:r>
          </w:p>
          <w:p>
            <w:pPr>
              <w:spacing w:after="80" w:line="276" w:lineRule="auto"/>
              <w:jc w:val="both"/>
            </w:pPr>
            <w:r>
              <w:rPr>
                <w:rFonts w:ascii="Times New Roman" w:hAnsi="Times New Roman" w:eastAsia="바탕"/>
                <w:sz w:val="20"/>
              </w:rPr>
              <w:t xml:space="preserve">This condition exposes one limit of our set. With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food_empty_bowl</w:t>
            </w:r>
            <w:r>
              <w:rPr>
                <w:rFonts w:ascii="Times New Roman" w:hAnsi="Times New Roman" w:eastAsia="바탕"/>
                <w:sz w:val="20"/>
              </w:rPr>
              <w:t xml:space="preserve"> the instruction "in the morning, on an empty stomach" can be drawn, but nowhere among the 78 morphemes is there one meaning "keep this many hours apart from that". Pointing at a time and pointing at the interval between two times are different jobs, and our grammar has only the first. This is a defect we learned of by widening the target, and it belongs to stage 5 of §5.10.</w:t>
            </w:r>
          </w:p>
          <w:p>
            <w:pPr>
              <w:spacing w:after="80" w:line="276" w:lineRule="auto"/>
              <w:jc w:val="both"/>
            </w:pPr>
            <w:r>
              <w:rPr>
                <w:rFonts w:ascii="Times New Roman" w:hAnsi="Times New Roman" w:eastAsia="바탕"/>
                <w:sz w:val="20"/>
              </w:rPr>
              <w:t>The last column of that table matters most in this section. Seven conditions have data we checked at source, four have only a shared mechanism, and one is not taken as a target. A shared mechanism means the same screen may work, not that it did. We have never tested this app with a person who has attention deficit hyperactivity disorder or autism, and the expert survey in §5.7 asked about the condition taken as the design standard rather than about these conditions. That gap is recorded in §5.9 and the procedure for closing it is in §5.10.</w:t>
            </w:r>
          </w:p>
          <w:p>
            <w:pPr>
              <w:spacing w:after="80" w:line="276" w:lineRule="auto"/>
              <w:jc w:val="both"/>
            </w:pPr>
            <w:r>
              <w:rPr>
                <w:rFonts w:ascii="Times New Roman" w:hAnsi="Times New Roman" w:eastAsia="바탕"/>
                <w:sz w:val="20"/>
              </w:rPr>
              <w:t>That one cell of the table was corrected should be set down too. The row for autism and intellectual disability first read "concrete pictogram forms", whereas our set is black-and-white silhouettes and the literature cited in §1.10 records that low-literacy users prefer concrete, photorealistic representations to stylised glyphs. That section already states this as an observation running against our design, and yet the table was writing it up as a strength. It is the place where the pull to attach something favourable to every condition took hold while widening the target. The cell now reads the removed hierarchy and the confirming step, with a note in the same cell that the silhouette may count against us here.</w:t>
            </w:r>
          </w:p>
          <w:p>
            <w:pPr>
              <w:spacing w:after="80" w:line="276" w:lineRule="auto"/>
              <w:jc w:val="both"/>
            </w:pPr>
            <w:r>
              <w:rPr>
                <w:rFonts w:ascii="Times New Roman" w:hAnsi="Times New Roman" w:eastAsia="바탕"/>
                <w:sz w:val="20"/>
              </w:rPr>
              <w:t>There is a reason for carrying the table even so. Setting the design standard at the harshest condition reads easily as meaning that the app is a thing for that condition alone. The opposite is the case. It has the structure of a kerb ramp, built for wheelchairs and used by prams and hand trolleys alike. What we removed was the load of reading, and with it the load of memory and attention, so everyone carrying that load uses the same screen.</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That principle is the design standard fixed in §1.13 carried onto the screen. Because the standard sits at the harshest condition, only one set of screens is built. There is no separate set for people who can read and another for people who cannot; the latter alone covers both. That is why no accessibility mode or simplified view appears anywhere in this document. A mode switch works only for someone who knows it has to be turned on, and if that has to be read to be known, it is already too late.</w:t>
            </w:r>
          </w:p>
          <w:p>
            <w:pPr>
              <w:spacing w:after="80" w:line="276" w:lineRule="auto"/>
              <w:jc w:val="both"/>
            </w:pPr>
            <w:r>
              <w:rPr>
                <w:rFonts w:ascii="Times New Roman" w:hAnsi="Times New Roman" w:eastAsia="바탕"/>
                <w:sz w:val="20"/>
              </w:rPr>
              <w:t>The same principle carries beyond reading. What was removed to demand no letters was a demand on memory and attention as well. With the hierarchy gone there is nothing to hold in mind about how far down one has come; with the steps gone there is nothing to count about what has already been done; with the options gone there is nothing to keep hold of about what is being asked right now. Those three sentences are the grounds on which Table 7 of §1.13 claims that one screen covers eleven conditions.</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There are grounds for it: most of the low-literacy interface work cited in §1.10 used speech as its primary channel. Whether speech is the most common approach across the field as a whole we have not counted, so we claim no more than that.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2195911"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8]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9]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Design intent. Each of the three branches is one clause of the grammar. A modifier outside a slot fails to parse unless it is marked </w:t>
            </w:r>
            <w:r>
              <w:rPr>
                <w:rFonts w:ascii="Consolas" w:hAnsi="Consolas" w:eastAsia="Consolas"/>
                <w:sz w:val="19"/>
              </w:rPr>
              <w:t>standalone</w:t>
            </w:r>
            <w:r>
              <w:rPr>
                <w:rFonts w:ascii="Times New Roman" w:hAnsi="Times New Roman" w:eastAsia="바탕"/>
                <w:sz w:val="20"/>
              </w:rPr>
              <w:t xml:space="preserve"> (the four in §2.2 are morning, noon, evening and night; a time of day stands on its own without modifying anything, so it is allowed to stand alone),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after="80" w:line="276" w:lineRule="auto"/>
              <w:jc w:val="both"/>
            </w:pPr>
            <w:r>
              <w:rPr>
                <w:rFonts w:ascii="Times New Roman" w:hAnsi="Times New Roman" w:eastAsia="바탕"/>
                <w:sz w:val="20"/>
              </w:rPr>
              <w:t>Whether 78 is enough was put to us head-on in the survey. It is the first line Professor Kyogu Lee of Seoul National University wrote in the "anything you would add" box:</w:t>
            </w:r>
          </w:p>
          <w:p>
            <w:pPr>
              <w:spacing w:after="40" w:line="276" w:lineRule="auto"/>
              <w:ind w:left="403"/>
            </w:pPr>
            <w:r>
              <w:rPr>
                <w:rFonts w:ascii="Times New Roman" w:hAnsi="Times New Roman" w:eastAsia="바탕"/>
                <w:i/>
                <w:color w:val="606068"/>
                <w:sz w:val="19"/>
              </w:rPr>
              <w:t>"The pictograms define 78 \"words\"; even with recombination, can they really cover the very wide range of medicines and regimens?"</w:t>
            </w:r>
          </w:p>
          <w:p>
            <w:pPr>
              <w:spacing w:after="180" w:line="276" w:lineRule="auto"/>
              <w:ind w:left="403"/>
            </w:pPr>
            <w:r>
              <w:rPr>
                <w:rFonts w:ascii="Times New Roman" w:hAnsi="Times New Roman" w:eastAsia="바탕"/>
                <w:i w:val="0"/>
                <w:color w:val="606068"/>
                <w:sz w:val="19"/>
              </w:rPr>
              <w:t>(Professor Kyogu Lee, Seoul National University)</w:t>
            </w:r>
          </w:p>
          <w:p>
            <w:pPr>
              <w:spacing w:after="80" w:line="276" w:lineRule="auto"/>
              <w:jc w:val="both"/>
            </w:pPr>
            <w:r>
              <w:rPr>
                <w:rFonts w:ascii="Times New Roman" w:hAnsi="Times New Roman" w:eastAsia="바탕"/>
                <w:sz w:val="20"/>
              </w:rPr>
              <w:t>What this section can answer is the arithmetic. Each of the 57 heads has one modifier slot and the dictionary restricts which modifiers may enter it, so the set as it stands can produce 1,258 cells (Figure 12). The 78 is a count of words, not a count of instructions that can be expressed.</w:t>
            </w:r>
          </w:p>
          <w:p>
            <w:pPr>
              <w:spacing w:after="80" w:line="276" w:lineRule="auto"/>
              <w:jc w:val="both"/>
            </w:pPr>
            <w:r>
              <w:rPr>
                <w:rFonts w:ascii="Times New Roman" w:hAnsi="Times New Roman" w:eastAsia="바탕"/>
                <w:sz w:val="20"/>
              </w:rPr>
              <w:t>That answer does not take the whole question, though. How many of the 1,258 make sense we did not count, and we did not survey the distribution of instructions in real prescriptions to see whether they are covered. The top three types clustered in Table 4 of §1.3 can be said to be covered, but that is where errors cluster, not where instructions cluster. We leave this question to stage 4 of §5.10, the procedure that records concepts the app could not build. Only by counting what it fails to make can we learn whether 78 is short.</w:t>
            </w:r>
          </w:p>
          <w:p>
            <w:pPr>
              <w:spacing w:after="80" w:line="276" w:lineRule="auto"/>
              <w:jc w:val="both"/>
            </w:pPr>
            <w:r>
              <w:rPr>
                <w:rFonts w:ascii="Times New Roman" w:hAnsi="Times New Roman" w:eastAsia="바탕"/>
                <w:sz w:val="20"/>
              </w:rPr>
              <w:t>The same response pointed at one more thing, and that one is already fixed: some negative instructions carry no "/" or "X", with alcohol and pregnancy given as examples. §5.2 divided the prohibition marking into three by the nature of the flag and dealt with that place.</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A study that gathered older people into focus groups and asked what they found hard about interactive voice response came back with frustration at not being able to reach an operator, waits that were too long, being unable to recover from a mistake, and the absence of shortcuts. Notably, a significant number said they preferred a system that adjusts to them automatically over one they have to adjust themselves, and the authors conclude by proposing a design that detects difficulty during an exchange in progress and routes each person to a different flow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When the same group later had 185 adults over 65 use four commercial systems, they reported that success and attitude moved together, yet a sizeable subset rated the systems highly despite real difficulty, and those participants tended to have lower full scale IQ. The participants saw interaction with these systems as particularly demanding on attention and concentration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Two things follow for this app. First, if speech is that demanding on attention, its length is itself a burden. Playing speech is not enough on its own, and what not to say becomes the core of the design. On the second point this app parts from that study. A significant number preferred a system that adjusts itself, and this app has a setting for choosing the speaking rate (§3.5). What is read and when is not left to the user, though, but settled by the screen and the situation, and the place where the rate is chosen was built so that it demands no reading. It is four steps between a tortoise and a hare rather than numbers, and choosing one plays a sentence at that rate immediately. Instead of reading a description and then choosing, one hears it and chooses. That is still not the recommendation followed as given, and which way is better remains an item to ask in the field evaluation of §5.10.</w:t>
            </w:r>
          </w:p>
          <w:p>
            <w:pPr>
              <w:spacing w:after="80" w:line="276" w:lineRule="auto"/>
              <w:jc w:val="both"/>
            </w:pPr>
            <w:r>
              <w:rPr>
                <w:rFonts w:ascii="Times New Roman" w:hAnsi="Times New Roman" w:eastAsia="바탕"/>
                <w:sz w:val="20"/>
              </w:rPr>
              <w:t>How far these two studies carry is worth stating. Both looked at older Canadians using interactive voice response, and the medium of a telephone call differs from this app. Neither had a control group of younger users, so what comes out of them is not a difference by age but what older users found difficult.</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10]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9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after="80" w:line="276" w:lineRule="auto"/>
              <w:jc w:val="both"/>
            </w:pPr>
            <w:r>
              <w:rPr>
                <w:rFonts w:ascii="Times New Roman" w:hAnsi="Times New Roman" w:eastAsia="바탕"/>
                <w:sz w:val="20"/>
              </w:rPr>
              <w:t>What this derivation actually produces is set down here for the four age bands. These are the values the six lines above return.</w:t>
            </w:r>
          </w:p>
          <w:p>
            <w:pPr>
              <w:spacing w:after="80" w:line="276" w:lineRule="auto"/>
              <w:jc w:val="both"/>
            </w:pPr>
            <w:r>
              <w:rPr>
                <w:rFonts w:ascii="Times New Roman" w:hAnsi="Times New Roman" w:eastAsia="바탕"/>
                <w:sz w:val="20"/>
              </w:rPr>
              <w:t>[Table 11] Daily references by age band (output of the code above)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Age band</w:t>
                  </w:r>
                </w:p>
              </w:tc>
              <w:tc>
                <w:tcPr>
                  <w:tcW w:type="dxa" w:w="1221"/>
                  <w:shd w:val="clear" w:fill="F2F2F2"/>
                </w:tcPr>
                <w:p>
                  <w:r>
                    <w:rPr>
                      <w:rFonts w:ascii="Times New Roman" w:hAnsi="Times New Roman" w:eastAsia="바탕"/>
                      <w:b/>
                      <w:sz w:val="18"/>
                    </w:rPr>
                    <w:t>Energy</w:t>
                  </w:r>
                </w:p>
              </w:tc>
              <w:tc>
                <w:tcPr>
                  <w:tcW w:type="dxa" w:w="1221"/>
                  <w:shd w:val="clear" w:fill="F2F2F2"/>
                </w:tcPr>
                <w:p>
                  <w:r>
                    <w:rPr>
                      <w:rFonts w:ascii="Times New Roman" w:hAnsi="Times New Roman" w:eastAsia="바탕"/>
                      <w:b/>
                      <w:sz w:val="18"/>
                    </w:rPr>
                    <w:t>Free sugars</w:t>
                  </w:r>
                </w:p>
              </w:tc>
              <w:tc>
                <w:tcPr>
                  <w:tcW w:type="dxa" w:w="1221"/>
                  <w:shd w:val="clear" w:fill="F2F2F2"/>
                </w:tcPr>
                <w:p>
                  <w:r>
                    <w:rPr>
                      <w:rFonts w:ascii="Times New Roman" w:hAnsi="Times New Roman" w:eastAsia="바탕"/>
                      <w:b/>
                      <w:sz w:val="18"/>
                    </w:rPr>
                    <w:t>Saturated fat</w:t>
                  </w:r>
                </w:p>
              </w:tc>
              <w:tc>
                <w:tcPr>
                  <w:tcW w:type="dxa" w:w="1221"/>
                  <w:shd w:val="clear" w:fill="F2F2F2"/>
                </w:tcPr>
                <w:p>
                  <w:r>
                    <w:rPr>
                      <w:rFonts w:ascii="Times New Roman" w:hAnsi="Times New Roman" w:eastAsia="바탕"/>
                      <w:b/>
                      <w:sz w:val="18"/>
                    </w:rPr>
                    <w:t>Fat</w:t>
                  </w:r>
                </w:p>
              </w:tc>
              <w:tc>
                <w:tcPr>
                  <w:tcW w:type="dxa" w:w="1221"/>
                  <w:shd w:val="clear" w:fill="F2F2F2"/>
                </w:tcPr>
                <w:p>
                  <w:r>
                    <w:rPr>
                      <w:rFonts w:ascii="Times New Roman" w:hAnsi="Times New Roman" w:eastAsia="바탕"/>
                      <w:b/>
                      <w:sz w:val="18"/>
                    </w:rPr>
                    <w:t>Salt</w:t>
                  </w:r>
                </w:p>
              </w:tc>
              <w:tc>
                <w:tcPr>
                  <w:tcW w:type="dxa" w:w="1221"/>
                  <w:shd w:val="clear" w:fill="F2F2F2"/>
                </w:tcPr>
                <w:p>
                  <w:r>
                    <w:rPr>
                      <w:rFonts w:ascii="Times New Roman" w:hAnsi="Times New Roman" w:eastAsia="바탕"/>
                      <w:b/>
                      <w:sz w:val="18"/>
                    </w:rPr>
                    <w:t>Fibre</w:t>
                  </w:r>
                </w:p>
              </w:tc>
              <w:tc>
                <w:tcPr>
                  <w:tcW w:type="dxa" w:w="1221"/>
                  <w:shd w:val="clear" w:fill="F2F2F2"/>
                </w:tcPr>
                <w:p>
                  <w:r>
                    <w:rPr>
                      <w:rFonts w:ascii="Times New Roman" w:hAnsi="Times New Roman" w:eastAsia="바탕"/>
                      <w:b/>
                      <w:sz w:val="18"/>
                    </w:rPr>
                    <w:t>Protein</w:t>
                  </w:r>
                </w:p>
              </w:tc>
            </w:tr>
            <w:tr>
              <w:tc>
                <w:tcPr>
                  <w:tcW w:type="dxa" w:w="1221"/>
                </w:tcPr>
                <w:p>
                  <w:r>
                    <w:rPr>
                      <w:rFonts w:ascii="Times New Roman" w:hAnsi="Times New Roman" w:eastAsia="바탕"/>
                      <w:sz w:val="18"/>
                    </w:rPr>
                    <w:t>Child (7)</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Teenager (15)</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Adult (35)</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Older adult (70)</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The table is included so that a reviewer can check the arithmetic. On the deployment, the home screen in Figure 15 shows 27.5 g of free sugars as 61%, and 27.5 divided by 45 is 61.1%. The percentage on screen comes straight out of the derivation in this table.</w:t>
            </w:r>
          </w:p>
          <w:p>
            <w:pPr>
              <w:spacing w:after="80" w:line="276" w:lineRule="auto"/>
              <w:jc w:val="both"/>
            </w:pPr>
            <w:r>
              <w:rPr>
                <w:rFonts w:ascii="Times New Roman" w:hAnsi="Times New Roman" w:eastAsia="바탕"/>
                <w:sz w:val="20"/>
              </w:rPr>
              <w:t>The table also shows that child and older adult share an energy figure of 1,800 kcal while their protein targets part at 23.2 g and 49.8 g. Protein alone is derived from body weight (0.83 g per kg), with the representative weight set at 28 kg for a child and 60 kg for an older adult.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12]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The four values form a 2x2 table: </w:t>
            </w:r>
            <w:r>
              <w:rPr>
                <w:rFonts w:ascii="Consolas" w:hAnsi="Consolas" w:eastAsia="Consolas"/>
                <w:sz w:val="19"/>
              </w:rPr>
              <w:t>a</w:t>
            </w:r>
            <w:r>
              <w:rPr>
                <w:rFonts w:ascii="Times New Roman" w:hAnsi="Times New Roman" w:eastAsia="바탕"/>
                <w:sz w:val="20"/>
              </w:rPr>
              <w:t xml:space="preserve"> is the number of times the ingredient was eaten and the person felt unwell, </w:t>
            </w:r>
            <w:r>
              <w:rPr>
                <w:rFonts w:ascii="Consolas" w:hAnsi="Consolas" w:eastAsia="Consolas"/>
                <w:sz w:val="19"/>
              </w:rPr>
              <w:t>b</w:t>
            </w:r>
            <w:r>
              <w:rPr>
                <w:rFonts w:ascii="Times New Roman" w:hAnsi="Times New Roman" w:eastAsia="바탕"/>
                <w:sz w:val="20"/>
              </w:rPr>
              <w:t xml:space="preserve"> eaten and fine, </w:t>
            </w:r>
            <w:r>
              <w:rPr>
                <w:rFonts w:ascii="Consolas" w:hAnsi="Consolas" w:eastAsia="Consolas"/>
                <w:sz w:val="19"/>
              </w:rPr>
              <w:t>c</w:t>
            </w:r>
            <w:r>
              <w:rPr>
                <w:rFonts w:ascii="Times New Roman" w:hAnsi="Times New Roman" w:eastAsia="바탕"/>
                <w:sz w:val="20"/>
              </w:rPr>
              <w:t xml:space="preserve"> not eaten and unwell, </w:t>
            </w:r>
            <w:r>
              <w:rPr>
                <w:rFonts w:ascii="Consolas" w:hAnsi="Consolas" w:eastAsia="Consolas"/>
                <w:sz w:val="19"/>
              </w:rPr>
              <w:t>d</w:t>
            </w:r>
            <w:r>
              <w:rPr>
                <w:rFonts w:ascii="Times New Roman" w:hAnsi="Times New Roman" w:eastAsia="바탕"/>
                <w:sz w:val="20"/>
              </w:rPr>
              <w:t xml:space="preserve"> not eaten and fine. 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after="80" w:line="276" w:lineRule="auto"/>
              <w:jc w:val="both"/>
            </w:pPr>
            <w:r>
              <w:rPr>
                <w:rFonts w:ascii="Times New Roman" w:hAnsi="Times New Roman" w:eastAsia="바탕"/>
                <w:sz w:val="20"/>
              </w:rPr>
              <w:t>A response arrived that shakes the premise this whole section rests on. Asked whether the app could change health outcomes, Professor Namsoo Park of Hyupsung University answered:</w:t>
            </w:r>
          </w:p>
          <w:p>
            <w:pPr>
              <w:spacing w:after="40" w:line="276" w:lineRule="auto"/>
              <w:ind w:left="403"/>
            </w:pPr>
            <w:r>
              <w:rPr>
                <w:rFonts w:ascii="Times New Roman" w:hAnsi="Times New Roman" w:eastAsia="바탕"/>
                <w:i/>
                <w:color w:val="606068"/>
                <w:sz w:val="19"/>
              </w:rPr>
              <w:t>"(There is an instruction reading "select any that apply to you", for instance; if that instruction cannot be read, how is the app to be used well?)"</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This section says we ask the user for their conditions. But the instruction to pick conditions is itself text. Here is the place where an app built for people who cannot read puts a written question to them. §3.2 answers the same problem by having age chosen from four pictures, and the conditions screen is likewise picture and speech (Figure 21). Whether "select any that apply to you" itself carries without being read, however, we have not confirmed by asking people. Of everything §5.9 records as untested with people, this is the sorest place.</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13]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Item</w:t>
                  </w:r>
                </w:p>
              </w:tc>
              <w:tc>
                <w:tcPr>
                  <w:tcW w:type="dxa" w:w="1953"/>
                  <w:shd w:val="clear" w:fill="F2F2F2"/>
                </w:tcPr>
                <w:p>
                  <w:r>
                    <w:rPr>
                      <w:rFonts w:ascii="Times New Roman" w:hAnsi="Times New Roman" w:eastAsia="바탕"/>
                      <w:b/>
                      <w:sz w:val="18"/>
                    </w:rPr>
                    <w:t>General health app</w:t>
                  </w:r>
                </w:p>
              </w:tc>
              <w:tc>
                <w:tcPr>
                  <w:tcW w:type="dxa" w:w="1953"/>
                  <w:shd w:val="clear" w:fill="F2F2F2"/>
                </w:tcPr>
                <w:p>
                  <w:r>
                    <w:rPr>
                      <w:rFonts w:ascii="Times New Roman" w:hAnsi="Times New Roman" w:eastAsia="바탕"/>
                      <w:b/>
                      <w:sz w:val="18"/>
                    </w:rPr>
                    <w:t>Medication reminder app</w:t>
                  </w:r>
                </w:p>
              </w:tc>
              <w:tc>
                <w:tcPr>
                  <w:tcW w:type="dxa" w:w="1953"/>
                  <w:shd w:val="clear" w:fill="F2F2F2"/>
                </w:tcPr>
                <w:p>
                  <w:r>
                    <w:rPr>
                      <w:rFonts w:ascii="Times New Roman" w:hAnsi="Times New Roman" w:eastAsia="바탕"/>
                      <w:b/>
                      <w:sz w:val="18"/>
                    </w:rPr>
                    <w:t>USP pictogram standard</w:t>
                  </w:r>
                </w:p>
              </w:tc>
              <w:tc>
                <w:tcPr>
                  <w:tcW w:type="dxa" w:w="1953"/>
                  <w:shd w:val="clear" w:fill="F2F2F2"/>
                </w:tcPr>
                <w:p>
                  <w:r>
                    <w:rPr>
                      <w:rFonts w:ascii="Times New Roman" w:hAnsi="Times New Roman" w:eastAsia="바탕"/>
                      <w:b/>
                      <w:sz w:val="18"/>
                    </w:rPr>
                    <w:t>SnapCare</w:t>
                  </w:r>
                </w:p>
              </w:tc>
            </w:tr>
            <w:tr>
              <w:tc>
                <w:tcPr>
                  <w:tcW w:type="dxa" w:w="1953"/>
                </w:tcPr>
                <w:p>
                  <w:r>
                    <w:rPr>
                      <w:rFonts w:ascii="Times New Roman" w:hAnsi="Times New Roman" w:eastAsia="바탕"/>
                      <w:sz w:val="18"/>
                    </w:rPr>
                    <w:t>Input</w:t>
                  </w:r>
                </w:p>
              </w:tc>
              <w:tc>
                <w:tcPr>
                  <w:tcW w:type="dxa" w:w="1953"/>
                </w:tcPr>
                <w:p>
                  <w:r>
                    <w:rPr>
                      <w:rFonts w:ascii="Times New Roman" w:hAnsi="Times New Roman" w:eastAsia="바탕"/>
                      <w:sz w:val="18"/>
                    </w:rPr>
                    <w:t>Typing and search</w:t>
                  </w:r>
                </w:p>
              </w:tc>
              <w:tc>
                <w:tcPr>
                  <w:tcW w:type="dxa" w:w="1953"/>
                </w:tcPr>
                <w:p>
                  <w:r>
                    <w:rPr>
                      <w:rFonts w:ascii="Times New Roman" w:hAnsi="Times New Roman" w:eastAsia="바탕"/>
                      <w:sz w:val="18"/>
                    </w:rPr>
                    <w:t>The person types in medicine name, dose and time</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One photograph</w:t>
                  </w:r>
                </w:p>
              </w:tc>
            </w:tr>
            <w:tr>
              <w:tc>
                <w:tcPr>
                  <w:tcW w:type="dxa" w:w="1953"/>
                </w:tcPr>
                <w:p>
                  <w:r>
                    <w:rPr>
                      <w:rFonts w:ascii="Times New Roman" w:hAnsi="Times New Roman" w:eastAsia="바탕"/>
                      <w:sz w:val="18"/>
                    </w:rPr>
                    <w:t>Output</w:t>
                  </w:r>
                </w:p>
              </w:tc>
              <w:tc>
                <w:tcPr>
                  <w:tcW w:type="dxa" w:w="1953"/>
                </w:tcPr>
                <w:p>
                  <w:r>
                    <w:rPr>
                      <w:rFonts w:ascii="Times New Roman" w:hAnsi="Times New Roman" w:eastAsia="바탕"/>
                      <w:sz w:val="18"/>
                    </w:rPr>
                    <w:t>Mostly text</w:t>
                  </w:r>
                </w:p>
              </w:tc>
              <w:tc>
                <w:tcPr>
                  <w:tcW w:type="dxa" w:w="1953"/>
                </w:tcPr>
                <w:p>
                  <w:r>
                    <w:rPr>
                      <w:rFonts w:ascii="Times New Roman" w:hAnsi="Times New Roman" w:eastAsia="바탕"/>
                      <w:sz w:val="18"/>
                    </w:rPr>
                    <w:t>Notification text</w:t>
                  </w:r>
                </w:p>
              </w:tc>
              <w:tc>
                <w:tcPr>
                  <w:tcW w:type="dxa" w:w="1953"/>
                </w:tcPr>
                <w:p>
                  <w:r>
                    <w:rPr>
                      <w:rFonts w:ascii="Times New Roman" w:hAnsi="Times New Roman" w:eastAsia="바탕"/>
                      <w:sz w:val="18"/>
                    </w:rPr>
                    <w:t>81 static pictures</w:t>
                  </w:r>
                </w:p>
              </w:tc>
              <w:tc>
                <w:tcPr>
                  <w:tcW w:type="dxa" w:w="1953"/>
                </w:tcPr>
                <w:p>
                  <w:r>
                    <w:rPr>
                      <w:rFonts w:ascii="Times New Roman" w:hAnsi="Times New Roman" w:eastAsia="바탕"/>
                      <w:sz w:val="18"/>
                    </w:rPr>
                    <w:t>Composed pictogram + speech + colour</w:t>
                  </w:r>
                </w:p>
              </w:tc>
            </w:tr>
            <w:tr>
              <w:tc>
                <w:tcPr>
                  <w:tcW w:type="dxa" w:w="1953"/>
                </w:tcPr>
                <w:p>
                  <w:r>
                    <w:rPr>
                      <w:rFonts w:ascii="Times New Roman" w:hAnsi="Times New Roman" w:eastAsia="바탕"/>
                      <w:sz w:val="18"/>
                    </w:rPr>
                    <w:t>What it answers</w:t>
                  </w:r>
                </w:p>
              </w:tc>
              <w:tc>
                <w:tcPr>
                  <w:tcW w:type="dxa" w:w="1953"/>
                </w:tcPr>
                <w:p>
                  <w:r>
                    <w:rPr>
                      <w:rFonts w:ascii="Times New Roman" w:hAnsi="Times New Roman" w:eastAsia="바탕"/>
                      <w:sz w:val="18"/>
                    </w:rPr>
                    <w:t>Information for a search term</w:t>
                  </w:r>
                </w:p>
              </w:tc>
              <w:tc>
                <w:tcPr>
                  <w:tcW w:type="dxa" w:w="1953"/>
                </w:tcPr>
                <w:p>
                  <w:r>
                    <w:rPr>
                      <w:rFonts w:ascii="Times New Roman" w:hAnsi="Times New Roman" w:eastAsia="바탕"/>
                      <w:sz w:val="18"/>
                    </w:rPr>
                    <w:t>When</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What, how much, when, and what to avoid</w:t>
                  </w:r>
                </w:p>
              </w:tc>
            </w:tr>
            <w:tr>
              <w:tc>
                <w:tcPr>
                  <w:tcW w:type="dxa" w:w="1953"/>
                </w:tcPr>
                <w:p>
                  <w:r>
                    <w:rPr>
                      <w:rFonts w:ascii="Times New Roman" w:hAnsi="Times New Roman" w:eastAsia="바탕"/>
                      <w:sz w:val="18"/>
                    </w:rPr>
                    <w:t>Combination</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w:t>
                  </w:r>
                </w:p>
              </w:tc>
              <w:tc>
                <w:tcPr>
                  <w:tcW w:type="dxa" w:w="1953"/>
                </w:tcPr>
                <w:p>
                  <w:r>
                    <w:rPr>
                      <w:rFonts w:ascii="Times New Roman" w:hAnsi="Times New Roman" w:eastAsia="바탕"/>
                      <w:b/>
                      <w:sz w:val="18"/>
                    </w:rPr>
                    <w:t>Prohibited by licence</w:t>
                  </w:r>
                </w:p>
              </w:tc>
              <w:tc>
                <w:tcPr>
                  <w:tcW w:type="dxa" w:w="1953"/>
                </w:tcPr>
                <w:p>
                  <w:r>
                    <w:rPr>
                      <w:rFonts w:ascii="Times New Roman" w:hAnsi="Times New Roman" w:eastAsia="바탕"/>
                      <w:sz w:val="18"/>
                    </w:rPr>
                    <w:t>Combined by grammar</w:t>
                  </w:r>
                </w:p>
              </w:tc>
            </w:tr>
            <w:tr>
              <w:tc>
                <w:tcPr>
                  <w:tcW w:type="dxa" w:w="1953"/>
                </w:tcPr>
                <w:p>
                  <w:r>
                    <w:rPr>
                      <w:rFonts w:ascii="Times New Roman" w:hAnsi="Times New Roman" w:eastAsia="바탕"/>
                      <w:sz w:val="18"/>
                    </w:rPr>
                    <w:t>Verdict threshold</w:t>
                  </w:r>
                </w:p>
              </w:tc>
              <w:tc>
                <w:tcPr>
                  <w:tcW w:type="dxa" w:w="1953"/>
                </w:tcPr>
                <w:p>
                  <w:r>
                    <w:rPr>
                      <w:rFonts w:ascii="Times New Roman" w:hAnsi="Times New Roman" w:eastAsia="바탕"/>
                      <w:sz w:val="18"/>
                    </w:rPr>
                    <w:t>Fixed table or none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Derived from personal energy requirement</w:t>
                  </w:r>
                </w:p>
              </w:tc>
            </w:tr>
            <w:tr>
              <w:tc>
                <w:tcPr>
                  <w:tcW w:type="dxa" w:w="1953"/>
                </w:tcPr>
                <w:p>
                  <w:r>
                    <w:rPr>
                      <w:rFonts w:ascii="Times New Roman" w:hAnsi="Times New Roman" w:eastAsia="바탕"/>
                      <w:sz w:val="18"/>
                    </w:rPr>
                    <w:t>Assumption</w:t>
                  </w:r>
                </w:p>
              </w:tc>
              <w:tc>
                <w:tcPr>
                  <w:tcW w:type="dxa" w:w="1953"/>
                </w:tcPr>
                <w:p>
                  <w:r>
                    <w:rPr>
                      <w:rFonts w:ascii="Times New Roman" w:hAnsi="Times New Roman" w:eastAsia="바탕"/>
                      <w:sz w:val="18"/>
                    </w:rPr>
                    <w:t>User knows their diagnosis</w:t>
                  </w:r>
                </w:p>
              </w:tc>
              <w:tc>
                <w:tcPr>
                  <w:tcW w:type="dxa" w:w="1953"/>
                </w:tcPr>
                <w:p>
                  <w:r>
                    <w:rPr>
                      <w:rFonts w:ascii="Times New Roman" w:hAnsi="Times New Roman" w:eastAsia="바탕"/>
                      <w:sz w:val="18"/>
                    </w:rPr>
                    <w:t>User can read a prescription and copy it across</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Neither diagnosis nor reading assumed</w:t>
                  </w:r>
                </w:p>
              </w:tc>
            </w:tr>
            <w:tr>
              <w:tc>
                <w:tcPr>
                  <w:tcW w:type="dxa" w:w="1953"/>
                </w:tcPr>
                <w:p>
                  <w:r>
                    <w:rPr>
                      <w:rFonts w:ascii="Times New Roman" w:hAnsi="Times New Roman" w:eastAsia="바탕"/>
                      <w:sz w:val="18"/>
                    </w:rPr>
                    <w:t>Adherence record</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The person taps to say so</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Also comes from a paired box's dispense log</w:t>
                  </w:r>
                </w:p>
              </w:tc>
            </w:tr>
            <w:tr>
              <w:tc>
                <w:tcPr>
                  <w:tcW w:type="dxa" w:w="1953"/>
                </w:tcPr>
                <w:p>
                  <w:r>
                    <w:rPr>
                      <w:rFonts w:ascii="Times New Roman" w:hAnsi="Times New Roman" w:eastAsia="바탕"/>
                      <w:sz w:val="18"/>
                    </w:rPr>
                    <w:t>Comprehension check</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Only post hoc studies</w:t>
                  </w:r>
                </w:p>
              </w:tc>
              <w:tc>
                <w:tcPr>
                  <w:tcW w:type="dxa" w:w="1953"/>
                </w:tcPr>
                <w:p>
                  <w:r>
                    <w:rPr>
                      <w:rFonts w:ascii="Times New Roman" w:hAnsi="Times New Roman" w:eastAsia="바탕"/>
                      <w:sz w:val="18"/>
                    </w:rPr>
                    <w:t>Measured automatically before release</w:t>
                  </w:r>
                </w:p>
              </w:tc>
            </w:tr>
            <w:tr>
              <w:tc>
                <w:tcPr>
                  <w:tcW w:type="dxa" w:w="1953"/>
                </w:tcPr>
                <w:p>
                  <w:r>
                    <w:rPr>
                      <w:rFonts w:ascii="Times New Roman" w:hAnsi="Times New Roman" w:eastAsia="바탕"/>
                      <w:sz w:val="18"/>
                    </w:rPr>
                    <w:t>Network</w:t>
                  </w:r>
                </w:p>
              </w:tc>
              <w:tc>
                <w:tcPr>
                  <w:tcW w:type="dxa" w:w="1953"/>
                </w:tcPr>
                <w:p>
                  <w:r>
                    <w:rPr>
                      <w:rFonts w:ascii="Times New Roman" w:hAnsi="Times New Roman" w:eastAsia="바탕"/>
                      <w:sz w:val="18"/>
                    </w:rPr>
                    <w:t>Required</w:t>
                  </w:r>
                </w:p>
              </w:tc>
              <w:tc>
                <w:tcPr>
                  <w:tcW w:type="dxa" w:w="1953"/>
                </w:tcPr>
                <w:p>
                  <w:r>
                    <w:rPr>
                      <w:rFonts w:ascii="Times New Roman" w:hAnsi="Times New Roman" w:eastAsia="바탕"/>
                      <w:sz w:val="18"/>
                    </w:rPr>
                    <w:t>Notification on device</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middle column was added because §1.13 widened the target. The moment one speaks of people who find it hard to take medicine as directed, what stands immediately alongside is the medication reminder app, and without setting down how this differs from that category, the proposal reads as one more reminder app.</w:t>
            </w:r>
          </w:p>
          <w:p>
            <w:pPr>
              <w:spacing w:after="80" w:line="276" w:lineRule="auto"/>
              <w:jc w:val="both"/>
            </w:pPr>
            <w:r>
              <w:rPr>
                <w:rFonts w:ascii="Times New Roman" w:hAnsi="Times New Roman" w:eastAsia="바탕"/>
                <w:sz w:val="20"/>
              </w:rPr>
              <w:t xml:space="preserve">There is work that actually counted that category. Across two app stores, 272 medication reminder apps were found and scored against seventeen desirable features: the median number of features per app was 3.0 (interquartile range 4.0), and only 18 apps had nine or more. The most common features were flexible scheduling at 56.3% (153/272), medication tracking history at 54.8% (149/272), a snooze option at 34.9% (95/272), and </w:t>
            </w:r>
            <w:r>
              <w:rPr>
                <w:rFonts w:ascii="Times New Roman" w:hAnsi="Times New Roman" w:eastAsia="바탕"/>
                <w:b/>
                <w:sz w:val="20"/>
              </w:rPr>
              <w:t>visual aids at 32.4% (88/272)</w:t>
            </w:r>
            <w:r>
              <w:rPr>
                <w:rFonts w:ascii="Times New Roman" w:hAnsi="Times New Roman" w:eastAsia="바탕"/>
                <w:sz w:val="20"/>
              </w:rPr>
              <w:t xml:space="preserve"> (Santo, K., Richtering, S. S., Chalmers, J., Thiagalingam, A., Chow, C. K. &amp; Redfern, J., "Mobile Phone Apps to Improve Medication Adherence: A Systematic Stepwise Process to Identify High-Quality Apps," </w:t>
            </w:r>
            <w:r>
              <w:rPr>
                <w:rFonts w:ascii="Times New Roman" w:hAnsi="Times New Roman" w:eastAsia="바탕"/>
                <w:i/>
                <w:sz w:val="20"/>
              </w:rPr>
              <w:t>JMIR mHealth and uHealth</w:t>
            </w:r>
            <w:r>
              <w:rPr>
                <w:rFonts w:ascii="Times New Roman" w:hAnsi="Times New Roman" w:eastAsia="바탕"/>
                <w:sz w:val="20"/>
              </w:rPr>
              <w:t>, 4(4):e132, 2016, doi:10.2196/mhealth.6742). Two things go with those figures: it is from 2016 and from Australian app stores, so it cannot be said to describe the category today, and we found no more recent census than this.</w:t>
            </w:r>
          </w:p>
          <w:p>
            <w:pPr>
              <w:spacing w:after="80" w:line="276" w:lineRule="auto"/>
              <w:jc w:val="both"/>
            </w:pPr>
            <w:r>
              <w:rPr>
                <w:rFonts w:ascii="Times New Roman" w:hAnsi="Times New Roman" w:eastAsia="바탕"/>
                <w:sz w:val="20"/>
              </w:rPr>
              <w:t>Even so, what the middle column states is a difference in kind rather than in number of features. A reminder app works only after the user has typed in the medicine name, the dose and the time, which is to assume that a prescription can be read and copied across. The person this document has dealt with since §1.1 does not meet that assumption, and the people added in §1.13 are in conditions where that copying across is itself the burden. And what a reminder app answers is when, one thing, whereas the errors shown in Table 4 of §1.3 cluster into three: what, how much and when.</w:t>
            </w:r>
          </w:p>
          <w:p>
            <w:pPr>
              <w:spacing w:after="80" w:line="276" w:lineRule="auto"/>
              <w:jc w:val="both"/>
            </w:pPr>
            <w:r>
              <w:rPr>
                <w:rFonts w:ascii="Times New Roman" w:hAnsi="Times New Roman" w:eastAsia="바탕"/>
                <w:sz w:val="20"/>
              </w:rPr>
              <w:t>The heaviest row in the table is the fourth,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An answer aimed at that limit came out of the survey, and because it would bring down what this section claims, it is set down in full rather than trimmed. In the "anything you would add that we did not ask" box, the team leader at the GC Medi-AI Uisarang Service Centre (name withheld) wrote five things:</w:t>
            </w:r>
          </w:p>
          <w:p>
            <w:pPr>
              <w:spacing w:after="40" w:line="276" w:lineRule="auto"/>
              <w:ind w:left="403"/>
            </w:pPr>
            <w:r>
              <w:rPr>
                <w:rFonts w:ascii="Times New Roman" w:hAnsi="Times New Roman" w:eastAsia="바탕"/>
                <w:i/>
                <w:color w:val="606068"/>
                <w:sz w:val="19"/>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p>
            <w:pPr>
              <w:spacing w:after="180" w:line="276" w:lineRule="auto"/>
              <w:ind w:left="403"/>
            </w:pPr>
            <w:r>
              <w:rPr>
                <w:rFonts w:ascii="Times New Roman" w:hAnsi="Times New Roman" w:eastAsia="바탕"/>
                <w:i w:val="0"/>
                <w:color w:val="606068"/>
                <w:sz w:val="19"/>
              </w:rPr>
              <w:t>((name withheld), Team Leader, GC Medi-AI, Uisarang Service Centre)</w:t>
            </w:r>
          </w:p>
          <w:p>
            <w:pPr>
              <w:spacing w:after="80" w:line="276" w:lineRule="auto"/>
              <w:jc w:val="both"/>
            </w:pPr>
            <w:r>
              <w:rPr>
                <w:rFonts w:ascii="Times New Roman" w:hAnsi="Times New Roman" w:eastAsia="바탕"/>
                <w:sz w:val="20"/>
              </w:rPr>
              <w:t>Each of the five is taken in turn. Points 1 and 5 assume Korea, and they are right. If Korean prescriptions carry a barcode and electronic prescriptions are on the way, photographing a sheet and reading its letters will soon be unnecessary in Korea. Those two, however, are Korean conditions. Whether the countries in Table 1 of §1.1 also have prescription barcodes and electronic prescriptions we did not investigate, so we do not assert that they do not. What is clear is that what this response rests on is the domestic system, and where this app is aimed is not where that system stands. The range in which the response is right and the range in which we stand are simply different, and which range is larger this document cannot answer. Points 2 and 3 are things we did not verify: we did not survey individual products systematically, so we may not have seen everything that already exists. Point 4 is not the kind of thing this document can answer. Whether market size is the right basis for deciding what gets built is not a question this proposal takes up, and that the judgement divides at all may itself be why the place §1.4 calls the last step is empty.</w:t>
            </w:r>
          </w:p>
          <w:p>
            <w:pPr>
              <w:spacing w:after="80" w:line="276" w:lineRule="auto"/>
              <w:jc w:val="both"/>
            </w:pPr>
            <w:r>
              <w:rPr>
                <w:rFonts w:ascii="Times New Roman" w:hAnsi="Times New Roman" w:eastAsia="바탕"/>
                <w:sz w:val="20"/>
              </w:rPr>
              <w:t>This response is set down here not because it can be answered. Half of it cannot.</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p>
            <w:pPr>
              <w:spacing w:after="80" w:line="276" w:lineRule="auto"/>
              <w:jc w:val="both"/>
            </w:pPr>
            <w:r>
              <w:rPr>
                <w:rFonts w:ascii="Times New Roman" w:hAnsi="Times New Roman" w:eastAsia="바탕"/>
                <w:sz w:val="20"/>
              </w:rPr>
              <w:t>Who these three are for drew a different answer in the survey. E. A. Draffan, retired speech and language therapist and visiting accessibility researcher at Global Symbols, wrote:</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retired speech and language therapist and visiting accessibility researcher, Global Symbols · University of Southampton)</w:t>
            </w:r>
          </w:p>
          <w:p>
            <w:pPr>
              <w:spacing w:after="80" w:line="276" w:lineRule="auto"/>
              <w:jc w:val="both"/>
            </w:pPr>
            <w:r>
              <w:rPr>
                <w:rFonts w:ascii="Times New Roman" w:hAnsi="Times New Roman" w:eastAsia="바탕"/>
                <w:sz w:val="20"/>
              </w:rPr>
              <w:t>The first half says we scoped the audience narrowly. From §1.1 onward this document has counted non-literate adults, but one photograph producing a picture and a spoken sentence may be of use to people who can read as well. Among the respondents in §5.7 there was in fact one who wrote that even they, in their forties, found the images hard to grasp at once (§5.7.9). Whether the audience should be drawn wider this document does not judge. What it records is that drawing it narrowly narrowed the evidence, not the users.</w:t>
            </w:r>
          </w:p>
          <w:p>
            <w:pPr>
              <w:spacing w:after="80" w:line="276" w:lineRule="auto"/>
              <w:jc w:val="both"/>
            </w:pPr>
            <w:r>
              <w:rPr>
                <w:rFonts w:ascii="Times New Roman" w:hAnsi="Times New Roman" w:eastAsia="바탕"/>
                <w:sz w:val="20"/>
              </w:rPr>
              <w:t>The second half bears more directly on this section. Reading about three functions is no way to judge whether they are easy to use, which is the same thing §5.9 records as the absence of testing with people. This section can set down what was built; whether it is easy to use becomes an answer only when people are asked, in §5.10.</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14]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Choosing text size and setting a picture key</w:t>
                  </w:r>
                </w:p>
              </w:tc>
              <w:tc>
                <w:tcPr>
                  <w:tcW w:type="dxa" w:w="2429"/>
                </w:tcPr>
                <w:p>
                  <w:r>
                    <w:rPr>
                      <w:rFonts w:ascii="Times New Roman" w:hAnsi="Times New Roman" w:eastAsia="바탕"/>
                      <w:sz w:val="18"/>
                    </w:rPr>
                    <w:t>Press the line you can read, tap four pictures in order</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14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asks two things and then goes straight to a screen that does something. It asks for a text size and it sets a picture key. The text size is settled by one action, "tap the smallest line you can read". Rather than reading the names of sizes and choosing among them, the user answers by tapping what is in fact legible, which is the structure of an eye chart.</w:t>
            </w:r>
          </w:p>
          <w:p>
            <w:pPr>
              <w:spacing w:after="80" w:line="276" w:lineRule="auto"/>
              <w:jc w:val="both"/>
            </w:pPr>
            <w:r>
              <w:rPr>
                <w:rFonts w:ascii="Times New Roman" w:hAnsi="Times New Roman" w:eastAsia="바탕"/>
                <w:sz w:val="20"/>
              </w:rPr>
              <w:t>Five guide cards used to stand between those two steps, and they were removed. Four of the five are already said by the screens themselves. The camera is the largest circle in the middle of the home screen; the verdict colour is shown as colour by the verdict screen; that it is judged for you is said by the person satellite and its badge; and reminders are offered on the spot when a prescription is photographed. To explain again what has been built so as to need no explanation is to say one does not believe in the building. And for the users of this app five slides are a wall to climb before starting, when those five slides were the first screen of an app that says it demands no reading.</w:t>
            </w:r>
          </w:p>
          <w:p>
            <w:pPr>
              <w:spacing w:after="80" w:line="276" w:lineRule="auto"/>
              <w:jc w:val="both"/>
            </w:pPr>
            <w:r>
              <w:rPr>
                <w:rFonts w:ascii="Times New Roman" w:hAnsi="Times New Roman" w:eastAsia="바탕"/>
                <w:sz w:val="20"/>
              </w:rPr>
              <w:t>The remaining one could not be removed. The gesture of pressing and holding text to hear it (§3.5) appears nowhere on screen. The read-aloud button in the bottom bar reads the whole screen, so sound itself is not blocked, but hearing one line again is only possible through that gesture, and wanting to hear one medicine name or one dose time again is exactly that case. So instead of removing it, it was moved to where it is used. It appears once on first arrival at the verdict screen and does not appear again. That is the first place the gesture is actually useful, and what has been learned can be tried on that same screen.</w:t>
            </w:r>
          </w:p>
          <w:p>
            <w:pPr>
              <w:spacing w:after="80" w:line="276" w:lineRule="auto"/>
              <w:jc w:val="both"/>
            </w:pPr>
            <w:r>
              <w:rPr>
                <w:rFonts w:ascii="Times New Roman" w:hAnsi="Times New Roman" w:eastAsia="바탕"/>
                <w:sz w:val="20"/>
              </w:rPr>
              <w:t>Measuring these two screens with the accessibility sweep of §4.4 caught one thing. The text-size screen has no point that reaches sound at all: no read-aloud button, no marker for sweeping to hear, no element wired to speech. What is on the screen is the sentence "tap the smallest line you can read" and five lines of that same sentence at different sizes. On the first screen this app offers to someone opening it for the first time, a person who cannot read has no route to sound.</w:t>
            </w:r>
          </w:p>
          <w:p>
            <w:pPr>
              <w:spacing w:after="80" w:line="276" w:lineRule="auto"/>
              <w:jc w:val="both"/>
            </w:pPr>
            <w:r>
              <w:rPr>
                <w:rFonts w:ascii="Times New Roman" w:hAnsi="Times New Roman" w:eastAsia="바탕"/>
                <w:sz w:val="20"/>
              </w:rPr>
              <w:t>Both why this is recorded as a defect and why the order was kept belong here. The principle of §2.1 is that reading is not required on the path to a judgement, and the instruction on this screen has to be read. The task on this screen, though, is shaped so that it can be answered without reading the instruction. The same sentence stands in five sizes with a pointing finger on the one currently chosen, so there is not much interpretation available other than pressing one of the pressable things. And no choice is a wrong answer: the size chosen can be changed in Settings at any time.</w:t>
            </w:r>
          </w:p>
          <w:p>
            <w:pPr>
              <w:spacing w:after="80" w:line="276" w:lineRule="auto"/>
              <w:jc w:val="both"/>
            </w:pPr>
            <w:r>
              <w:rPr>
                <w:rFonts w:ascii="Times New Roman" w:hAnsi="Times New Roman" w:eastAsia="바탕"/>
                <w:sz w:val="20"/>
              </w:rPr>
              <w:t>Even so, this is a place where we fall short of the standard we set ourselves. What Myojeong Choi, Researcher at the Korea Disabled People's Development Institute, raised in §5.7 was that without spoken guidance at the early steps the later procedure can be blocked, and removing the five guide cards emptied the place in front. Attaching read-aloud to this screen is not difficult and belongs to stage 4 of §5.10.</w:t>
            </w:r>
          </w:p>
          <w:p>
            <w:pPr>
              <w:spacing w:after="80" w:line="276" w:lineRule="auto"/>
              <w:jc w:val="both"/>
            </w:pPr>
            <w:r>
              <w:rPr>
                <w:rFonts w:ascii="Times New Roman" w:hAnsi="Times New Roman" w:eastAsia="바탕"/>
                <w:sz w:val="20"/>
              </w:rPr>
              <w:t>Age and conditions are set on the person screen. That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Text size. Rather than reading the name of a size, the user taps the line that is legible. (b) Picture key. Four of twelve pictures are tapped in order. (c)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It should be stated that our answer to this point has grown weaker since. When this response arrived, five guide cards stood in front of the dialogue and we took them as the answer, and for the reasons set out above those five cards were removed. What remains is that the camera screen falls back to choosing an already-taken photograph when permission is not granted, and that is a provision for after the blockage rather than guidance before it. It also remains true that from the moment the dialogue appears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15]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16]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17]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18]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19]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them,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after="80" w:line="276" w:lineRule="auto"/>
              <w:jc w:val="both"/>
            </w:pPr>
            <w:r>
              <w:rPr>
                <w:rFonts w:ascii="Times New Roman" w:hAnsi="Times New Roman" w:eastAsia="바탕"/>
                <w:sz w:val="20"/>
              </w:rPr>
              <w:t xml:space="preserve">One thing has to be stated precisely here. What a sweep reveals is </w:t>
            </w:r>
            <w:r>
              <w:rPr>
                <w:rFonts w:ascii="Times New Roman" w:hAnsi="Times New Roman" w:eastAsia="바탕"/>
                <w:b/>
                <w:sz w:val="20"/>
              </w:rPr>
              <w:t>not all</w:t>
            </w:r>
            <w:r>
              <w:rPr>
                <w:rFonts w:ascii="Times New Roman" w:hAnsi="Times New Roman" w:eastAsia="바탕"/>
                <w:sz w:val="20"/>
              </w:rPr>
              <w:t xml:space="preserve"> of the places that carry audio. Counting on the home screen of the deployment, 14 places carry audio and 3 of them get a marker. Places wrapping a picture or a bar are called with </w:t>
            </w:r>
            <w:r>
              <w:rPr>
                <w:rFonts w:ascii="Consolas" w:hAnsi="Consolas" w:eastAsia="Consolas"/>
                <w:sz w:val="19"/>
              </w:rPr>
              <w:t>bare</w:t>
            </w:r>
            <w:r>
              <w:rPr>
                <w:rFonts w:ascii="Times New Roman" w:hAnsi="Times New Roman" w:eastAsia="바탕"/>
                <w:sz w:val="20"/>
              </w:rPr>
              <w:t xml:space="preserve"> and get no marker at all (six such call sites), because putting a grey circle over a picture covers the picture. A sweep still reads those places, but for someone who is not sweeping, the fact that audio is there never appears on screen. For a user who does not know about sweeping there is still audio that cannot be seen, and that is an item to settle with people present in the field evaluation of §5.10.</w:t>
            </w:r>
          </w:p>
          <w:p>
            <w:pPr>
              <w:spacing w:after="80" w:line="276" w:lineRule="auto"/>
              <w:jc w:val="both"/>
            </w:pPr>
            <w:r>
              <w:rPr>
                <w:rFonts w:ascii="Times New Roman" w:hAnsi="Times New Roman" w:eastAsia="바탕"/>
                <w:sz w:val="20"/>
              </w:rPr>
              <w:t>Nor did all the grey circles go. Where the row is itself a button, a button cannot be nested inside it, so a 44-pixel listen button sits beside it as a sibling. There are two such places on the home screen of the deployment, and the speaker is always visible there.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Pasteur Institute of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20]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20 dims but that the sentence does not read.</w:t>
            </w:r>
          </w:p>
          <w:p>
            <w:pPr>
              <w:spacing w:after="80" w:line="276" w:lineRule="auto"/>
              <w:jc w:val="both"/>
            </w:pPr>
            <w:r>
              <w:rPr>
                <w:rFonts w:ascii="Times New Roman" w:hAnsi="Times New Roman" w:eastAsia="바탕"/>
                <w:sz w:val="20"/>
              </w:rPr>
              <w:t xml:space="preserve">[Table 21]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 The lowest of the eighteen combinations is the caution colour on the off-white background at 4.52, a margin of 0.02 over the criterion. Lightening that colour by even one step would put it under, so the values in Table 21 are not a matter of taste but values taken at the boundary.</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These four were measured again on the deployment. Thirteen screens (</w:t>
            </w:r>
            <w:r>
              <w:rPr>
                <w:rFonts w:ascii="Consolas" w:hAnsi="Consolas" w:eastAsia="Consolas"/>
                <w:sz w:val="19"/>
              </w:rPr>
              <w:t>/home</w:t>
            </w:r>
            <w:r>
              <w:rPr>
                <w:rFonts w:ascii="Times New Roman" w:hAnsi="Times New Roman" w:eastAsia="바탕"/>
                <w:sz w:val="20"/>
              </w:rPr>
              <w:t xml:space="preserve">, </w:t>
            </w:r>
            <w:r>
              <w:rPr>
                <w:rFonts w:ascii="Consolas" w:hAnsi="Consolas" w:eastAsia="Consolas"/>
                <w:sz w:val="19"/>
              </w:rPr>
              <w:t>/scan</w:t>
            </w:r>
            <w:r>
              <w:rPr>
                <w:rFonts w:ascii="Times New Roman" w:hAnsi="Times New Roman" w:eastAsia="바탕"/>
                <w:sz w:val="20"/>
              </w:rPr>
              <w:t xml:space="preserve">,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/settings</w:t>
            </w:r>
            <w:r>
              <w:rPr>
                <w:rFonts w:ascii="Times New Roman" w:hAnsi="Times New Roman" w:eastAsia="바탕"/>
                <w:sz w:val="20"/>
              </w:rPr>
              <w:t xml:space="preserve">, </w:t>
            </w:r>
            <w:r>
              <w:rPr>
                <w:rFonts w:ascii="Consolas" w:hAnsi="Consolas" w:eastAsia="Consolas"/>
                <w:sz w:val="19"/>
              </w:rPr>
              <w:t>/profile</w:t>
            </w:r>
            <w:r>
              <w:rPr>
                <w:rFonts w:ascii="Times New Roman" w:hAnsi="Times New Roman" w:eastAsia="바탕"/>
                <w:sz w:val="20"/>
              </w:rPr>
              <w:t xml:space="preserve">, </w:t>
            </w:r>
            <w:r>
              <w:rPr>
                <w:rFonts w:ascii="Consolas" w:hAnsi="Consolas" w:eastAsia="Consolas"/>
                <w:sz w:val="19"/>
              </w:rPr>
              <w:t>/people</w:t>
            </w:r>
            <w:r>
              <w:rPr>
                <w:rFonts w:ascii="Times New Roman" w:hAnsi="Times New Roman" w:eastAsia="바탕"/>
                <w:sz w:val="20"/>
              </w:rPr>
              <w:t xml:space="preserve">, </w:t>
            </w:r>
            <w:r>
              <w:rPr>
                <w:rFonts w:ascii="Consolas" w:hAnsi="Consolas" w:eastAsia="Consolas"/>
                <w:sz w:val="19"/>
              </w:rPr>
              <w:t>/device</w:t>
            </w:r>
            <w:r>
              <w:rPr>
                <w:rFonts w:ascii="Times New Roman" w:hAnsi="Times New Roman" w:eastAsia="바탕"/>
                <w:sz w:val="20"/>
              </w:rPr>
              <w:t xml:space="preserve">, </w:t>
            </w:r>
            <w:r>
              <w:rPr>
                <w:rFonts w:ascii="Consolas" w:hAnsi="Consolas" w:eastAsia="Consolas"/>
                <w:sz w:val="19"/>
              </w:rPr>
              <w:t>/dose</w:t>
            </w:r>
            <w:r>
              <w:rPr>
                <w:rFonts w:ascii="Times New Roman" w:hAnsi="Times New Roman" w:eastAsia="바탕"/>
                <w:sz w:val="20"/>
              </w:rPr>
              <w:t xml:space="preserve">, </w:t>
            </w:r>
            <w:r>
              <w:rPr>
                <w:rFonts w:ascii="Consolas" w:hAnsi="Consolas" w:eastAsia="Consolas"/>
                <w:sz w:val="19"/>
              </w:rPr>
              <w:t>/history</w:t>
            </w:r>
            <w:r>
              <w:rPr>
                <w:rFonts w:ascii="Times New Roman" w:hAnsi="Times New Roman" w:eastAsia="바탕"/>
                <w:sz w:val="20"/>
              </w:rPr>
              <w:t xml:space="preserve">, </w:t>
            </w:r>
            <w:r>
              <w:rPr>
                <w:rFonts w:ascii="Consolas" w:hAnsi="Consolas" w:eastAsia="Consolas"/>
                <w:sz w:val="19"/>
              </w:rPr>
              <w:t>/text-size</w:t>
            </w:r>
            <w:r>
              <w:rPr>
                <w:rFonts w:ascii="Times New Roman" w:hAnsi="Times New Roman" w:eastAsia="바탕"/>
                <w:sz w:val="20"/>
              </w:rPr>
              <w:t xml:space="preserve">, </w:t>
            </w:r>
            <w:r>
              <w:rPr>
                <w:rFonts w:ascii="Consolas" w:hAnsi="Consolas" w:eastAsia="Consolas"/>
                <w:sz w:val="19"/>
              </w:rPr>
              <w:t>/login</w:t>
            </w:r>
            <w:r>
              <w:rPr>
                <w:rFonts w:ascii="Times New Roman" w:hAnsi="Times New Roman" w:eastAsia="바탕"/>
                <w:sz w:val="20"/>
              </w:rPr>
              <w:t xml:space="preserve">, </w:t>
            </w:r>
            <w:r>
              <w:rPr>
                <w:rFonts w:ascii="Consolas" w:hAnsi="Consolas" w:eastAsia="Consolas"/>
                <w:sz w:val="19"/>
              </w:rPr>
              <w:t>/camera</w:t>
            </w:r>
            <w:r>
              <w:rPr>
                <w:rFonts w:ascii="Times New Roman" w:hAnsi="Times New Roman" w:eastAsia="바탕"/>
                <w:sz w:val="20"/>
              </w:rPr>
              <w:t xml:space="preserve">, </w:t>
            </w:r>
            <w:r>
              <w:rPr>
                <w:rFonts w:ascii="Consolas" w:hAnsi="Consolas" w:eastAsia="Consolas"/>
                <w:sz w:val="19"/>
              </w:rPr>
              <w:t>/pair</w:t>
            </w:r>
            <w:r>
              <w:rPr>
                <w:rFonts w:ascii="Times New Roman" w:hAnsi="Times New Roman" w:eastAsia="바탕"/>
                <w:sz w:val="20"/>
              </w:rPr>
              <w:t>) were opened at 375 pixels wide and 178 controls counted. No unnamed controls, no horizontal scrolling, and one control below 24 pixels.</w:t>
            </w:r>
          </w:p>
          <w:p>
            <w:pPr>
              <w:spacing w:after="80" w:line="276" w:lineRule="auto"/>
              <w:jc w:val="both"/>
            </w:pPr>
            <w:r>
              <w:rPr>
                <w:rFonts w:ascii="Times New Roman" w:hAnsi="Times New Roman" w:eastAsia="바탕"/>
                <w:sz w:val="20"/>
              </w:rPr>
              <w:t xml:space="preserve">That the list changed once should be recorded. Nine screens were measured at first, </w:t>
            </w:r>
            <w:r>
              <w:rPr>
                <w:rFonts w:ascii="Consolas" w:hAnsi="Consolas" w:eastAsia="Consolas"/>
                <w:sz w:val="19"/>
              </w:rPr>
              <w:t>/onboarding</w:t>
            </w:r>
            <w:r>
              <w:rPr>
                <w:rFonts w:ascii="Times New Roman" w:hAnsi="Times New Roman" w:eastAsia="바탕"/>
                <w:sz w:val="20"/>
              </w:rPr>
              <w:t xml:space="preserve"> among them, and that address disappeared when the five guide cards were removed (§3.2). The sweep did not report this and was measuring a 404 page. The removed screen was taken out of the list and five screens built since were added, making thirteen.</w:t>
            </w:r>
          </w:p>
          <w:p>
            <w:pPr>
              <w:spacing w:after="80" w:line="276" w:lineRule="auto"/>
              <w:jc w:val="both"/>
            </w:pPr>
            <w:r>
              <w:rPr>
                <w:rFonts w:ascii="Times New Roman" w:hAnsi="Times New Roman" w:eastAsia="바탕"/>
                <w:sz w:val="20"/>
              </w:rPr>
              <w:t xml:space="preserve">One false positive from the sweep itself was fixed too. Two unnamed controls were reported on </w:t>
            </w:r>
            <w:r>
              <w:rPr>
                <w:rFonts w:ascii="Consolas" w:hAnsi="Consolas" w:eastAsia="Consolas"/>
                <w:sz w:val="19"/>
              </w:rPr>
              <w:t>/device</w:t>
            </w:r>
            <w:r>
              <w:rPr>
                <w:rFonts w:ascii="Times New Roman" w:hAnsi="Times New Roman" w:eastAsia="바탕"/>
                <w:sz w:val="20"/>
              </w:rPr>
              <w:t xml:space="preserve">, and both were links inside a collapsed </w:t>
            </w:r>
            <w:r>
              <w:rPr>
                <w:rFonts w:ascii="Consolas" w:hAnsi="Consolas" w:eastAsia="Consolas"/>
                <w:sz w:val="19"/>
              </w:rPr>
              <w:t>&lt;details&gt;</w:t>
            </w:r>
            <w:r>
              <w:rPr>
                <w:rFonts w:ascii="Times New Roman" w:hAnsi="Times New Roman" w:eastAsia="바탕"/>
                <w:sz w:val="20"/>
              </w:rPr>
              <w:t xml:space="preserve">. While collapsed, </w:t>
            </w:r>
            <w:r>
              <w:rPr>
                <w:rFonts w:ascii="Consolas" w:hAnsi="Consolas" w:eastAsia="Consolas"/>
                <w:sz w:val="19"/>
              </w:rPr>
              <w:t>innerText</w:t>
            </w:r>
            <w:r>
              <w:rPr>
                <w:rFonts w:ascii="Times New Roman" w:hAnsi="Times New Roman" w:eastAsia="바탕"/>
                <w:sz w:val="20"/>
              </w:rPr>
              <w:t xml:space="preserve"> is empty so they look unnamed, but they are links with text on them, and while collapsed they reach neither the screen nor assistive technology, so they were never something to measure. The sweep was changed to skip inside a collapsed </w:t>
            </w:r>
            <w:r>
              <w:rPr>
                <w:rFonts w:ascii="Consolas" w:hAnsi="Consolas" w:eastAsia="Consolas"/>
                <w:sz w:val="19"/>
              </w:rPr>
              <w:t>&lt;details&gt;</w:t>
            </w:r>
            <w:r>
              <w:rPr>
                <w:rFonts w:ascii="Times New Roman" w:hAnsi="Times New Roman" w:eastAsia="바탕"/>
                <w:sz w:val="20"/>
              </w:rPr>
              <w:t>. As has happened several times elsewhere in this document, a check whose subject is not verified manufactures a defect that is not there.</w:t>
            </w:r>
          </w:p>
          <w:p>
            <w:pPr>
              <w:spacing w:after="80" w:line="276" w:lineRule="auto"/>
              <w:jc w:val="both"/>
            </w:pPr>
            <w:r>
              <w:rPr>
                <w:rFonts w:ascii="Times New Roman" w:hAnsi="Times New Roman" w:eastAsia="바탕"/>
                <w:sz w:val="20"/>
              </w:rPr>
              <w:t>That one should be set down. The close button on the capture screen (</w:t>
            </w:r>
            <w:r>
              <w:rPr>
                <w:rFonts w:ascii="Consolas" w:hAnsi="Consolas" w:eastAsia="Consolas"/>
                <w:sz w:val="19"/>
              </w:rPr>
              <w:t>×</w:t>
            </w:r>
            <w:r>
              <w:rPr>
                <w:rFonts w:ascii="Times New Roman" w:hAnsi="Times New Roman" w:eastAsia="바탕"/>
                <w:sz w:val="20"/>
              </w:rPr>
              <w:t>) is 15×24. SC 2.5.8 allows a spacing exception: an undersized target conforms if a 24-pixel-diameter circle centred on it does not touch the circle of another target. The nearest other target to this button is 601 pixels away, so it conforms. It is recorded even so, because the paragraph above says "a minimum of 24 pixels was laid down" and that is not literally true. It was laid down, and one place remains an exception.</w:t>
            </w:r>
          </w:p>
          <w:p>
            <w:pPr>
              <w:spacing w:after="80" w:line="276" w:lineRule="auto"/>
              <w:jc w:val="both"/>
            </w:pPr>
            <w:r>
              <w:rPr>
                <w:rFonts w:ascii="Times New Roman" w:hAnsi="Times New Roman" w:eastAsia="바탕"/>
                <w:sz w:val="20"/>
              </w:rPr>
              <w:t xml:space="preserve">This measurement is kept as </w:t>
            </w:r>
            <w:r>
              <w:rPr>
                <w:rFonts w:ascii="Consolas" w:hAnsi="Consolas" w:eastAsia="Consolas"/>
                <w:sz w:val="19"/>
              </w:rPr>
              <w:t>tools/check_a11y.mjs</w:t>
            </w:r>
            <w:r>
              <w:rPr>
                <w:rFonts w:ascii="Times New Roman" w:hAnsi="Times New Roman" w:eastAsia="바탕"/>
                <w:sz w:val="20"/>
              </w:rPr>
              <w:t>, to be rerun when screens are added or controls change.</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The icons on screen are a matter for this section as well. Emoji were used at first and all of them were replaced with drawings of our own. Emoji are not drawn by us, so they look different on every device, and the same pill emoji reads as a different object on Android and on iOS. Their size and optical weight are not ours to set, and placed side by side they put a row of things drawn by different hands on one line.</w:t>
            </w:r>
          </w:p>
          <w:p>
            <w:pPr>
              <w:spacing w:after="80" w:line="276" w:lineRule="auto"/>
              <w:jc w:val="both"/>
            </w:pPr>
            <w:r>
              <w:rPr>
                <w:rFonts w:ascii="Times New Roman" w:hAnsi="Times New Roman" w:eastAsia="바탕"/>
                <w:sz w:val="20"/>
              </w:rPr>
              <w:t>What was settled in replacing them was the filled silhouette, and the grounds for that choice are the argument of this section. A filled circle of radius 29 is 2,629 pixels, while an outlined triangle in the same place is 1,127. Only that difference in mass, more than twofold, survives across a room and remains for someone who cannot tell the colours apart. The thin-line icons now common are the opposite case, because a line is the first thing to go as things get smaller. The device screen already uses the same grammar, so an app that follows it puts box and app in one language.</w:t>
            </w:r>
          </w:p>
          <w:p>
            <w:pPr>
              <w:spacing w:after="80" w:line="276" w:lineRule="auto"/>
              <w:jc w:val="both"/>
            </w:pPr>
            <w:r>
              <w:rPr>
                <w:rFonts w:ascii="Times New Roman" w:hAnsi="Times New Roman" w:eastAsia="바탕"/>
                <w:sz w:val="20"/>
              </w:rPr>
              <w:t xml:space="preserve">There are four rules for drawing. Coordinates are placed only on a 24 grid, </w:t>
            </w:r>
            <w:r>
              <w:rPr>
                <w:rFonts w:ascii="Consolas" w:hAnsi="Consolas" w:eastAsia="Consolas"/>
                <w:sz w:val="19"/>
              </w:rPr>
              <w:t>stroke</w:t>
            </w:r>
            <w:r>
              <w:rPr>
                <w:rFonts w:ascii="Times New Roman" w:hAnsi="Times New Roman" w:eastAsia="바탕"/>
                <w:sz w:val="20"/>
              </w:rPr>
              <w:t xml:space="preserve"> is not used, colour is </w:t>
            </w:r>
            <w:r>
              <w:rPr>
                <w:rFonts w:ascii="Consolas" w:hAnsi="Consolas" w:eastAsia="Consolas"/>
                <w:sz w:val="19"/>
              </w:rPr>
              <w:t>currentColor</w:t>
            </w:r>
            <w:r>
              <w:rPr>
                <w:rFonts w:ascii="Times New Roman" w:hAnsi="Times New Roman" w:eastAsia="바탕"/>
                <w:sz w:val="20"/>
              </w:rPr>
              <w:t xml:space="preserve"> alone, and holes are cut with </w:t>
            </w:r>
            <w:r>
              <w:rPr>
                <w:rFonts w:ascii="Consolas" w:hAnsi="Consolas" w:eastAsia="Consolas"/>
                <w:sz w:val="19"/>
              </w:rPr>
              <w:t>evenodd</w:t>
            </w:r>
            <w:r>
              <w:rPr>
                <w:rFonts w:ascii="Times New Roman" w:hAnsi="Times New Roman" w:eastAsia="바탕"/>
                <w:sz w:val="20"/>
              </w:rPr>
              <w:t>. The second and third join up with other decisions in this app. In an app that changes text size across five steps, wobble in line weight is actually visible, and a colour baked into each drawing leaves the drawings in daylight when the palette goes dark.</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section exists because of one sentence in the survey, so it is carried over rather than summarised. Answering "could a patient who cannot read take their medicine correctly, alone, with only these screens", Foued Maaoui, Researcher at the Pasteur Institute of Tunis, wrote:</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However clear the screen, without a procedure for confirming that the person who saw it understood it there is no returning signal. The checking step in this section was built on receiving that answer, and it is the one case where the survey changed the design by adding a whole screen.</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22]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p>
            <w:pPr>
              <w:spacing w:before="180" w:after="40"/>
            </w:pPr>
            <w:r>
              <w:rPr>
                <w:rFonts w:ascii="Times New Roman" w:hAnsi="Times New Roman" w:eastAsia="바탕"/>
                <w:b/>
                <w:sz w:val="23"/>
              </w:rPr>
              <w:t>3.9 Medication routine and the last four weeks</w:t>
            </w:r>
          </w:p>
          <w:p>
            <w:pPr>
              <w:spacing w:after="80" w:line="276" w:lineRule="auto"/>
              <w:jc w:val="both"/>
            </w:pPr>
            <w:r>
              <w:rPr>
                <w:rFonts w:ascii="Times New Roman" w:hAnsi="Times New Roman" w:eastAsia="바탕"/>
                <w:sz w:val="20"/>
              </w:rPr>
              <w:t>The eight preceding sections dealt with a single verdict. Photograph, look, close. What the broadened target of §1.13 lacks, though, is not that single verdict. Unless it is recorded whether last night's dose was taken, whether weekends are the ones that get missed, and when the missing began, no verdict however good will hold a routine together.</w:t>
            </w:r>
          </w:p>
          <w:p>
            <w:pPr>
              <w:spacing w:after="80" w:line="276" w:lineRule="auto"/>
              <w:jc w:val="both"/>
            </w:pPr>
            <w:r>
              <w:rPr>
                <w:rFonts w:ascii="Times New Roman" w:hAnsi="Times New Roman" w:eastAsia="바탕"/>
                <w:sz w:val="20"/>
              </w:rPr>
              <w:t>This app leaves a record with every scan: what was eaten, what it was found to contain at the time, and, where a box has been paired, whether the medicine was taken or missed. The questions that record can answer are the ones actually asked in a consulting room. What did you eat on the day the rash appeared? When did you start missing doses? Human memory does not answer these, and less so for someone who cannot write things down. Yet the only places to look back at that record were four recent lines on the home screen and today's running total on the nutrition screen. It was data piled up and read by no one.</w:t>
            </w:r>
          </w:p>
          <w:p>
            <w:pPr>
              <w:spacing w:after="80" w:line="276" w:lineRule="auto"/>
              <w:jc w:val="both"/>
            </w:pPr>
            <w:r>
              <w:rPr>
                <w:rFonts w:ascii="Times New Roman" w:hAnsi="Times New Roman" w:eastAsia="바탕"/>
                <w:sz w:val="20"/>
              </w:rPr>
              <w:t>The screen has three parts from top to bottom.</w:t>
            </w:r>
          </w:p>
          <w:p>
            <w:pPr>
              <w:spacing w:after="80" w:line="276" w:lineRule="auto"/>
              <w:jc w:val="both"/>
            </w:pPr>
            <w:r>
              <w:rPr>
                <w:rFonts w:ascii="Times New Roman" w:hAnsi="Times New Roman" w:eastAsia="바탕"/>
                <w:sz w:val="20"/>
              </w:rPr>
              <w:t>[Table 23] The parts of the past-days screen and why each sits where it does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What is there</w:t>
                  </w:r>
                </w:p>
              </w:tc>
              <w:tc>
                <w:tcPr>
                  <w:tcW w:type="dxa" w:w="3238"/>
                  <w:shd w:val="clear" w:fill="F2F2F2"/>
                </w:tcPr>
                <w:p>
                  <w:r>
                    <w:rPr>
                      <w:rFonts w:ascii="Times New Roman" w:hAnsi="Times New Roman" w:eastAsia="바탕"/>
                      <w:b/>
                      <w:sz w:val="18"/>
                    </w:rPr>
                    <w:t>Why here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The medication routine as currently set: for each medicine, the next dose time and how many times a day</w:t>
                  </w:r>
                </w:p>
              </w:tc>
              <w:tc>
                <w:tcPr>
                  <w:tcW w:type="dxa" w:w="3238"/>
                </w:tcPr>
                <w:p>
                  <w:r>
                    <w:rPr>
                      <w:rFonts w:ascii="Times New Roman" w:hAnsi="Times New Roman" w:eastAsia="바탕"/>
                      <w:sz w:val="18"/>
                    </w:rPr>
                    <w:t>It has to come before the calendar below. Two empty cells mean a whole day skipped on a twice-daily prescription and one late dose on a five-times-daily one. Without knowing what should have happened, the same picture means different things</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A four-week calendar. One day is one cell and one bar inside a cell is one dose. A filled bar was taken, an outlined bar was missed</w:t>
                  </w:r>
                </w:p>
              </w:tc>
              <w:tc>
                <w:tcPr>
                  <w:tcW w:type="dxa" w:w="3238"/>
                </w:tcPr>
                <w:p>
                  <w:r>
                    <w:rPr>
                      <w:rFonts w:ascii="Times New Roman" w:hAnsi="Times New Roman" w:eastAsia="바탕"/>
                      <w:sz w:val="18"/>
                    </w:rPr>
                    <w:t>One week cannot be read by weekday. Each weekday appears only once, so "it is always the weekend" cannot be told apart from a single coincidence. Over four weeks the same weekday lines up four times, and only then does a vertical column mean something. Beyond that the cells get too small on a phone</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A gauge, showing as the length of a bar how much of the four weeks was filled, split into one row per medicine</w:t>
                  </w:r>
                </w:p>
              </w:tc>
              <w:tc>
                <w:tcPr>
                  <w:tcW w:type="dxa" w:w="3238"/>
                </w:tcPr>
                <w:p>
                  <w:r>
                    <w:rPr>
                      <w:rFonts w:ascii="Times New Roman" w:hAnsi="Times New Roman" w:eastAsia="바탕"/>
                      <w:sz w:val="18"/>
                    </w:rPr>
                    <w:t>The calendar and the gauge answer different questions. The calendar shows which days were missed, the gauge how much of the whole was filled. And one combined number cannot point at what to fix. If ten of eighty-three doses were missed, ten piled onto one medicine means that medicine is the problem while ten scattered across means the habit is, and the two call for different things. The questions asked in a consulting room are per medicine too</w:t>
                  </w:r>
                </w:p>
              </w:tc>
            </w:tr>
          </w:tbl>
          <w:p/>
          <w:p>
            <w:pPr>
              <w:spacing w:after="120"/>
            </w:pPr>
          </w:p>
          <w:p>
            <w:pPr>
              <w:spacing w:after="80" w:line="276" w:lineRule="auto"/>
              <w:jc w:val="both"/>
            </w:pPr>
            <w:r>
              <w:rPr>
                <w:rFonts w:ascii="Times New Roman" w:hAnsi="Times New Roman" w:eastAsia="바탕"/>
                <w:sz w:val="20"/>
              </w:rPr>
              <w:t>Medication is at the top because the urgency differs. Food can be known a day late; medicine has to be known this evening.</w:t>
            </w:r>
          </w:p>
          <w:p>
            <w:pPr>
              <w:spacing w:after="80" w:line="276" w:lineRule="auto"/>
              <w:jc w:val="both"/>
            </w:pPr>
            <w:r>
              <w:rPr>
                <w:rFonts w:ascii="Times New Roman" w:hAnsi="Times New Roman" w:eastAsia="바탕"/>
                <w:sz w:val="20"/>
              </w:rPr>
              <w:t>No percentage is written large on this screen. The number 86% does not arrive for someone who cannot read numbers, and that person is the user this app took as its standard (§1.13). So the same thing is drawn instead. Whether a cell is empty can be counted, and how far a bar has filled can be judged by eye. Neither passes through reading.</w:t>
            </w:r>
          </w:p>
          <w:p>
            <w:pPr>
              <w:spacing w:after="80" w:line="276" w:lineRule="auto"/>
              <w:jc w:val="both"/>
            </w:pPr>
            <w:r>
              <w:rPr>
                <w:rFonts w:ascii="Times New Roman" w:hAnsi="Times New Roman" w:eastAsia="바탕"/>
                <w:sz w:val="20"/>
              </w:rPr>
              <w:t>What groups the gauges is worth noting as well: not the name of a medicine but the tray layer in the box. What the box reports is the layer, and the name is something the app attaches from the prescription, so it may be absent. This machine also stacks its trays in layers, so when the screen speaks in layers that leads straight into opening the box and looking at that layer. The place on the screen and the place the hand reaches point at the same thing.</w:t>
            </w:r>
          </w:p>
          <w:p>
            <w:pPr>
              <w:spacing w:after="80" w:line="276" w:lineRule="auto"/>
              <w:jc w:val="both"/>
            </w:pPr>
            <w:r>
              <w:rPr>
                <w:rFonts w:ascii="Times New Roman" w:hAnsi="Times New Roman" w:eastAsia="바탕"/>
                <w:sz w:val="20"/>
              </w:rPr>
              <w:t>The calendar shows four weeks but the window can be moved. There are two arrows and no date picker, because offering a date picker to someone who came to look at a calendar amounts to handing them a second calendar. Moving forward stops at today. The future is an empty grid, and a button that does nothing when pressed reads as broken. Moving the window does not move the "today" marker, which stays on the real today. If some past day were marked as today on a paged-back screen, that screen would be lying.</w:t>
            </w:r>
          </w:p>
          <w:p>
            <w:pPr>
              <w:spacing w:after="80" w:line="276" w:lineRule="auto"/>
              <w:jc w:val="both"/>
            </w:pPr>
            <w:r>
              <w:rPr>
                <w:rFonts w:ascii="Times New Roman" w:hAnsi="Times New Roman" w:eastAsia="바탕"/>
                <w:sz w:val="20"/>
              </w:rPr>
              <w:t>There is no list laying out the records day by day. There was one and it was taken out. Showing records back one at a time is not what this app does with that data. The calendar, the gauge, what is suspected and how the body responded all come out of it. The list only added twenty-eight more rows on top, and after a few months it becomes a wall nobody scrolls.</w:t>
            </w:r>
          </w:p>
          <w:p>
            <w:pPr>
              <w:spacing w:after="80" w:line="276" w:lineRule="auto"/>
              <w:jc w:val="both"/>
            </w:pPr>
            <w:r>
              <w:rPr>
                <w:rFonts w:ascii="Times New Roman" w:hAnsi="Times New Roman" w:eastAsia="바탕"/>
                <w:sz w:val="20"/>
              </w:rPr>
              <w:t>This is why the screen spans several conditions in Table 7 of §1.13. What someone carrying a load on executive function needs is "what do I take now", and that is the first part. What someone with damage to memory needs is "did I already take it", and that is the second. What the consulting room needs is "when did the missing start", and that is the third. One screen answers three questions, and it was built so that those answers are not obtained by reading. The difference between a filled bar and an empty one is not a letter, and the shape of a column going blank is seen rather than read.</w:t>
            </w:r>
          </w:p>
          <w:p>
            <w:pPr>
              <w:spacing w:after="80" w:line="276" w:lineRule="auto"/>
              <w:jc w:val="both"/>
            </w:pPr>
            <w:r>
              <w:rPr>
                <w:rFonts w:ascii="Times New Roman" w:hAnsi="Times New Roman" w:eastAsia="바탕"/>
                <w:sz w:val="20"/>
              </w:rPr>
              <w:t>The screen does lean on the picture and colour layers of §2.1, with speech carried by the read-aloud button on each card. Medicine names and times do appear as text, and the principle of §2.1 holds here as elsewhere: this app did not erase text from the screen, it removed anything that can only be known by reading. What the calendar conveys is a shape rather than a name.</w:t>
            </w:r>
          </w:p>
          <w:p>
            <w:pPr>
              <w:spacing w:before="160" w:after="60"/>
              <w:jc w:val="center"/>
            </w:pPr>
            <w:r>
              <w:drawing>
                <wp:inline xmlns:a="http://schemas.openxmlformats.org/drawingml/2006/main" xmlns:pic="http://schemas.openxmlformats.org/drawingml/2006/picture">
                  <wp:extent cx="1524000" cy="4754880"/>
                  <wp:docPr id="30" name="Picture 30"/>
                  <wp:cNvGraphicFramePr>
                    <a:graphicFrameLocks noChangeAspect="1"/>
                  </wp:cNvGraphicFramePr>
                  <a:graphic>
                    <a:graphicData uri="http://schemas.openxmlformats.org/drawingml/2006/picture">
                      <pic:pic>
                        <pic:nvPicPr>
                          <pic:cNvPr id="0" name="fig17_history.png"/>
                          <pic:cNvPicPr/>
                        </pic:nvPicPr>
                        <pic:blipFill>
                          <a:blip r:embed="rId47"/>
                          <a:stretch>
                            <a:fillRect/>
                          </a:stretch>
                        </pic:blipFill>
                        <pic:spPr>
                          <a:xfrm>
                            <a:off x="0" y="0"/>
                            <a:ext cx="15240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The medication routine and the last four weeks. The card at the top is what is currently set; in the calendar one day is one cell and one bar inside a cell is one dose. A filled bar was taken, an outlined one missed. The bars below are the adherence rate per medicine, and the sentence at the bottom puts the same thing into words. Below the red line, scrolling is required.</w:t>
            </w:r>
          </w:p>
          <w:p>
            <w:pPr>
              <w:spacing w:after="80" w:line="276" w:lineRule="auto"/>
              <w:jc w:val="both"/>
            </w:pPr>
            <w:r>
              <w:rPr>
                <w:rFonts w:ascii="Times New Roman" w:hAnsi="Times New Roman" w:eastAsia="바탕"/>
                <w:sz w:val="20"/>
              </w:rPr>
              <w:t>The screen says one more sentence at the end: that of eighty-three doses ten were missed, and the time most often missed was seven in the evening. It was said above that a vertical column in the calendar comes to mean something, and what is read from that column the screen also sends out in words. The three layers of §2.1, where speech remains for someone who could not read the picture, appear on this screen in that form.</w:t>
            </w:r>
          </w:p>
          <w:p>
            <w:pPr>
              <w:spacing w:after="80" w:line="276" w:lineRule="auto"/>
              <w:jc w:val="both"/>
            </w:pPr>
            <w:r>
              <w:rPr>
                <w:rFonts w:ascii="Times New Roman" w:hAnsi="Times New Roman" w:eastAsia="바탕"/>
                <w:sz w:val="20"/>
              </w:rPr>
              <w:t>The limits of this screen are written by the screen itself. The bottom line says that this count comes from the pill box alone and that medicines taken without it are not in the number. The counting is deliberately narrow. What reaches this calendar is only the doses a paired box reported. When the box offered a tray and nobody pressed, that arrives as missed; when someone pressed, it arrives as taken. Records a person left by photographing are not in this number, and not because they cannot be counted but because they must not be. A hand-left record says only that a dose was taken and never that one was missed, since nobody opens the app on the day they skip. Put those in the denominator and adherence is always 100%. So for a user without a box this calendar is empty, and it is drawn not at all rather than shown as 0%. Were that limit written only in this document and hidden on the screen, users would read their own adherence as lower than it is. So it is written on the screen, and the same item is also among the unverified items in §5.9.</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24]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r>
                    <w:rPr>
                      <w:rFonts w:ascii="Times New Roman" w:hAnsi="Times New Roman" w:eastAsia="바탕"/>
                      <w:sz w:val="18"/>
                    </w:rPr>
                    <w:t>Stops when idle, wakes on request</w:t>
                  </w:r>
                </w:p>
              </w:tc>
            </w:tr>
          </w:tbl>
          <w:p/>
          <w:p>
            <w:pPr>
              <w:spacing w:after="120"/>
            </w:pPr>
          </w:p>
          <w:p>
            <w:pPr>
              <w:spacing w:after="80" w:line="276" w:lineRule="auto"/>
              <w:jc w:val="both"/>
            </w:pPr>
            <w:r>
              <w:rPr>
                <w:rFonts w:ascii="Times New Roman" w:hAnsi="Times New Roman" w:eastAsia="바탕"/>
                <w:sz w:val="20"/>
              </w:rPr>
              <w:t xml:space="preserve">The last row should be set down first. To avoid leaving a machine idle we set </w:t>
            </w:r>
            <w:r>
              <w:rPr>
                <w:rFonts w:ascii="Consolas" w:hAnsi="Consolas" w:eastAsia="Consolas"/>
                <w:sz w:val="19"/>
              </w:rPr>
              <w:t>min_machines_running = 0</w:t>
            </w:r>
            <w:r>
              <w:rPr>
                <w:rFonts w:ascii="Times New Roman" w:hAnsi="Times New Roman" w:eastAsia="바탕"/>
                <w:sz w:val="20"/>
              </w:rPr>
              <w:t>, so it stops when nobody is using it and wakes on the first request. Anyone opening it for the first time therefore waits a few seconds. Measured on 3 August 2026, the first request took 6.5 seconds and the ones after it 0.17. That 6.5 seconds is what someone who reads this document and opens the deployment meets first, so it is recorded. Running it always-on would remove it, but that is a question of cost rather than of design.</w:t>
            </w: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25]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26]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1" name="Picture 31"/>
                  <wp:cNvGraphicFramePr>
                    <a:graphicFrameLocks noChangeAspect="1"/>
                  </wp:cNvGraphicFramePr>
                  <a:graphic>
                    <a:graphicData uri="http://schemas.openxmlformats.org/drawingml/2006/picture">
                      <pic:pic>
                        <pic:nvPicPr>
                          <pic:cNvPr id="0" name="fig17_gate.png"/>
                          <pic:cNvPicPr/>
                        </pic:nvPicPr>
                        <pic:blipFill>
                          <a:blip r:embed="rId48"/>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27]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27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27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0_relay_keys.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27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does not separate</w:t>
              <w:br/>
              <w:t xml:space="preserve">        values[name] = None</w:t>
              <w:br/>
              <w:t xml:space="preserve">        problems.append(</w:t>
              <w:br/>
              <w:t xml:space="preserve">            f"{name}: ambiguous ({best[0]}={best[1]:.2f}, {second[0]}={second[1]:.2f})"</w:t>
              <w:br/>
              <w:t xml:space="preserve">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3_formsheet.png"/>
                          <pic:cNvPicPr/>
                        </pic:nvPicPr>
                        <pic:blipFill>
                          <a:blip r:embed="rId50"/>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28]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28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4" name="Picture 34"/>
                  <wp:cNvGraphicFramePr>
                    <a:graphicFrameLocks noChangeAspect="1"/>
                  </wp:cNvGraphicFramePr>
                  <a:graphic>
                    <a:graphicData uri="http://schemas.openxmlformats.org/drawingml/2006/picture">
                      <pic:pic>
                        <pic:nvPicPr>
                          <pic:cNvPr id="0" name="fig14_formsheet.png"/>
                          <pic:cNvPicPr/>
                        </pic:nvPicPr>
                        <pic:blipFill>
                          <a:blip r:embed="rId51"/>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(0.55–0.74 against 0.00–0.04) shows the reading was not a near miss at the boundary. For each row the figure prints the lowest of the chosen cells beside the highest of the rest. The narrowest is the days row, where the lowest chosen is Friday at 0.55 and the highest unchosen is Tuesday at 0.04, a factor of fourteen even there. The top of the range, 0.74, is Wednesday, and does not appear in the figure because the figure prints only each row's minimum.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5" name="Picture 35"/>
                  <wp:cNvGraphicFramePr>
                    <a:graphicFrameLocks noChangeAspect="1"/>
                  </wp:cNvGraphicFramePr>
                  <a:graphic>
                    <a:graphicData uri="http://schemas.openxmlformats.org/drawingml/2006/picture">
                      <pic:pic>
                        <pic:nvPicPr>
                          <pic:cNvPr id="0" name="fig21_sw.png"/>
                          <pic:cNvPicPr/>
                        </pic:nvPicPr>
                        <pic:blipFill>
                          <a:blip r:embed="rId52"/>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 (</w:t>
            </w:r>
            <w:r>
              <w:rPr>
                <w:rFonts w:ascii="Consolas" w:hAnsi="Consolas" w:eastAsia="Consolas"/>
                <w:sz w:val="19"/>
              </w:rPr>
              <w:t>public/sw.js</w:t>
            </w:r>
            <w:r>
              <w:rPr>
                <w:rFonts w:ascii="Times New Roman" w:hAnsi="Times New Roman" w:eastAsia="바탕"/>
                <w:sz w:val="20"/>
              </w:rPr>
              <w:t>). Only two long comments have been shortened; the code is as it stands in the file.</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(request.mode === 'navigate' || SHELL_URLS.includes(url.pathname))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…the nutrition model (16 MB) and its config. Comment shortened</w:t>
              <w:br/>
              <w:t xml:space="preserve">    url.pathname.startsWith('/models/') ||</w:t>
              <w:br/>
              <w:t xml:space="preserve">    // …the OCR worker, core and language data</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 xml:space="preserve">The list of shell paths joining the condition that catches page requests is a correction of the same kind. At first only the request's </w:t>
            </w:r>
            <w:r>
              <w:rPr>
                <w:rFonts w:ascii="Consolas" w:hAnsi="Consolas" w:eastAsia="Consolas"/>
                <w:sz w:val="19"/>
              </w:rPr>
              <w:t>mode</w:t>
            </w:r>
            <w:r>
              <w:rPr>
                <w:rFonts w:ascii="Times New Roman" w:hAnsi="Times New Roman" w:eastAsia="바탕"/>
                <w:sz w:val="20"/>
              </w:rPr>
              <w:t xml:space="preserve"> was checked for </w:t>
            </w:r>
            <w:r>
              <w:rPr>
                <w:rFonts w:ascii="Consolas" w:hAnsi="Consolas" w:eastAsia="Consolas"/>
                <w:sz w:val="19"/>
              </w:rPr>
              <w:t>navigate</w:t>
            </w:r>
            <w:r>
              <w:rPr>
                <w:rFonts w:ascii="Times New Roman" w:hAnsi="Times New Roman" w:eastAsia="바탕"/>
                <w:sz w:val="20"/>
              </w:rPr>
              <w:t xml:space="preserve">, but offline warm-up fetches page HTML with </w:t>
            </w:r>
            <w:r>
              <w:rPr>
                <w:rFonts w:ascii="Consolas" w:hAnsi="Consolas" w:eastAsia="Consolas"/>
                <w:sz w:val="19"/>
              </w:rPr>
              <w:t>fetch('/nutrition')</w:t>
            </w:r>
            <w:r>
              <w:rPr>
                <w:rFonts w:ascii="Times New Roman" w:hAnsi="Times New Roman" w:eastAsia="바탕"/>
                <w:sz w:val="20"/>
              </w:rPr>
              <w:t xml:space="preserve">, and that request's </w:t>
            </w:r>
            <w:r>
              <w:rPr>
                <w:rFonts w:ascii="Consolas" w:hAnsi="Consolas" w:eastAsia="Consolas"/>
                <w:sz w:val="19"/>
              </w:rPr>
              <w:t>mode</w:t>
            </w:r>
            <w:r>
              <w:rPr>
                <w:rFonts w:ascii="Times New Roman" w:hAnsi="Times New Roman" w:eastAsia="바탕"/>
                <w:sz w:val="20"/>
              </w:rPr>
              <w:t xml:space="preserve"> is </w:t>
            </w:r>
            <w:r>
              <w:rPr>
                <w:rFonts w:ascii="Consolas" w:hAnsi="Consolas" w:eastAsia="Consolas"/>
                <w:sz w:val="19"/>
              </w:rPr>
              <w:t>cors</w:t>
            </w:r>
            <w:r>
              <w:rPr>
                <w:rFonts w:ascii="Times New Roman" w:hAnsi="Times New Roman" w:eastAsia="바탕"/>
                <w:sz w:val="20"/>
              </w:rPr>
              <w:t xml:space="preserve"> rather than </w:t>
            </w:r>
            <w:r>
              <w:rPr>
                <w:rFonts w:ascii="Consolas" w:hAnsi="Consolas" w:eastAsia="Consolas"/>
                <w:sz w:val="19"/>
              </w:rPr>
              <w:t>navigate</w:t>
            </w:r>
            <w:r>
              <w:rPr>
                <w:rFonts w:ascii="Times New Roman" w:hAnsi="Times New Roman" w:eastAsia="바탕"/>
                <w:sz w:val="20"/>
              </w:rPr>
              <w:t xml:space="preserve">. The pages warm-up brought back were therefore stored nowhere and simply went out to the network. Because the HTML cached at install time was there it worked on the surface, so the defect would only have surfaced the moment a new page was added to the list, and that page alone would have quietly dropped out of offline use. The same line fixed </w:t>
            </w:r>
            <w:r>
              <w:rPr>
                <w:rFonts w:ascii="Consolas" w:hAnsi="Consolas" w:eastAsia="Consolas"/>
                <w:sz w:val="19"/>
              </w:rPr>
              <w:t>manifest.webmanifest</w:t>
            </w:r>
            <w:r>
              <w:rPr>
                <w:rFonts w:ascii="Times New Roman" w:hAnsi="Times New Roman" w:eastAsia="바탕"/>
                <w:sz w:val="20"/>
              </w:rPr>
              <w:t xml:space="preserve"> as well: it sat in the shell yet matched no rule, so with the file in cache the worker still went to the network and failed.</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29]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second row of the table has a correction in it as well. Ninety-day retention was written down while records were in fact being cut off at 200. Someone using the box takes in two or three dose records a day before meals are added, so 200 fills up in about forty days. For as long as the document said ninety days the actual retention was forty, and because nothing marks that a record was cut, a person looking for something from two months ago learns instead that they did not use the app that day. The cap was raised to 1,500 so that the date limit binds first. The cap was not removed, because it is a ceiling on storage rather than a floor under the retention period: a date cannot stop browser storage from filling when records run away.</w:t>
            </w: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6" name="Picture 36"/>
                  <wp:cNvGraphicFramePr>
                    <a:graphicFrameLocks noChangeAspect="1"/>
                  </wp:cNvGraphicFramePr>
                  <a:graphic>
                    <a:graphicData uri="http://schemas.openxmlformats.org/drawingml/2006/picture">
                      <pic:pic>
                        <pic:nvPicPr>
                          <pic:cNvPr id="0" name="fig24_sign.png"/>
                          <pic:cNvPicPr/>
                        </pic:nvPicPr>
                        <pic:blipFill>
                          <a:blip r:embed="rId53"/>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 xml:space="preserve">The same middleware sends four more headers. The values are recorded here as confirmed on the deployment. </w:t>
            </w:r>
            <w:r>
              <w:rPr>
                <w:rFonts w:ascii="Consolas" w:hAnsi="Consolas" w:eastAsia="Consolas"/>
                <w:sz w:val="19"/>
              </w:rPr>
              <w:t>Content-Security-Policy</w:t>
            </w:r>
            <w:r>
              <w:rPr>
                <w:rFonts w:ascii="Times New Roman" w:hAnsi="Times New Roman" w:eastAsia="바탕"/>
                <w:sz w:val="20"/>
              </w:rPr>
              <w:t xml:space="preserve"> opens with </w:t>
            </w:r>
            <w:r>
              <w:rPr>
                <w:rFonts w:ascii="Consolas" w:hAnsi="Consolas" w:eastAsia="Consolas"/>
                <w:sz w:val="19"/>
              </w:rPr>
              <w:t>default-src 'self'</w:t>
            </w:r>
            <w:r>
              <w:rPr>
                <w:rFonts w:ascii="Times New Roman" w:hAnsi="Times New Roman" w:eastAsia="바탕"/>
                <w:sz w:val="20"/>
              </w:rPr>
              <w:t xml:space="preserve"> and pins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and </w:t>
            </w:r>
            <w:r>
              <w:rPr>
                <w:rFonts w:ascii="Consolas" w:hAnsi="Consolas" w:eastAsia="Consolas"/>
                <w:sz w:val="19"/>
              </w:rPr>
              <w:t>form-action 'self'</w:t>
            </w:r>
            <w:r>
              <w:rPr>
                <w:rFonts w:ascii="Times New Roman" w:hAnsi="Times New Roman" w:eastAsia="바탕"/>
                <w:sz w:val="20"/>
              </w:rPr>
              <w:t xml:space="preserve">. Its </w:t>
            </w:r>
            <w:r>
              <w:rPr>
                <w:rFonts w:ascii="Consolas" w:hAnsi="Consolas" w:eastAsia="Consolas"/>
                <w:sz w:val="19"/>
              </w:rPr>
              <w:t>connect-src</w:t>
            </w:r>
            <w:r>
              <w:rPr>
                <w:rFonts w:ascii="Times New Roman" w:hAnsi="Times New Roman" w:eastAsia="바탕"/>
                <w:sz w:val="20"/>
              </w:rPr>
              <w:t xml:space="preserve"> is only </w:t>
            </w:r>
            <w:r>
              <w:rPr>
                <w:rFonts w:ascii="Consolas" w:hAnsi="Consolas" w:eastAsia="Consolas"/>
                <w:sz w:val="19"/>
              </w:rPr>
              <w:t>'self'</w:t>
            </w:r>
            <w:r>
              <w:rPr>
                <w:rFonts w:ascii="Times New Roman" w:hAnsi="Times New Roman" w:eastAsia="바탕"/>
                <w:sz w:val="20"/>
              </w:rPr>
              <w:t xml:space="preserve"> and </w:t>
            </w:r>
            <w:r>
              <w:rPr>
                <w:rFonts w:ascii="Consolas" w:hAnsi="Consolas" w:eastAsia="Consolas"/>
                <w:sz w:val="19"/>
              </w:rPr>
              <w:t>https://snapcare-relay.fly.dev</w:t>
            </w:r>
            <w:r>
              <w:rPr>
                <w:rFonts w:ascii="Times New Roman" w:hAnsi="Times New Roman" w:eastAsia="바탕"/>
                <w:sz w:val="20"/>
              </w:rPr>
              <w:t xml:space="preserve">. That the app sends requests nowhere else is therefore not a rule but something the browser enforces, and this header is what makes the relay the single external channel described in §4.3. The other three are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and </w:t>
            </w:r>
            <w:r>
              <w:rPr>
                <w:rFonts w:ascii="Consolas" w:hAnsi="Consolas" w:eastAsia="Consolas"/>
                <w:sz w:val="19"/>
              </w:rPr>
              <w:t>Strict-Transport-Security: max-age=31536000; includeSubDomains</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There is a weak point in that policy and it belongs here too. </w:t>
            </w:r>
            <w:r>
              <w:rPr>
                <w:rFonts w:ascii="Consolas" w:hAnsi="Consolas" w:eastAsia="Consolas"/>
                <w:sz w:val="19"/>
              </w:rPr>
              <w:t>script-src</w:t>
            </w:r>
            <w:r>
              <w:rPr>
                <w:rFonts w:ascii="Times New Roman" w:hAnsi="Times New Roman" w:eastAsia="바탕"/>
                <w:sz w:val="20"/>
              </w:rPr>
              <w:t xml:space="preserve"> and </w:t>
            </w:r>
            <w:r>
              <w:rPr>
                <w:rFonts w:ascii="Consolas" w:hAnsi="Consolas" w:eastAsia="Consolas"/>
                <w:sz w:val="19"/>
              </w:rPr>
              <w:t>style-src</w:t>
            </w:r>
            <w:r>
              <w:rPr>
                <w:rFonts w:ascii="Times New Roman" w:hAnsi="Times New Roman" w:eastAsia="바탕"/>
                <w:sz w:val="20"/>
              </w:rPr>
              <w:t xml:space="preserve"> both carry </w:t>
            </w:r>
            <w:r>
              <w:rPr>
                <w:rFonts w:ascii="Consolas" w:hAnsi="Consolas" w:eastAsia="Consolas"/>
                <w:sz w:val="19"/>
              </w:rPr>
              <w:t>'unsafe-inline'</w:t>
            </w:r>
            <w:r>
              <w:rPr>
                <w:rFonts w:ascii="Times New Roman" w:hAnsi="Times New Roman" w:eastAsia="바탕"/>
                <w:sz w:val="20"/>
              </w:rPr>
              <w:t xml:space="preserve">, because Next.js emits its bootstrap script and styles inline, and the defence against cross-site scripting is that much shallower for it. A nonce would remove the need; we did not do it. </w:t>
            </w:r>
            <w:r>
              <w:rPr>
                <w:rFonts w:ascii="Consolas" w:hAnsi="Consolas" w:eastAsia="Consolas"/>
                <w:sz w:val="19"/>
              </w:rPr>
              <w:t>wasm-unsafe-eval</w:t>
            </w:r>
            <w:r>
              <w:rPr>
                <w:rFonts w:ascii="Times New Roman" w:hAnsi="Times New Roman" w:eastAsia="바탕"/>
                <w:sz w:val="20"/>
              </w:rPr>
              <w:t xml:space="preserve"> is open for the same kind of reason, because the on-device nutrition model and the OCR are WebAssembly (§4.1). Having a reason to leave something open is not the same as it being closed, so it is recorded as open.</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30]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31]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589</w:t>
                  </w:r>
                </w:p>
              </w:tc>
              <w:tc>
                <w:tcPr>
                  <w:tcW w:type="dxa" w:w="2429"/>
                </w:tcPr>
                <w:p>
                  <w:r>
                    <w:rPr>
                      <w:rFonts w:ascii="Times New Roman" w:hAnsi="Times New Roman" w:eastAsia="바탕"/>
                      <w:sz w:val="18"/>
                    </w:rPr>
                    <w:t>589 pass · 0 fail</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182</w:t>
                  </w:r>
                </w:p>
              </w:tc>
              <w:tc>
                <w:tcPr>
                  <w:tcW w:type="dxa" w:w="2429"/>
                </w:tcPr>
                <w:p>
                  <w:r>
                    <w:rPr>
                      <w:rFonts w:ascii="Times New Roman" w:hAnsi="Times New Roman" w:eastAsia="바탕"/>
                      <w:sz w:val="18"/>
                    </w:rPr>
                    <w:t>179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742</w:t>
                  </w:r>
                </w:p>
              </w:tc>
              <w:tc>
                <w:tcPr>
                  <w:tcW w:type="dxa" w:w="2429"/>
                </w:tcPr>
                <w:p>
                  <w:r>
                    <w:rPr>
                      <w:rFonts w:ascii="Times New Roman" w:hAnsi="Times New Roman" w:eastAsia="바탕"/>
                      <w:sz w:val="18"/>
                    </w:rPr>
                    <w:t>654 pass · 88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4 August 2026. The previous version had a single web-app failure here, and how it was fixed is left below as it stands.</w:t>
            </w:r>
          </w:p>
          <w:p>
            <w:pPr>
              <w:spacing w:after="80" w:line="276" w:lineRule="auto"/>
              <w:jc w:val="both"/>
            </w:pPr>
            <w:r>
              <w:rPr>
                <w:rFonts w:ascii="Times New Roman" w:hAnsi="Times New Roman" w:eastAsia="바탕"/>
                <w:sz w:val="20"/>
              </w:rPr>
              <w:t xml:space="preserve">What failed was </w:t>
            </w:r>
            <w:r>
              <w:rPr>
                <w:rFonts w:ascii="Consolas" w:hAnsi="Consolas" w:eastAsia="Consolas"/>
                <w:sz w:val="19"/>
              </w:rPr>
              <w:t>pill_dispenser/webapp_kit/tests/kit.test.ts</w:t>
            </w:r>
            <w:r>
              <w:rPr>
                <w:rFonts w:ascii="Times New Roman" w:hAnsi="Times New Roman" w:eastAsia="바탕"/>
                <w:sz w:val="20"/>
              </w:rPr>
              <w:t xml:space="preserve">, and the cause lay not in the test but in loading it. </w:t>
            </w:r>
            <w:r>
              <w:rPr>
                <w:rFonts w:ascii="Consolas" w:hAnsi="Consolas" w:eastAsia="Consolas"/>
                <w:sz w:val="19"/>
              </w:rPr>
              <w:t>relay.ts</w:t>
            </w:r>
            <w:r>
              <w:rPr>
                <w:rFonts w:ascii="Times New Roman" w:hAnsi="Times New Roman" w:eastAsia="바탕"/>
                <w:sz w:val="20"/>
              </w:rPr>
              <w:t xml:space="preserve"> uses a constructor parameter property (</w:t>
            </w:r>
            <w:r>
              <w:rPr>
                <w:rFonts w:ascii="Consolas" w:hAnsi="Consolas" w:eastAsia="Consolas"/>
                <w:sz w:val="19"/>
              </w:rPr>
              <w:t>constructor(readonly status: number)</w:t>
            </w:r>
            <w:r>
              <w:rPr>
                <w:rFonts w:ascii="Times New Roman" w:hAnsi="Times New Roman" w:eastAsia="바탕"/>
                <w:sz w:val="20"/>
              </w:rPr>
              <w:t xml:space="preserve">), and Node's type stripping removes types without emitting code, so it does not support that syntax. The import stops with </w:t>
            </w:r>
            <w:r>
              <w:rPr>
                <w:rFonts w:ascii="Consolas" w:hAnsi="Consolas" w:eastAsia="Consolas"/>
                <w:sz w:val="19"/>
              </w:rPr>
              <w:t>ERR_UNSUPPORTED_TYPESCRIPT_SYNTAX</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It was set down because something heavier than one failure rode along with it. Since the file never loaded, </w:t>
            </w:r>
            <w:r>
              <w:rPr>
                <w:rFonts w:ascii="Times New Roman" w:hAnsi="Times New Roman" w:eastAsia="바탕"/>
                <w:b/>
                <w:sz w:val="20"/>
              </w:rPr>
              <w:t>not one</w:t>
            </w:r>
            <w:r>
              <w:rPr>
                <w:rFonts w:ascii="Times New Roman" w:hAnsi="Times New Roman" w:eastAsia="바탕"/>
                <w:sz w:val="20"/>
              </w:rPr>
              <w:t xml:space="preserve"> of the tests inside it ran. The total at that time did not count that file's tests, so what looked like a single failure was in fact an entire file going unmeasured. It is the same shape of failure as the eight display constants in §5.4: the tool showed green while what it was measuring was empty.</w:t>
            </w:r>
          </w:p>
          <w:p>
            <w:pPr>
              <w:spacing w:after="80" w:line="276" w:lineRule="auto"/>
              <w:jc w:val="both"/>
            </w:pPr>
            <w:r>
              <w:rPr>
                <w:rFonts w:ascii="Times New Roman" w:hAnsi="Times New Roman" w:eastAsia="바탕"/>
                <w:sz w:val="20"/>
              </w:rPr>
              <w:t>This passage is kept rather than deleted because how it ended attaches here. Replacing the constructor parameter property with a declared and assigned field made the file load, and the 30 tests inside came back and all passed. We ran them to check. The 589 in the table above includes those 30. Because the failure was written down, its fix can be written down too, and this document has now met twice the case of a test that looked green while being empty, and written it down both times.</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The "needs" column was measured and corrected. The web app was recorded as "Node only" for a while; with the dependencies removed, twenty-five tests quietly disappeared, because three files stop at an import of </w:t>
            </w:r>
            <w:r>
              <w:rPr>
                <w:rFonts w:ascii="Consolas" w:hAnsi="Consolas" w:eastAsia="Consolas"/>
                <w:sz w:val="19"/>
              </w:rPr>
              <w:t>zustand</w:t>
            </w:r>
            <w:r>
              <w:rPr>
                <w:rFonts w:ascii="Times New Roman" w:hAnsi="Times New Roman" w:eastAsia="바탕"/>
                <w:sz w:val="20"/>
              </w:rPr>
              <w:t>. That measurement was taken when the total was lower than it is now and has not been repeated since, so this document does not know how many disappear today. Only the fact that they disappear, and the reason, are unchanged. Twenty-five tests disappear quietly and the rest finish green, so from the outside it looks like a pass. It is the same shape as what §5.4 records.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32]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33]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7" name="Picture 37"/>
                  <wp:cNvGraphicFramePr>
                    <a:graphicFrameLocks noChangeAspect="1"/>
                  </wp:cNvGraphicFramePr>
                  <a:graphic>
                    <a:graphicData uri="http://schemas.openxmlformats.org/drawingml/2006/picture">
                      <pic:pic>
                        <pic:nvPicPr>
                          <pic:cNvPr id="0" name="chart06_formative.png"/>
                          <pic:cNvPicPr/>
                        </pic:nvPicPr>
                        <pic:blipFill>
                          <a:blip r:embed="rId5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When 108 international standard pictograms were tested on 52 Filipino adults,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34]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8" name="Picture 38"/>
                  <wp:cNvGraphicFramePr>
                    <a:graphicFrameLocks noChangeAspect="1"/>
                  </wp:cNvGraphicFramePr>
                  <a:graphic>
                    <a:graphicData uri="http://schemas.openxmlformats.org/drawingml/2006/picture">
                      <pic:pic>
                        <pic:nvPicPr>
                          <pic:cNvPr id="0" name="fig18_pictogram_gate.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 xml:space="preserve">The checker already knows why something failed. Counting attempts without using that reason is the same as rolling the same die again, and each roll costs money. Instructions were therefore hooked to the reason. What follows is </w:t>
            </w:r>
            <w:r>
              <w:rPr>
                <w:rFonts w:ascii="Consolas" w:hAnsi="Consolas" w:eastAsia="Consolas"/>
                <w:sz w:val="19"/>
              </w:rPr>
              <w:t>engine/gen_glyphs.py</w:t>
            </w:r>
            <w:r>
              <w:rPr>
                <w:rFonts w:ascii="Times New Roman" w:hAnsi="Times New Roman" w:eastAsia="바탕"/>
                <w:sz w:val="20"/>
              </w:rPr>
              <w:t xml:space="preserve"> as it stands, with only the comments and the two guard lines above removed. The conditions match on Korean words because the checker writes its reasons in Korean: 뭉쳤다 is clotted, 가늘다 too thin, 개수 wrong count, 뜻이 안 맞는다 misread, 구멍/뭉갠다 holes closing up when shrunk.</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Design intent. The six branches push in six different directions. The last catches any reason the preceding five did not match.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35]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9" name="Picture 39"/>
                  <wp:cNvGraphicFramePr>
                    <a:graphicFrameLocks noChangeAspect="1"/>
                  </wp:cNvGraphicFramePr>
                  <a:graphic>
                    <a:graphicData uri="http://schemas.openxmlformats.org/drawingml/2006/picture">
                      <pic:pic>
                        <pic:nvPicPr>
                          <pic:cNvPr id="0" name="chart07_glyph_check.png"/>
                          <pic:cNvPicPr/>
                        </pic:nvPicPr>
                        <pic:blipFill>
                          <a:blip r:embed="rId56"/>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36]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allergen_tree_nut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37]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allergen_soy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38]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39]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40" name="Picture 40"/>
                  <wp:cNvGraphicFramePr>
                    <a:graphicFrameLocks noChangeAspect="1"/>
                  </wp:cNvGraphicFramePr>
                  <a:graphic>
                    <a:graphicData uri="http://schemas.openxmlformats.org/drawingml/2006/picture">
                      <pic:pic>
                        <pic:nvPicPr>
                          <pic:cNvPr id="0" name="chart08_model_mae.png"/>
                          <pic:cNvPicPr/>
                        </pic:nvPicPr>
                        <pic:blipFill>
                          <a:blip r:embed="rId5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40]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41]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after="80" w:line="276" w:lineRule="auto"/>
              <w:jc w:val="both"/>
            </w:pPr>
            <w:r>
              <w:rPr>
                <w:rFonts w:ascii="Times New Roman" w:hAnsi="Times New Roman" w:eastAsia="바탕"/>
                <w:sz w:val="20"/>
              </w:rPr>
              <w:t>What was asked about should be stated here as well. §1.13 sets out eleven conditions as the target of this app, and what this survey asked about is not all of them but the condition taken as the design standard, namely a person who cannot read. We did not ask how these screens would be for someone with attention deficit hyperactivity disorder or autism. One harshest condition was fixed and the questions were about that condition, and if the containment of §1.13 holds then those answers reach some way into the other conditions, but how far they reach is not something this survey measured.</w:t>
            </w:r>
          </w:p>
          <w:p>
            <w:pPr>
              <w:spacing w:after="80" w:line="276" w:lineRule="auto"/>
              <w:jc w:val="both"/>
            </w:pPr>
            <w:r>
              <w:rPr>
                <w:rFonts w:ascii="Times New Roman" w:hAnsi="Times New Roman" w:eastAsia="바탕"/>
                <w:sz w:val="20"/>
              </w:rPr>
              <w:t>The list was not drawn on that one condition alone, though. Two of the eight fields in Table 43 are AAC and special education, and adult literacy education, and among the 39 who actually responded, E. A. Draffan, retired speech and language therapist at Global Symbols; Raisa Kravchenko, Deputy Director of the All Ukrainian NGO Coalition for Persons with Intellectual Disabilities; Professor Youngmee Lee of the Department of Communication Disorders at Ewha Womans University; Professor Eunkyung Kim of special education at Kongju National University; and Myojeong Choi, Researcher, and Kyoungseo Park, Assistant Manager, of the Korea Disabled People's Development Institute all deal with intellectual disability, autism and communication disorders daily. Associate Professor Rahul Malhotra of Duke-NUS is a researcher on ageing. What they answered were questions about low-literacy users, but the people who wrote those answers already overlap with the conditions §1.13 widened to.</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42]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3 August 2026, 39 people had answered: 3.5% of those contacted, with 124 free-text responses alongside.</w:t>
            </w:r>
          </w:p>
          <w:p>
            <w:pPr>
              <w:spacing w:after="80" w:line="276" w:lineRule="auto"/>
              <w:jc w:val="both"/>
            </w:pPr>
            <w:r>
              <w:rPr>
                <w:rFonts w:ascii="Times New Roman" w:hAnsi="Times New Roman" w:eastAsia="바탕"/>
                <w:sz w:val="20"/>
              </w:rPr>
              <w:t>[Table 43] Composition of respondents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5_survey_who.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The composition of the 39 respondents. Field on the left, continent on the right. Pharmacy and nursing account for more than half at 22 people, and these two are the centre of the five segments we judged qualified to view the demonstration and rule on patient comprehension. That Asia accounts for 27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22 countries across five continents, with 20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44] The 39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(13)</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(7)</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Youngchan Kim</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Seunghoon Jung</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Korea · China · Japan · Middle East</w:t>
                  </w:r>
                </w:p>
              </w:tc>
            </w:tr>
            <w:tr>
              <w:tc>
                <w:tcPr>
                  <w:tcW w:type="dxa" w:w="2429"/>
                </w:tcPr>
                <w:p>
                  <w:r>
                    <w:rPr>
                      <w:rFonts w:ascii="Times New Roman" w:hAnsi="Times New Roman" w:eastAsia="바탕"/>
                      <w:b/>
                      <w:sz w:val="18"/>
                    </w:rPr>
                    <w:t>Other (10)</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Hungary</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45]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46]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0_survey.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47]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Having written that in an earlier version, four more responses did in fact arrive. The judgement question goes only to the five qualified segments, and all four of the new respondents fall outside them, so the denominator of 25 was unchanged and p did not move from 0.0078. The risk we flagged did not materialise this time; it has not gone away.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33 of the 39 respondents, 124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Pasteur Institute of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3" name="Picture 43"/>
                  <wp:cNvGraphicFramePr>
                    <a:graphicFrameLocks noChangeAspect="1"/>
                  </wp:cNvGraphicFramePr>
                  <a:graphic>
                    <a:graphicData uri="http://schemas.openxmlformats.org/drawingml/2006/picture">
                      <pic:pic>
                        <pic:nvPicPr>
                          <pic:cNvPr id="0" name="chart21_handwriting.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 xml:space="preserve">      /*</w:t>
              <w:br/>
              <w:t xml:space="preserve">        It was 700. Right there, **prescriptions with many medicines were failing</w:t>
              <w:br/>
              <w:t xml:space="preserve">        outright.**</w:t>
              <w:br/>
              <w:br/>
              <w:t xml:space="preserve">        It surfaced while measuring on 60 whole Bangladeshi prescription pages.</w:t>
              <w:br/>
              <w:t xml:space="preserve">        Eleven failed, and not at random — every one of them listed 5 to 12</w:t>
              <w:br/>
              <w:t xml:space="preserve">        medicines, and it was the same pages every time. The answer was cut off at</w:t>
              <w:br/>
              <w:t xml:space="preserve">        700 tokens (`stop_reason: max_tokens`), the cut JSON failed to parse, the</w:t>
              <w:br/>
              <w:t xml:space="preserve">        failure was caught above, and the screen said "could not read it."</w:t>
              <w:br/>
              <w:t xml:space="preserve">        The actual tail of one admission order sheet:</w:t>
              <w:br/>
              <w:t xml:space="preserve">        `…urinary catheterization. 20.` — cut mid-sentence.</w:t>
              <w:br/>
              <w:br/>
              <w:t xml:space="preserve">        **It was failing against exactly the people who need it most.** Someone</w:t>
              <w:br/>
              <w:t xml:space="preserve">        taking ten medicines needs this app most, and theirs is precisely the</w:t>
              <w:br/>
              <w:t xml:space="preserve">        prescription that does not get read.</w:t>
              <w:br/>
              <w:br/>
              <w:t xml:space="preserve">        A nutrition answer fits in 700, but dosing instructions grow with the</w:t>
              <w:br/>
              <w:t xml:space="preserve">        number of medicines. Give it room — short answers end short anyway</w:t>
              <w:br/>
              <w:t xml:space="preserve">        (end_turn), so this value does not raise the cost.</w:t>
              <w:br/>
              <w:t xml:space="preserve">      */</w:t>
              <w:br/>
              <w:t xml:space="preserve">      max_tokens: 3000,</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4" name="Picture 44"/>
                  <wp:cNvGraphicFramePr>
                    <a:graphicFrameLocks noChangeAspect="1"/>
                  </wp:cNvGraphicFramePr>
                  <a:graphic>
                    <a:graphicData uri="http://schemas.openxmlformats.org/drawingml/2006/picture">
                      <pic:pic>
                        <pic:nvPicPr>
                          <pic:cNvPr id="0" name="chart22_pageeval.png"/>
                          <pic:cNvPicPr/>
                        </pic:nvPicPr>
                        <pic:blipFill>
                          <a:blip r:embed="rId61"/>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43.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One more response reached the same place from another angle. Asked whether speech can replace the written explanation, Barbara Báldy of Semmelweis University answered:</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The first half agrees with us and the second does not. That text is unnecessary for someone who cannot read it is the premise of this app, but patient safety protocols call for verbal, visual and written instructions together. We removed the text. §2.1 records that as removing a barrier; this response reads the same decision as a departure from protocol.</w:t>
            </w:r>
          </w:p>
          <w:p>
            <w:pPr>
              <w:spacing w:after="80" w:line="276" w:lineRule="auto"/>
              <w:jc w:val="both"/>
            </w:pPr>
            <w:r>
              <w:rPr>
                <w:rFonts w:ascii="Times New Roman" w:hAnsi="Times New Roman" w:eastAsia="바탕"/>
                <w:sz w:val="20"/>
              </w:rPr>
              <w:t>Both readings can be true at once. Where text remains, a literate carer or pharmacist can check it, and that is presumably why the protocols ask for all three. This app moved that checking path into the teach-back of §3.8 and the provider screen of §4.4, but whether what we moved satisfies the protocol is not ours to judge. This is a reason the field evaluation of §5.10 needs someone who knows clinical protocol in it.</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Pasteur Institute of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48]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5" name="Picture 45"/>
                  <wp:cNvGraphicFramePr>
                    <a:graphicFrameLocks noChangeAspect="1"/>
                  </wp:cNvGraphicFramePr>
                  <a:graphic>
                    <a:graphicData uri="http://schemas.openxmlformats.org/drawingml/2006/picture">
                      <pic:pic>
                        <pic:nvPicPr>
                          <pic:cNvPr id="0" name="chart18_field_answers.png"/>
                          <pic:cNvPicPr/>
                        </pic:nvPicPr>
                        <pic:blipFill>
                          <a:blip r:embed="rId6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and pharmacist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allergen_tree_nut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21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007959" cy="4754880"/>
                  <wp:docPr id="46" name="Picture 46"/>
                  <wp:cNvGraphicFramePr>
                    <a:graphicFrameLocks noChangeAspect="1"/>
                  </wp:cNvGraphicFramePr>
                  <a:graphic>
                    <a:graphicData uri="http://schemas.openxmlformats.org/drawingml/2006/picture">
                      <pic:pic>
                        <pic:nvPicPr>
                          <pic:cNvPr id="0" name="fig14_language.png"/>
                          <pic:cNvPicPr/>
                        </pic:nvPicPr>
                        <pic:blipFill>
                          <a:blip r:embed="rId63"/>
                          <a:stretch>
                            <a:fillRect/>
                          </a:stretch>
                        </pic:blipFill>
                        <pic:spPr>
                          <a:xfrm>
                            <a:off x="0" y="0"/>
                            <a:ext cx="1007959"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r>
              <w:rPr>
                <w:rFonts w:ascii="Times New Roman" w:hAnsi="Times New Roman" w:eastAsia="바탕"/>
                <w:color w:val="606068"/>
                <w:sz w:val="18"/>
              </w:rPr>
              <w:t xml:space="preserve"> The language picker in Settings, captured from the deployment (</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Pasteur Institute of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before the survey to 589 (Table 31).</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Thirty-nine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percentage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48, and it is why this section presents the free text next to the multiple choice.</w:t>
            </w:r>
          </w:p>
          <w:p>
            <w:pPr>
              <w:spacing w:after="80" w:line="276" w:lineRule="auto"/>
              <w:jc w:val="both"/>
            </w:pPr>
            <w:r>
              <w:rPr>
                <w:rFonts w:ascii="Times New Roman" w:hAnsi="Times New Roman" w:eastAsia="바탕"/>
                <w:sz w:val="20"/>
              </w:rPr>
              <w:t>A heavier flaw surfaced as the fourth wave of responses came in. What the demonstration attached to the survey shows is a prescription photograph and the pictograms and speech produced from it; the app's own screens are not in it. Youngchan Kim of Kyung Hee Cyber University gave the same answer to three questions:</w:t>
            </w:r>
          </w:p>
          <w:p>
            <w:pPr>
              <w:spacing w:after="40" w:line="276" w:lineRule="auto"/>
              <w:ind w:left="403"/>
            </w:pPr>
            <w:r>
              <w:rPr>
                <w:rFonts w:ascii="Times New Roman" w:hAnsi="Times New Roman" w:eastAsia="바탕"/>
                <w:i/>
                <w:color w:val="606068"/>
                <w:sz w:val="19"/>
              </w:rPr>
              <w:t>"I have neither seen nor used the system. (There is no system in the email.)"</w:t>
            </w:r>
          </w:p>
          <w:p>
            <w:pPr>
              <w:spacing w:after="180" w:line="276" w:lineRule="auto"/>
              <w:ind w:left="403"/>
            </w:pPr>
            <w:r>
              <w:rPr>
                <w:rFonts w:ascii="Times New Roman" w:hAnsi="Times New Roman" w:eastAsia="바탕"/>
                <w:i w:val="0"/>
                <w:color w:val="606068"/>
                <w:sz w:val="19"/>
              </w:rPr>
              <w:t>(Youngchan Kim, Kyung Hee Cyber University)</w:t>
            </w:r>
          </w:p>
          <w:p>
            <w:pPr>
              <w:spacing w:after="80" w:line="276" w:lineRule="auto"/>
              <w:jc w:val="both"/>
            </w:pPr>
            <w:r>
              <w:rPr>
                <w:rFonts w:ascii="Times New Roman" w:hAnsi="Times New Roman" w:eastAsia="바탕"/>
                <w:sz w:val="20"/>
              </w:rPr>
              <w:t>Seunghoon Jung of the Korea Institute of Design Promotion stopped at the same place.</w:t>
            </w:r>
          </w:p>
          <w:p>
            <w:pPr>
              <w:spacing w:after="40" w:line="276" w:lineRule="auto"/>
              <w:ind w:left="403"/>
            </w:pPr>
            <w:r>
              <w:rPr>
                <w:rFonts w:ascii="Times New Roman" w:hAnsi="Times New Roman" w:eastAsia="바탕"/>
                <w:i/>
                <w:color w:val="606068"/>
                <w:sz w:val="19"/>
              </w:rPr>
              <w:t>"There is no material at all to judge from (no working screens of SnapCare, for instance), so I cannot judge."</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Both are in the HCI and design segment. We asked people whose work is judging screens to judge without showing them a screen, and this is a flaw not in the questions but in what we chose to show. We put in only the pictograms, judging them the core of this work, and that decision made one segment's answers unusable. It differs in kind from the judgement question going to only five segments: that was a filter on qualification, this was withholding the material from people who were qualified.</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39, 30 answered on a desktop, 3 on mobile and 2 on a tablet, and for 4 no record remains.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49]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3.9</w:t>
                  </w:r>
                  <w:r>
                    <w:rPr>
                      <w:rFonts w:ascii="Times New Roman" w:hAnsi="Times New Roman" w:eastAsia="바탕"/>
                      <w:sz w:val="18"/>
                    </w:rPr>
                    <w:t xml:space="preserve"> Reduce deaths and illnesses from hazardous substances</w:t>
                  </w:r>
                </w:p>
              </w:tc>
              <w:tc>
                <w:tcPr>
                  <w:tcW w:type="dxa" w:w="4857"/>
                </w:tcPr>
                <w:p>
                  <w:r>
                    <w:rPr>
                      <w:rFonts w:ascii="Times New Roman" w:hAnsi="Times New Roman" w:eastAsia="바탕"/>
                      <w:sz w:val="18"/>
                    </w:rPr>
                    <w:t>Dose and dose time are conveyed by picture, which reduces wrong amounts, and a paired box keeps the medicine inside and releases it only within a dose window. We have measured nothing against this target, however</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Only 3.9 in that table is of a different character, so it is dealt with first. Indicator 3.9.3 of that target is the mortality rate attributed to unintentional poisoning, and overdosing on medicines falls within it. There are two routes by which this app reaches that place, and both are indirect. One is that the single dose and the dose time are conveyed as pictures rather than letters, which reduces wrong amounts (§2.2). The other is that a paired box keeps the medicine inside and releases it only within a dose window (§4.3). What we did not do belongs here as well. No child lock was built, and there is no morpheme in the set meaning keep out of reach of children. And for this target there is no measured figure of the kind §5.1 produced. This row states a direction of contribution rather than a measured one.</w:t>
            </w: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7" name="Picture 47"/>
                  <wp:cNvGraphicFramePr>
                    <a:graphicFrameLocks noChangeAspect="1"/>
                  </wp:cNvGraphicFramePr>
                  <a:graphic>
                    <a:graphicData uri="http://schemas.openxmlformats.org/drawingml/2006/picture">
                      <pic:pic>
                        <pic:nvPicPr>
                          <pic:cNvPr id="0" name="chart14_amr_region.png"/>
                          <pic:cNvPicPr/>
                        </pic:nvPicPr>
                        <pic:blipFill>
                          <a:blip r:embed="rId6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47]</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We did not write that item ourselves. The survey gave us the same thing in one sentence. Answering "could a patient who cannot read take their medicine correctly, alone, with only these screens", Associate Professor Rahul Malhotra of the Duke-NUS Medical School wrote:</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(Associate Professor Rahul Malhotra, Duke-NUS Medical School)</w:t>
            </w:r>
          </w:p>
          <w:p>
            <w:pPr>
              <w:spacing w:after="80" w:line="276" w:lineRule="auto"/>
              <w:jc w:val="both"/>
            </w:pPr>
            <w:r>
              <w:rPr>
                <w:rFonts w:ascii="Times New Roman" w:hAnsi="Times New Roman" w:eastAsia="바탕"/>
                <w:sz w:val="20"/>
              </w:rPr>
              <w:t>Eight words, saying what the first item of this section says. Between what we measured by machine in §5.2 and what that sentence requires, the people are missing, and which of us named the gap first does not matter. That we pointed at the same place does.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10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Twelfth, whether taking the photograph is possible was assumed and not measured. This app begins with one photograph, and we assumed that taking it is possible for anyone. It is the point Yonghan Lee, Senior Manager at the Korea Craft and Design Foundation, raised in §1.5: that blind people may be the largest group among those who cannot read, and that for them the act of photographing is itself a barrier. This app did not take blind users as its target, so it is out of scope rather than a failure. But unless the scope is written down, the "three layers overlaid" of §2.1 reads as though it required no sight. How far a screen reader and assisted capture can be joined to this is left to §5.10.</w:t>
            </w:r>
          </w:p>
          <w:p>
            <w:pPr>
              <w:spacing w:after="80" w:line="276" w:lineRule="auto"/>
              <w:jc w:val="both"/>
            </w:pPr>
            <w:r>
              <w:rPr>
                <w:rFonts w:ascii="Times New Roman" w:hAnsi="Times New Roman" w:eastAsia="바탕"/>
                <w:sz w:val="20"/>
              </w:rPr>
              <w:t>Thirteenth, nothing was measured under the widened conditions. §1.13 sets out eleven conditions as the target of this app, and four of them rest on a shared mechanism alone: dyslexia, Alzheimer's disease and memory disorders, autism and intellectual disability, and misuse by children. We have never had a person with those conditions use this app, and the expert survey of §5.7 asked about the single condition taken as the design standard. A shared mechanism speaks to the possibility that the same screen works, not to its having worked. What makes this different in kind from the twelve items above is that it is not something we failed to measure but the scope we have newly claimed. The claim widened, so what has to be measured widened with it, and it has not been measured yet.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The plans were not drawn up among ourselves. Points from the last box of the survey went into the table, and one of them is a single line from Professor Sung-il Cho of Seoul National University.</w:t>
            </w:r>
          </w:p>
          <w:p>
            <w:pPr>
              <w:spacing w:after="40" w:line="276" w:lineRule="auto"/>
              <w:ind w:left="403"/>
            </w:pPr>
            <w:r>
              <w:rPr>
                <w:rFonts w:ascii="Times New Roman" w:hAnsi="Times New Roman" w:eastAsia="바탕"/>
                <w:i/>
                <w:color w:val="606068"/>
                <w:sz w:val="19"/>
              </w:rPr>
              <w:t>"A plan is needed to reflect the fact that circumstances differ by country."</w:t>
            </w:r>
          </w:p>
          <w:p>
            <w:pPr>
              <w:spacing w:after="180" w:line="276" w:lineRule="auto"/>
              <w:ind w:left="403"/>
            </w:pPr>
            <w:r>
              <w:rPr>
                <w:rFonts w:ascii="Times New Roman" w:hAnsi="Times New Roman" w:eastAsia="바탕"/>
                <w:i w:val="0"/>
                <w:color w:val="606068"/>
                <w:sz w:val="19"/>
              </w:rPr>
              <w:t>(Professor Sung-il Cho, Seoul National University)</w:t>
            </w:r>
          </w:p>
          <w:p>
            <w:pPr>
              <w:spacing w:after="80" w:line="276" w:lineRule="auto"/>
              <w:jc w:val="both"/>
            </w:pPr>
            <w:r>
              <w:rPr>
                <w:rFonts w:ascii="Times New Roman" w:hAnsi="Times New Roman" w:eastAsia="바탕"/>
                <w:sz w:val="20"/>
              </w:rPr>
              <w:t>What stage 6 would measure belongs here as well. The direct approach is to compare medication-taking over four weeks with and without this app, and that requires a control group, a period and ethical review, so it is out of our reach. What we can do is give one task and measure whether it was carried through and how long it took: photograph one prescription and say what is to be taken today, at what time and how many, which is the same kind of measurement the studies cited in §1.10 used. What such a measurement measures is whether the screen arrived, not whether the person took the medicine, and that distinction is the same one set down at the head of §5.7.</w:t>
            </w:r>
          </w:p>
          <w:p>
            <w:pPr>
              <w:spacing w:after="80" w:line="276" w:lineRule="auto"/>
              <w:jc w:val="both"/>
            </w:pPr>
            <w:r>
              <w:rPr>
                <w:rFonts w:ascii="Times New Roman" w:hAnsi="Times New Roman" w:eastAsia="바탕"/>
                <w:sz w:val="20"/>
              </w:rPr>
              <w:t>That one line separates stages 3 and 5 of the table below. Running the field evaluation of stage 3 in one country yields that country's answer only, and Figure 10 in §1.8 has already shown the same internationally standardised symbol going from 94% in one country to 8% in another. Table 6 in the same section likewise shows the highest pass rate belonging to a set made locally and tested on local people. So the evaluation is split by country, and building culturally adapted versions of the morphemes was set as stage 5. That the 39 respondents work in 22 countries is itself the first data for that plan.</w:t>
            </w:r>
          </w:p>
          <w:p>
            <w:pPr>
              <w:spacing w:after="80" w:line="276" w:lineRule="auto"/>
              <w:jc w:val="both"/>
            </w:pPr>
            <w:r>
              <w:rPr>
                <w:rFonts w:ascii="Times New Roman" w:hAnsi="Times New Roman" w:eastAsia="바탕"/>
                <w:sz w:val="20"/>
              </w:rPr>
              <w:t>[Table 50]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39.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Use testing under the widened conditions</w:t>
                  </w:r>
                </w:p>
              </w:tc>
              <w:tc>
                <w:tcPr>
                  <w:tcW w:type="dxa" w:w="3238"/>
                </w:tcPr>
                <w:p>
                  <w:r>
                    <w:rPr>
                      <w:rFonts w:ascii="Times New Roman" w:hAnsi="Times New Roman" w:eastAsia="바탕"/>
                      <w:sz w:val="18"/>
                    </w:rPr>
                    <w:t>Answers the four conditions in Table 7 of §1.13 and the thirteenth item of §5.9. The first question is whether the routine screen of §3.9 in fact works for users carrying a load on executive function</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124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 Positions and affiliations are likewise as the respondent wrote them. Table 43 uses what we confirmed against the institution's own faculty listing when the list was built, so it is sometimes more specific: respondent Hangil Lee is "Professor · Ewha Womans University" here and "Associate Professor · College of Pharmacy, Ewha Womans University" there.</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w:t>
                  </w:r>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w:t>
                  </w:r>
                  <w:hyperlink r:id="rId65">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6">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7">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8">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9">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 xml:space="preserve"> — pictogram information for pharmacists worldwide can be found here.</w:t>
                  </w:r>
                  <w:hyperlink r:id="rId70">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There is no material at all to judge from (no working screens of SnapCare, for instance), so I cannot judge.</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In Korea I do not think there are many adults whose literacy is low enough that they cannot understand Hangul.</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In Korea I do not think there are many adults whose literacy is low enough that they cannot understand Hangul.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hyperlink" Target="https://huggingface.co/spaces/Supertone/supertonic-3" TargetMode="External"/><Relationship Id="rId66" Type="http://schemas.openxmlformats.org/officeDocument/2006/relationships/hyperlink" Target="https://wisconsinliteracy.org/health-literacy/programs/health-literacy-programs/lets-talk-about-medicines/lets-talk-about-medicines-workbooks/special-instructions.html" TargetMode="External"/><Relationship Id="rId67" Type="http://schemas.openxmlformats.org/officeDocument/2006/relationships/hyperlink" Target="https://www.w3.org/TR/wcag2mobile-22/" TargetMode="External"/><Relationship Id="rId68" Type="http://schemas.openxmlformats.org/officeDocument/2006/relationships/hyperlink" Target="https://pubmed.ncbi.nlm.nih.gov/37214531/" TargetMode="External"/><Relationship Id="rId69" Type="http://schemas.openxmlformats.org/officeDocument/2006/relationships/hyperlink" Target="https://www.sciencedirect.com/science/article/pii/S2213398425002040" TargetMode="External"/><Relationship Id="rId70"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2026-08-04T10:11:22Z</dcterms:modified>
  <cp:contentStatus>src:3f00b3ce1318</cp:contentStatus>
</cp:coreProperties>
</file>