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목차</w:t>
            </w:r>
          </w:p>
          <w:p>
            <w:pPr>
              <w:spacing w:after="80" w:line="276" w:lineRule="auto"/>
              <w:jc w:val="both"/>
            </w:pPr>
            <w:r>
              <w:rPr>
                <w:rFonts w:ascii="Times New Roman" w:hAnsi="Times New Roman" w:eastAsia="바탕"/>
                <w:sz w:val="20"/>
              </w:rPr>
              <w:t>쪽 번호를 적지 않았다. 절 번호로 찾는다.</w:t>
            </w:r>
          </w:p>
          <w:p>
            <w:pPr>
              <w:spacing w:after="80" w:line="276" w:lineRule="auto"/>
              <w:jc w:val="both"/>
            </w:pPr>
            <w:r>
              <w:rPr>
                <w:rFonts w:ascii="Times New Roman" w:hAnsi="Times New Roman" w:eastAsia="바탕"/>
                <w:b/>
                <w:sz w:val="20"/>
              </w:rPr>
              <w:t>목차</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비문해 인구의 규모와 추세</w:t>
            </w:r>
          </w:p>
          <w:p>
            <w:pPr>
              <w:spacing w:after="80" w:line="276" w:lineRule="auto"/>
              <w:jc w:val="both"/>
            </w:pPr>
            <w:r>
              <w:rPr>
                <w:rFonts w:ascii="Times New Roman" w:hAnsi="Times New Roman" w:eastAsia="바탕"/>
                <w:sz w:val="20"/>
              </w:rPr>
              <w:t>1.2  건강 문해력의 분포</w:t>
            </w:r>
          </w:p>
          <w:p>
            <w:pPr>
              <w:spacing w:after="80" w:line="276" w:lineRule="auto"/>
              <w:jc w:val="both"/>
            </w:pPr>
            <w:r>
              <w:rPr>
                <w:rFonts w:ascii="Times New Roman" w:hAnsi="Times New Roman" w:eastAsia="바탕"/>
                <w:sz w:val="20"/>
              </w:rPr>
              <w:t>1.3  복약 오류의 유형과 대가</w:t>
            </w:r>
          </w:p>
          <w:p>
            <w:pPr>
              <w:spacing w:after="80" w:line="276" w:lineRule="auto"/>
              <w:jc w:val="both"/>
            </w:pPr>
            <w:r>
              <w:rPr>
                <w:rFonts w:ascii="Times New Roman" w:hAnsi="Times New Roman" w:eastAsia="바탕"/>
                <w:sz w:val="20"/>
              </w:rPr>
              <w:t>1.4  국제 정책과 그 사각지대</w:t>
            </w:r>
          </w:p>
          <w:p>
            <w:pPr>
              <w:spacing w:after="80" w:line="276" w:lineRule="auto"/>
              <w:jc w:val="both"/>
            </w:pPr>
            <w:r>
              <w:rPr>
                <w:rFonts w:ascii="Times New Roman" w:hAnsi="Times New Roman" w:eastAsia="바탕"/>
                <w:sz w:val="20"/>
              </w:rPr>
              <w:t>1.5  미진단 인구라는 전제 조건</w:t>
            </w:r>
          </w:p>
          <w:p>
            <w:pPr>
              <w:spacing w:after="80" w:line="276" w:lineRule="auto"/>
              <w:jc w:val="both"/>
            </w:pPr>
            <w:r>
              <w:rPr>
                <w:rFonts w:ascii="Times New Roman" w:hAnsi="Times New Roman" w:eastAsia="바탕"/>
                <w:sz w:val="20"/>
              </w:rPr>
              <w:t>1.6  전달 매체의 보급 현황</w:t>
            </w:r>
          </w:p>
          <w:p>
            <w:pPr>
              <w:spacing w:after="80" w:line="276" w:lineRule="auto"/>
              <w:jc w:val="both"/>
            </w:pPr>
            <w:r>
              <w:rPr>
                <w:rFonts w:ascii="Times New Roman" w:hAnsi="Times New Roman" w:eastAsia="바탕"/>
                <w:sz w:val="20"/>
              </w:rPr>
              <w:t>1.7  고령화의 규모와 지리적 이동</w:t>
            </w:r>
          </w:p>
          <w:p>
            <w:pPr>
              <w:spacing w:after="80" w:line="276" w:lineRule="auto"/>
              <w:jc w:val="both"/>
            </w:pPr>
            <w:r>
              <w:rPr>
                <w:rFonts w:ascii="Times New Roman" w:hAnsi="Times New Roman" w:eastAsia="바탕"/>
                <w:sz w:val="20"/>
              </w:rPr>
              <w:t>1.8  시각적 전달의 효과와 한계</w:t>
            </w:r>
          </w:p>
          <w:p>
            <w:pPr>
              <w:spacing w:after="80" w:line="276" w:lineRule="auto"/>
              <w:jc w:val="both"/>
            </w:pPr>
            <w:r>
              <w:rPr>
                <w:rFonts w:ascii="Times New Roman" w:hAnsi="Times New Roman" w:eastAsia="바탕"/>
                <w:sz w:val="20"/>
              </w:rPr>
              <w:t>1.9  기존 픽토그램 표준의 구조적 제약</w:t>
            </w:r>
          </w:p>
          <w:p>
            <w:pPr>
              <w:spacing w:after="80" w:line="276" w:lineRule="auto"/>
              <w:jc w:val="both"/>
            </w:pPr>
            <w:r>
              <w:rPr>
                <w:rFonts w:ascii="Times New Roman" w:hAnsi="Times New Roman" w:eastAsia="바탕"/>
                <w:sz w:val="20"/>
              </w:rPr>
              <w:t>1.10  저문해 인터페이스 선행연구</w:t>
            </w:r>
          </w:p>
          <w:p>
            <w:pPr>
              <w:spacing w:after="80" w:line="276" w:lineRule="auto"/>
              <w:jc w:val="both"/>
            </w:pPr>
            <w:r>
              <w:rPr>
                <w:rFonts w:ascii="Times New Roman" w:hAnsi="Times New Roman" w:eastAsia="바탕"/>
                <w:sz w:val="20"/>
              </w:rPr>
              <w:t>1.11  문제의 종합</w:t>
            </w:r>
          </w:p>
          <w:p>
            <w:pPr>
              <w:spacing w:after="80" w:line="276" w:lineRule="auto"/>
              <w:jc w:val="both"/>
            </w:pPr>
            <w:r>
              <w:rPr>
                <w:rFonts w:ascii="Times New Roman" w:hAnsi="Times New Roman" w:eastAsia="바탕"/>
                <w:sz w:val="20"/>
              </w:rPr>
              <w:t>1.12  우리 두 나라에서 이 문제가 어떻게 보이는가</w:t>
            </w:r>
          </w:p>
          <w:p>
            <w:pPr>
              <w:spacing w:after="80" w:line="276" w:lineRule="auto"/>
              <w:jc w:val="both"/>
            </w:pPr>
            <w:r>
              <w:rPr>
                <w:rFonts w:ascii="Times New Roman" w:hAnsi="Times New Roman" w:eastAsia="바탕"/>
                <w:sz w:val="20"/>
              </w:rPr>
              <w:t>1.13  대상의 범위와 설계 기준</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설계 원칙</w:t>
            </w:r>
          </w:p>
          <w:p>
            <w:pPr>
              <w:spacing w:after="80" w:line="276" w:lineRule="auto"/>
              <w:jc w:val="both"/>
            </w:pPr>
            <w:r>
              <w:rPr>
                <w:rFonts w:ascii="Times New Roman" w:hAnsi="Times New Roman" w:eastAsia="바탕"/>
                <w:sz w:val="20"/>
              </w:rPr>
              <w:t>2.2  픽토그램 합성 엔진 SIGIL</w:t>
            </w:r>
          </w:p>
          <w:p>
            <w:pPr>
              <w:spacing w:after="80" w:line="276" w:lineRule="auto"/>
              <w:jc w:val="both"/>
            </w:pPr>
            <w:r>
              <w:rPr>
                <w:rFonts w:ascii="Times New Roman" w:hAnsi="Times New Roman" w:eastAsia="바탕"/>
                <w:sz w:val="20"/>
              </w:rPr>
              <w:t>2.3  음성 지시 재구성 엔진 VOCA</w:t>
            </w:r>
          </w:p>
          <w:p>
            <w:pPr>
              <w:spacing w:after="80" w:line="276" w:lineRule="auto"/>
              <w:jc w:val="both"/>
            </w:pPr>
            <w:r>
              <w:rPr>
                <w:rFonts w:ascii="Times New Roman" w:hAnsi="Times New Roman" w:eastAsia="바탕"/>
                <w:sz w:val="20"/>
              </w:rPr>
              <w:t>2.4  개인별 판정 기준의 유도</w:t>
            </w:r>
          </w:p>
          <w:p>
            <w:pPr>
              <w:spacing w:after="80" w:line="276" w:lineRule="auto"/>
              <w:jc w:val="both"/>
            </w:pPr>
            <w:r>
              <w:rPr>
                <w:rFonts w:ascii="Times New Roman" w:hAnsi="Times New Roman" w:eastAsia="바탕"/>
                <w:sz w:val="20"/>
              </w:rPr>
              <w:t>2.5  조건 수집과 알레르기 추론</w:t>
            </w:r>
          </w:p>
          <w:p>
            <w:pPr>
              <w:spacing w:after="80" w:line="276" w:lineRule="auto"/>
              <w:jc w:val="both"/>
            </w:pPr>
            <w:r>
              <w:rPr>
                <w:rFonts w:ascii="Times New Roman" w:hAnsi="Times New Roman" w:eastAsia="바탕"/>
                <w:sz w:val="20"/>
              </w:rPr>
              <w:t>2.6  기존 접근과의 차별점</w:t>
            </w:r>
          </w:p>
          <w:p>
            <w:pPr>
              <w:spacing w:after="80" w:line="276" w:lineRule="auto"/>
              <w:jc w:val="both"/>
            </w:pPr>
            <w:r>
              <w:rPr>
                <w:rFonts w:ascii="Times New Roman" w:hAnsi="Times New Roman" w:eastAsia="바탕"/>
                <w:sz w:val="20"/>
              </w:rPr>
              <w:t>2.7  핵심 기능 셋</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전체 흐름</w:t>
            </w:r>
          </w:p>
          <w:p>
            <w:pPr>
              <w:spacing w:after="80" w:line="276" w:lineRule="auto"/>
              <w:jc w:val="both"/>
            </w:pPr>
            <w:r>
              <w:rPr>
                <w:rFonts w:ascii="Times New Roman" w:hAnsi="Times New Roman" w:eastAsia="바탕"/>
                <w:sz w:val="20"/>
              </w:rPr>
              <w:t>3.2  첫 실행과 프로필 설정</w:t>
            </w:r>
          </w:p>
          <w:p>
            <w:pPr>
              <w:spacing w:after="80" w:line="276" w:lineRule="auto"/>
              <w:jc w:val="both"/>
            </w:pPr>
            <w:r>
              <w:rPr>
                <w:rFonts w:ascii="Times New Roman" w:hAnsi="Times New Roman" w:eastAsia="바탕"/>
                <w:sz w:val="20"/>
              </w:rPr>
              <w:t>3.3  촬영에서 판정까지</w:t>
            </w:r>
          </w:p>
          <w:p>
            <w:pPr>
              <w:spacing w:after="80" w:line="276" w:lineRule="auto"/>
              <w:jc w:val="both"/>
            </w:pPr>
            <w:r>
              <w:rPr>
                <w:rFonts w:ascii="Times New Roman" w:hAnsi="Times New Roman" w:eastAsia="바탕"/>
                <w:sz w:val="20"/>
              </w:rPr>
              <w:t>3.4  인식에 실패했을 때의 경로</w:t>
            </w:r>
          </w:p>
          <w:p>
            <w:pPr>
              <w:spacing w:after="80" w:line="276" w:lineRule="auto"/>
              <w:jc w:val="both"/>
            </w:pPr>
            <w:r>
              <w:rPr>
                <w:rFonts w:ascii="Times New Roman" w:hAnsi="Times New Roman" w:eastAsia="바탕"/>
                <w:sz w:val="20"/>
              </w:rPr>
              <w:t>3.5  음성 접근 경로</w:t>
            </w:r>
          </w:p>
          <w:p>
            <w:pPr>
              <w:spacing w:after="80" w:line="276" w:lineRule="auto"/>
              <w:jc w:val="both"/>
            </w:pPr>
            <w:r>
              <w:rPr>
                <w:rFonts w:ascii="Times New Roman" w:hAnsi="Times New Roman" w:eastAsia="바탕"/>
                <w:sz w:val="20"/>
              </w:rPr>
              <w:t>3.6  기기 공유와 구성원 분리</w:t>
            </w:r>
          </w:p>
          <w:p>
            <w:pPr>
              <w:spacing w:after="80" w:line="276" w:lineRule="auto"/>
              <w:jc w:val="both"/>
            </w:pPr>
            <w:r>
              <w:rPr>
                <w:rFonts w:ascii="Times New Roman" w:hAnsi="Times New Roman" w:eastAsia="바탕"/>
                <w:sz w:val="20"/>
              </w:rPr>
              <w:t>3.7  색 이외의 전달 층</w:t>
            </w:r>
          </w:p>
          <w:p>
            <w:pPr>
              <w:spacing w:after="80" w:line="276" w:lineRule="auto"/>
              <w:jc w:val="both"/>
            </w:pPr>
            <w:r>
              <w:rPr>
                <w:rFonts w:ascii="Times New Roman" w:hAnsi="Times New Roman" w:eastAsia="바탕"/>
                <w:sz w:val="20"/>
              </w:rPr>
              <w:t>3.8  알아들었는지 되짚는 단계</w:t>
            </w:r>
          </w:p>
          <w:p>
            <w:pPr>
              <w:spacing w:after="80" w:line="276" w:lineRule="auto"/>
              <w:jc w:val="both"/>
            </w:pPr>
            <w:r>
              <w:rPr>
                <w:rFonts w:ascii="Times New Roman" w:hAnsi="Times New Roman" w:eastAsia="바탕"/>
                <w:sz w:val="20"/>
              </w:rPr>
              <w:t>3.9  복약 루틴과 지난 넉 주</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구성 개요</w:t>
            </w:r>
          </w:p>
          <w:p>
            <w:pPr>
              <w:spacing w:after="80" w:line="276" w:lineRule="auto"/>
              <w:jc w:val="both"/>
            </w:pPr>
            <w:r>
              <w:rPr>
                <w:rFonts w:ascii="Times New Roman" w:hAnsi="Times New Roman" w:eastAsia="바탕"/>
                <w:sz w:val="20"/>
              </w:rPr>
              <w:t>4.2  판정 엔진의 물리 검사</w:t>
            </w:r>
          </w:p>
          <w:p>
            <w:pPr>
              <w:spacing w:after="80" w:line="276" w:lineRule="auto"/>
              <w:jc w:val="both"/>
            </w:pPr>
            <w:r>
              <w:rPr>
                <w:rFonts w:ascii="Times New Roman" w:hAnsi="Times New Roman" w:eastAsia="바탕"/>
                <w:sz w:val="20"/>
              </w:rPr>
              <w:t>4.3  하드웨어 연동 경로의 선정</w:t>
            </w:r>
          </w:p>
          <w:p>
            <w:pPr>
              <w:spacing w:after="80" w:line="276" w:lineRule="auto"/>
              <w:jc w:val="both"/>
            </w:pPr>
            <w:r>
              <w:rPr>
                <w:rFonts w:ascii="Times New Roman" w:hAnsi="Times New Roman" w:eastAsia="바탕"/>
                <w:sz w:val="20"/>
              </w:rPr>
              <w:t>4.4  종이 서식 판독</w:t>
            </w:r>
          </w:p>
          <w:p>
            <w:pPr>
              <w:spacing w:after="80" w:line="276" w:lineRule="auto"/>
              <w:jc w:val="both"/>
            </w:pPr>
            <w:r>
              <w:rPr>
                <w:rFonts w:ascii="Times New Roman" w:hAnsi="Times New Roman" w:eastAsia="바탕"/>
                <w:sz w:val="20"/>
              </w:rPr>
              <w:t>4.5  오프라인 동작</w:t>
            </w:r>
          </w:p>
          <w:p>
            <w:pPr>
              <w:spacing w:after="80" w:line="276" w:lineRule="auto"/>
              <w:jc w:val="both"/>
            </w:pPr>
            <w:r>
              <w:rPr>
                <w:rFonts w:ascii="Times New Roman" w:hAnsi="Times New Roman" w:eastAsia="바탕"/>
                <w:sz w:val="20"/>
              </w:rPr>
              <w:t>4.6  개인정보 보호</w:t>
            </w:r>
          </w:p>
          <w:p>
            <w:pPr>
              <w:spacing w:after="80" w:line="276" w:lineRule="auto"/>
              <w:jc w:val="both"/>
            </w:pPr>
            <w:r>
              <w:rPr>
                <w:rFonts w:ascii="Times New Roman" w:hAnsi="Times New Roman" w:eastAsia="바탕"/>
                <w:sz w:val="20"/>
              </w:rPr>
              <w:t>4.7  저장소와 협업</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형성 평가. 정보 도달률</w:t>
            </w:r>
          </w:p>
          <w:p>
            <w:pPr>
              <w:spacing w:after="80" w:line="276" w:lineRule="auto"/>
              <w:jc w:val="both"/>
            </w:pPr>
            <w:r>
              <w:rPr>
                <w:rFonts w:ascii="Times New Roman" w:hAnsi="Times New Roman" w:eastAsia="바탕"/>
                <w:sz w:val="20"/>
              </w:rPr>
              <w:t>5.2  픽토그램 이해도 검증 절차</w:t>
            </w:r>
          </w:p>
          <w:p>
            <w:pPr>
              <w:spacing w:after="80" w:line="276" w:lineRule="auto"/>
              <w:jc w:val="both"/>
            </w:pPr>
            <w:r>
              <w:rPr>
                <w:rFonts w:ascii="Times New Roman" w:hAnsi="Times New Roman" w:eastAsia="바탕"/>
                <w:sz w:val="20"/>
              </w:rPr>
              <w:t>5.3  개선 불가로 판정한 형태소</w:t>
            </w:r>
          </w:p>
          <w:p>
            <w:pPr>
              <w:spacing w:after="80" w:line="276" w:lineRule="auto"/>
              <w:jc w:val="both"/>
            </w:pPr>
            <w:r>
              <w:rPr>
                <w:rFonts w:ascii="Times New Roman" w:hAnsi="Times New Roman" w:eastAsia="바탕"/>
                <w:sz w:val="20"/>
              </w:rPr>
              <w:t>5.4  측정의 한계</w:t>
            </w:r>
          </w:p>
          <w:p>
            <w:pPr>
              <w:spacing w:after="80" w:line="276" w:lineRule="auto"/>
              <w:jc w:val="both"/>
            </w:pPr>
            <w:r>
              <w:rPr>
                <w:rFonts w:ascii="Times New Roman" w:hAnsi="Times New Roman" w:eastAsia="바탕"/>
                <w:sz w:val="20"/>
              </w:rPr>
              <w:t>5.5  영양 추정 모델의 실측</w:t>
            </w:r>
          </w:p>
          <w:p>
            <w:pPr>
              <w:spacing w:after="80" w:line="276" w:lineRule="auto"/>
              <w:jc w:val="both"/>
            </w:pPr>
            <w:r>
              <w:rPr>
                <w:rFonts w:ascii="Times New Roman" w:hAnsi="Times New Roman" w:eastAsia="바탕"/>
                <w:sz w:val="20"/>
              </w:rPr>
              <w:t>5.6  오프라인 동작의 실측</w:t>
            </w:r>
          </w:p>
          <w:p>
            <w:pPr>
              <w:spacing w:after="80" w:line="276" w:lineRule="auto"/>
              <w:jc w:val="both"/>
            </w:pPr>
            <w:r>
              <w:rPr>
                <w:rFonts w:ascii="Times New Roman" w:hAnsi="Times New Roman" w:eastAsia="바탕"/>
                <w:sz w:val="20"/>
              </w:rPr>
              <w:t>5.7  전문가 의견 조사</w:t>
            </w:r>
          </w:p>
          <w:p>
            <w:pPr>
              <w:spacing w:after="80" w:line="276" w:lineRule="auto"/>
              <w:jc w:val="both"/>
            </w:pPr>
            <w:r>
              <w:rPr>
                <w:rFonts w:ascii="Times New Roman" w:hAnsi="Times New Roman" w:eastAsia="바탕"/>
                <w:sz w:val="20"/>
              </w:rPr>
              <w:t>5.8  SDG 3 에 대한 기여</w:t>
            </w:r>
          </w:p>
          <w:p>
            <w:pPr>
              <w:spacing w:after="80" w:line="276" w:lineRule="auto"/>
              <w:jc w:val="both"/>
            </w:pPr>
            <w:r>
              <w:rPr>
                <w:rFonts w:ascii="Times New Roman" w:hAnsi="Times New Roman" w:eastAsia="바탕"/>
                <w:sz w:val="20"/>
              </w:rPr>
              <w:t>5.9  미검증 항목</w:t>
            </w:r>
          </w:p>
          <w:p>
            <w:pPr>
              <w:spacing w:after="80" w:line="276" w:lineRule="auto"/>
              <w:jc w:val="both"/>
            </w:pPr>
            <w:r>
              <w:rPr>
                <w:rFonts w:ascii="Times New Roman" w:hAnsi="Times New Roman" w:eastAsia="바탕"/>
                <w:sz w:val="20"/>
              </w:rPr>
              <w:t>5.10  향후 계획</w:t>
            </w:r>
          </w:p>
          <w:p>
            <w:pPr>
              <w:spacing w:after="80" w:line="276" w:lineRule="auto"/>
              <w:jc w:val="both"/>
            </w:pPr>
            <w:r>
              <w:rPr>
                <w:rFonts w:ascii="Times New Roman" w:hAnsi="Times New Roman" w:eastAsia="바탕"/>
                <w:sz w:val="20"/>
              </w:rPr>
              <w:t>5.11  부록. 자유 서술 전문</w:t>
            </w:r>
          </w:p>
          <w:p>
            <w:pPr>
              <w:spacing w:after="80" w:line="276" w:lineRule="auto"/>
              <w:jc w:val="both"/>
            </w:pPr>
            <w:r>
              <w:rPr>
                <w:rFonts w:ascii="Times New Roman" w:hAnsi="Times New Roman" w:eastAsia="바탕"/>
                <w:sz w:val="20"/>
              </w:rPr>
              <w:t>5.12  부록. 선택형 응답 전수</w:t>
            </w:r>
          </w:p>
          <w:p>
            <w:pPr>
              <w:spacing w:after="80" w:line="276" w:lineRule="auto"/>
              <w:jc w:val="both"/>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두 자료를 옮기며 건너뛴 곳을 밝혀 둔다. 앞의 것은 아동·청소년을 본 자료인데 이 앱이 겨냥하는 사용자는 대체로 성인이다. 주의력결핍 과잉행동장애가 성인에게 이어지는 경우가 있다는 것과 아동의 순응 수치를 성인에게 옮길 수 있다는 것은 다른 말이며, 우리는 뒤엣것을 보이는 자료를 갖고 있지 않다. 여기서 취하는 것은 비율이 아니라 이 집단에서 복약이 실제로 무너진다는 사실이다. 뒤의 것은 치매가 없는 파킨슨병 환자만 본 표본이므로 기억 손상이 큰 사람에게는 그대로 옮길 수 없다. 저자들이 찾은 위험인자가 우리 논지와 맞는다고 해서 그 표본이 우리 대상과 같아지지는 않는다.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계층을 없앤 한 겹 화면(§3.1), 되짚는 단계(§3.8). 다만 우리 그림이 흑백 실루엣이라는 것이 이 조건에는 불리할 수 있다(§1.10)</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표를 채우면서 한 칸을 고쳤다는 것도 적어 둔다. 자폐·지적장애 행에 처음에는 "구체적 형태의 픽토그램" 이라고 적었는데, 우리 세트는 흑백 실루엣이고 §1.10 이 인용한 문헌은 저문해 사용자가 양식화된 그림보다 구체적이고 사진에 가까운 표현을 선호한다고 적는다. 우리 설계에 어긋나는 관찰이라고 그 절에서 이미 밝혀 두었는데, 표에서는 그것을 강점처럼 적고 있었다. 대상을 넓히면서 각 조건에 좋은 말을 붙이려는 힘이 작동한 자리다. 계층을 없앤 것과 되짚는 단계로 고치고, 실루엣이 이 조건에는 불리할 수 있다는 것을 같은 칸에 적었다.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세는 방식이 한쪽으로 좁다. 이 달력에 오르는 것은 짝지은 상자가 보고한 복용뿐이다. 상자가 트레이를 내밀었는데 아무도 누르지 않으면 그것이 거른 것으로 올라오고, 눌렀으면 먹은 것으로 올라온다. 사람이 직접 찍어 남긴 복약 기록은 이 수에 들어가지 않는데, 세지 못해서가 아니라 넣으면 안 되기 때문이다. 손으로 남기는 기록은 먹었다는 것만 말하고 거른 것은 말하지 않는다. 안 먹은 날에는 아무도 앱을 켜지 않으므로, 그것을 분모에 넣으면 순응도가 언제나 100%가 된다. 그래서 상자가 없는 사용자에게는 이 달력이 비어 있고, 그것이 0%로 보이지 않게 아예 그리지 않는다.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589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의 E. A. Draffan 은퇴 언어치료사, 우크라이나 지적장애인 연합 Raisa Kravchenko 부대표, 이화여자대학교 언어병리학과 이영미 교수, 국립공주대학교 특수교육 김은경 교수, 한국장애인개발원의 최묘정 연구원과 박경서 대리가 지적장애·자폐·언어장애를 매일 다루는 사람들이다.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589개가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2026-08-04T10:11:21Z</dcterms:modified>
  <cp:contentStatus>src:5bef7607a7d9</cp:contentStatus>
</cp:coreProperties>
</file>