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 위해의 절반 이상이 처방 단계에서 생기고 우리가 대상으로 삼는 지역에서는 80%에 가까운데, 이 앱은 그 단계에 개입하지 않는다.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9" name="Picture 9"/>
                  <wp:cNvGraphicFramePr>
                    <a:graphicFrameLocks noChangeAspect="1"/>
                  </wp:cNvGraphicFramePr>
                  <a:graphic>
                    <a:graphicData uri="http://schemas.openxmlformats.org/drawingml/2006/picture">
                      <pic:pic>
                        <pic:nvPicPr>
                          <pic:cNvPr id="0" name="chart16_symbol_country.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10" name="Picture 10"/>
                  <wp:cNvGraphicFramePr>
                    <a:graphicFrameLocks noChangeAspect="1"/>
                  </wp:cNvGraphicFramePr>
                  <a:graphic>
                    <a:graphicData uri="http://schemas.openxmlformats.org/drawingml/2006/picture">
                      <pic:pic>
                        <pic:nvPicPr>
                          <pic:cNvPr id="0" name="chart05_pictogram_pass.png"/>
                          <pic:cNvPicPr/>
                        </pic:nvPicPr>
                        <pic:blipFill>
                          <a:blip r:embed="rId2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1" name="Picture 11"/>
                  <wp:cNvGraphicFramePr>
                    <a:graphicFrameLocks noChangeAspect="1"/>
                  </wp:cNvGraphicFramePr>
                  <a:graphic>
                    <a:graphicData uri="http://schemas.openxmlformats.org/drawingml/2006/picture">
                      <pic:pic>
                        <pic:nvPicPr>
                          <pic:cNvPr id="0" name="fig01_home.png"/>
                          <pic:cNvPicPr/>
                        </pic:nvPicPr>
                        <pic:blipFill>
                          <a:blip r:embed="rId25"/>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2" name="Picture 12"/>
                  <wp:cNvGraphicFramePr>
                    <a:graphicFrameLocks noChangeAspect="1"/>
                  </wp:cNvGraphicFramePr>
                  <a:graphic>
                    <a:graphicData uri="http://schemas.openxmlformats.org/drawingml/2006/picture">
                      <pic:pic>
                        <pic:nvPicPr>
                          <pic:cNvPr id="0" name="fig02_sigil_sheet.png"/>
                          <pic:cNvPicPr/>
                        </pic:nvPicPr>
                        <pic:blipFill>
                          <a:blip r:embed="rId26"/>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3" name="Picture 13"/>
                  <wp:cNvGraphicFramePr>
                    <a:graphicFrameLocks noChangeAspect="1"/>
                  </wp:cNvGraphicFramePr>
                  <a:graphic>
                    <a:graphicData uri="http://schemas.openxmlformats.org/drawingml/2006/picture">
                      <pic:pic>
                        <pic:nvPicPr>
                          <pic:cNvPr id="0" name="fig03_dsl.png"/>
                          <pic:cNvPicPr/>
                        </pic:nvPicPr>
                        <pic:blipFill>
                          <a:blip r:embed="rId27"/>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16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4" name="Picture 14"/>
                  <wp:cNvGraphicFramePr>
                    <a:graphicFrameLocks noChangeAspect="1"/>
                  </wp:cNvGraphicFramePr>
                  <a:graphic>
                    <a:graphicData uri="http://schemas.openxmlformats.org/drawingml/2006/picture">
                      <pic:pic>
                        <pic:nvPicPr>
                          <pic:cNvPr id="0" name="fig15_verdict_flow.png"/>
                          <pic:cNvPicPr/>
                        </pic:nvPicPr>
                        <pic:blipFill>
                          <a:blip r:embed="rId28"/>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15" name="Picture 15"/>
                  <wp:cNvGraphicFramePr>
                    <a:graphicFrameLocks noChangeAspect="1"/>
                  </wp:cNvGraphicFramePr>
                  <a:graphic>
                    <a:graphicData uri="http://schemas.openxmlformats.org/drawingml/2006/picture">
                      <pic:pic>
                        <pic:nvPicPr>
                          <pic:cNvPr id="0" name="fig16_conditions.png"/>
                          <pic:cNvPicPr/>
                        </pic:nvPicPr>
                        <pic:blipFill>
                          <a:blip r:embed="rId29"/>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6" name="Picture 16"/>
                  <wp:cNvGraphicFramePr>
                    <a:graphicFrameLocks noChangeAspect="1"/>
                  </wp:cNvGraphicFramePr>
                  <a:graphic>
                    <a:graphicData uri="http://schemas.openxmlformats.org/drawingml/2006/picture">
                      <pic:pic>
                        <pic:nvPicPr>
                          <pic:cNvPr id="0" name="panelA_flow.png"/>
                          <pic:cNvPicPr/>
                        </pic:nvPicPr>
                        <pic:blipFill>
                          <a:blip r:embed="rId30"/>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7" name="Picture 17"/>
                  <wp:cNvGraphicFramePr>
                    <a:graphicFrameLocks noChangeAspect="1"/>
                  </wp:cNvGraphicFramePr>
                  <a:graphic>
                    <a:graphicData uri="http://schemas.openxmlformats.org/drawingml/2006/picture">
                      <pic:pic>
                        <pic:nvPicPr>
                          <pic:cNvPr id="0" name="panelB_nutrition.png"/>
                          <pic:cNvPicPr/>
                        </pic:nvPicPr>
                        <pic:blipFill>
                          <a:blip r:embed="rId31"/>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8" name="Picture 18"/>
                  <wp:cNvGraphicFramePr>
                    <a:graphicFrameLocks noChangeAspect="1"/>
                  </wp:cNvGraphicFramePr>
                  <a:graphic>
                    <a:graphicData uri="http://schemas.openxmlformats.org/drawingml/2006/picture">
                      <pic:pic>
                        <pic:nvPicPr>
                          <pic:cNvPr id="0" name="fig10_dispenser.png"/>
                          <pic:cNvPicPr/>
                        </pic:nvPicPr>
                        <pic:blipFill>
                          <a:blip r:embed="rId32"/>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9" name="Picture 19"/>
                  <wp:cNvGraphicFramePr>
                    <a:graphicFrameLocks noChangeAspect="1"/>
                  </wp:cNvGraphicFramePr>
                  <a:graphic>
                    <a:graphicData uri="http://schemas.openxmlformats.org/drawingml/2006/picture">
                      <pic:pic>
                        <pic:nvPicPr>
                          <pic:cNvPr id="0" name="fig11_userflow.png"/>
                          <pic:cNvPicPr/>
                        </pic:nvPicPr>
                        <pic:blipFill>
                          <a:blip r:embed="rId33"/>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0" name="Picture 20"/>
                  <wp:cNvGraphicFramePr>
                    <a:graphicFrameLocks noChangeAspect="1"/>
                  </wp:cNvGraphicFramePr>
                  <a:graphic>
                    <a:graphicData uri="http://schemas.openxmlformats.org/drawingml/2006/picture">
                      <pic:pic>
                        <pic:nvPicPr>
                          <pic:cNvPr id="0" name="panelC_onboarding.png"/>
                          <pic:cNvPicPr/>
                        </pic:nvPicPr>
                        <pic:blipFill>
                          <a:blip r:embed="rId34"/>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560320"/>
                  <wp:docPr id="21" name="Picture 21"/>
                  <wp:cNvGraphicFramePr>
                    <a:graphicFrameLocks noChangeAspect="1"/>
                  </wp:cNvGraphicFramePr>
                  <a:graphic>
                    <a:graphicData uri="http://schemas.openxmlformats.org/drawingml/2006/picture">
                      <pic:pic>
                        <pic:nvPicPr>
                          <pic:cNvPr id="0" name="fig19_recognition.png"/>
                          <pic:cNvPicPr/>
                        </pic:nvPicPr>
                        <pic:blipFill>
                          <a:blip r:embed="rId35"/>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16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19]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2" name="Picture 22"/>
                  <wp:cNvGraphicFramePr>
                    <a:graphicFrameLocks noChangeAspect="1"/>
                  </wp:cNvGraphicFramePr>
                  <a:graphic>
                    <a:graphicData uri="http://schemas.openxmlformats.org/drawingml/2006/picture">
                      <pic:pic>
                        <pic:nvPicPr>
                          <pic:cNvPr id="0" name="fig17_gate.png"/>
                          <pic:cNvPicPr/>
                        </pic:nvPicPr>
                        <pic:blipFill>
                          <a:blip r:embed="rId36"/>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21의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21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23" name="Picture 23"/>
                  <wp:cNvGraphicFramePr>
                    <a:graphicFrameLocks noChangeAspect="1"/>
                  </wp:cNvGraphicFramePr>
                  <a:graphic>
                    <a:graphicData uri="http://schemas.openxmlformats.org/drawingml/2006/picture">
                      <pic:pic>
                        <pic:nvPicPr>
                          <pic:cNvPr id="0" name="fig20_relay_keys.png"/>
                          <pic:cNvPicPr/>
                        </pic:nvPicPr>
                        <pic:blipFill>
                          <a:blip r:embed="rId3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21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22]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22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24" name="Picture 24"/>
                  <wp:cNvGraphicFramePr>
                    <a:graphicFrameLocks noChangeAspect="1"/>
                  </wp:cNvGraphicFramePr>
                  <a:graphic>
                    <a:graphicData uri="http://schemas.openxmlformats.org/drawingml/2006/picture">
                      <pic:pic>
                        <pic:nvPicPr>
                          <pic:cNvPr id="0" name="fig14_formsheet.png"/>
                          <pic:cNvPicPr/>
                        </pic:nvPicPr>
                        <pic:blipFill>
                          <a:blip r:embed="rId3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25" name="Picture 25"/>
                  <wp:cNvGraphicFramePr>
                    <a:graphicFrameLocks noChangeAspect="1"/>
                  </wp:cNvGraphicFramePr>
                  <a:graphic>
                    <a:graphicData uri="http://schemas.openxmlformats.org/drawingml/2006/picture">
                      <pic:pic>
                        <pic:nvPicPr>
                          <pic:cNvPr id="0" name="fig21_sw.png"/>
                          <pic:cNvPicPr/>
                        </pic:nvPicPr>
                        <pic:blipFill>
                          <a:blip r:embed="rId3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24]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25]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17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26]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27]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26" name="Picture 26"/>
                  <wp:cNvGraphicFramePr>
                    <a:graphicFrameLocks noChangeAspect="1"/>
                  </wp:cNvGraphicFramePr>
                  <a:graphic>
                    <a:graphicData uri="http://schemas.openxmlformats.org/drawingml/2006/picture">
                      <pic:pic>
                        <pic:nvPicPr>
                          <pic:cNvPr id="0" name="chart06_formative.png"/>
                          <pic:cNvPicPr/>
                        </pic:nvPicPr>
                        <pic:blipFill>
                          <a:blip r:embed="rId4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28]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7" name="Picture 27"/>
                  <wp:cNvGraphicFramePr>
                    <a:graphicFrameLocks noChangeAspect="1"/>
                  </wp:cNvGraphicFramePr>
                  <a:graphic>
                    <a:graphicData uri="http://schemas.openxmlformats.org/drawingml/2006/picture">
                      <pic:pic>
                        <pic:nvPicPr>
                          <pic:cNvPr id="0" name="fig18_pictogram_gate.png"/>
                          <pic:cNvPicPr/>
                        </pic:nvPicPr>
                        <pic:blipFill>
                          <a:blip r:embed="rId4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29]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28" name="Picture 28"/>
                  <wp:cNvGraphicFramePr>
                    <a:graphicFrameLocks noChangeAspect="1"/>
                  </wp:cNvGraphicFramePr>
                  <a:graphic>
                    <a:graphicData uri="http://schemas.openxmlformats.org/drawingml/2006/picture">
                      <pic:pic>
                        <pic:nvPicPr>
                          <pic:cNvPr id="0" name="chart07_glyph_check.png"/>
                          <pic:cNvPicPr/>
                        </pic:nvPicPr>
                        <pic:blipFill>
                          <a:blip r:embed="rId4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30]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31]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32]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33]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29" name="Picture 29"/>
                  <wp:cNvGraphicFramePr>
                    <a:graphicFrameLocks noChangeAspect="1"/>
                  </wp:cNvGraphicFramePr>
                  <a:graphic>
                    <a:graphicData uri="http://schemas.openxmlformats.org/drawingml/2006/picture">
                      <pic:pic>
                        <pic:nvPicPr>
                          <pic:cNvPr id="0" name="chart08_model_mae.png"/>
                          <pic:cNvPicPr/>
                        </pic:nvPicPr>
                        <pic:blipFill>
                          <a:blip r:embed="rId4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34]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35]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36] 명단의 여덟 영역 (합계 1,103명)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37]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0" name="Picture 30"/>
                  <wp:cNvGraphicFramePr>
                    <a:graphicFrameLocks noChangeAspect="1"/>
                  </wp:cNvGraphicFramePr>
                  <a:graphic>
                    <a:graphicData uri="http://schemas.openxmlformats.org/drawingml/2006/picture">
                      <pic:pic>
                        <pic:nvPicPr>
                          <pic:cNvPr id="0" name="chart15_survey_who.png"/>
                          <pic:cNvPicPr/>
                        </pic:nvPicPr>
                        <pic:blipFill>
                          <a:blip r:embed="rId4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38]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39]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40]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1" name="Picture 31"/>
                  <wp:cNvGraphicFramePr>
                    <a:graphicFrameLocks noChangeAspect="1"/>
                  </wp:cNvGraphicFramePr>
                  <a:graphic>
                    <a:graphicData uri="http://schemas.openxmlformats.org/drawingml/2006/picture">
                      <pic:pic>
                        <pic:nvPicPr>
                          <pic:cNvPr id="0" name="chart10_survey.png"/>
                          <pic:cNvPicPr/>
                        </pic:nvPicPr>
                        <pic:blipFill>
                          <a:blip r:embed="rId4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41]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42]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 마감 앞에서 다시 그리는 것은 도박이라 손대지 않고 §5.10 의 현지 평가로 넘겼다.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시험은 231개에서 257개가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43]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32" name="Picture 32"/>
                  <wp:cNvGraphicFramePr>
                    <a:graphicFrameLocks noChangeAspect="1"/>
                  </wp:cNvGraphicFramePr>
                  <a:graphic>
                    <a:graphicData uri="http://schemas.openxmlformats.org/drawingml/2006/picture">
                      <pic:pic>
                        <pic:nvPicPr>
                          <pic:cNvPr id="0" name="chart14_amr_region.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44]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표시와 </w:t>
                  </w:r>
                  <w:r>
                    <w:rPr>
                      <w:rFonts w:ascii="Consolas" w:hAnsi="Consolas" w:eastAsia="Consolas"/>
                      <w:sz w:val="17"/>
                    </w:rPr>
                    <w:t>finish_course</w:t>
                  </w:r>
                  <w:r>
                    <w:rPr>
                      <w:rFonts w:ascii="Times New Roman" w:hAnsi="Times New Roman" w:eastAsia="바탕"/>
                      <w:sz w:val="18"/>
                    </w:rPr>
                    <w:t xml:space="preserve"> 는 고쳤다. 한 장의 요소 수 상한은 현지 평가 뒤에 정한다</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