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webextensions/taskpanes.xml" ContentType="application/vnd.ms-office.webextensiontaskpanes+xml"/>
  <Override PartName="/word/webextensions/webextension1.xml" ContentType="application/vnd.ms-office.webextension+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F3360D" w14:textId="77777777" w:rsidR="00AA5CE3" w:rsidRDefault="00AA5CE3">
      <w:pPr>
        <w:spacing w:after="0"/>
        <w:ind w:left="-1440" w:right="10464"/>
      </w:pPr>
    </w:p>
    <w:tbl>
      <w:tblPr>
        <w:tblStyle w:val="a5"/>
        <w:tblW w:w="9765" w:type="dxa"/>
        <w:tblInd w:w="-365" w:type="dxa"/>
        <w:tblLayout w:type="fixed"/>
        <w:tblLook w:val="0400" w:firstRow="0" w:lastRow="0" w:firstColumn="0" w:lastColumn="0" w:noHBand="0" w:noVBand="1"/>
      </w:tblPr>
      <w:tblGrid>
        <w:gridCol w:w="1530"/>
        <w:gridCol w:w="3210"/>
        <w:gridCol w:w="1574"/>
        <w:gridCol w:w="3451"/>
      </w:tblGrid>
      <w:tr w:rsidR="00AA5CE3" w14:paraId="5A424324" w14:textId="77777777" w:rsidTr="00BC28E5">
        <w:trPr>
          <w:trHeight w:val="815"/>
        </w:trPr>
        <w:tc>
          <w:tcPr>
            <w:tcW w:w="9765" w:type="dxa"/>
            <w:gridSpan w:val="4"/>
            <w:tcBorders>
              <w:top w:val="single" w:sz="18" w:space="0" w:color="000000"/>
              <w:left w:val="single" w:sz="18" w:space="0" w:color="000000"/>
              <w:bottom w:val="single" w:sz="6" w:space="0" w:color="000000"/>
              <w:right w:val="single" w:sz="18" w:space="0" w:color="000000"/>
            </w:tcBorders>
            <w:shd w:val="clear" w:color="auto" w:fill="244061" w:themeFill="accent1" w:themeFillShade="80"/>
          </w:tcPr>
          <w:p w14:paraId="137A5F9E" w14:textId="77777777" w:rsidR="00AA5CE3" w:rsidRPr="00BC28E5" w:rsidRDefault="00D258FA">
            <w:pPr>
              <w:ind w:right="91"/>
              <w:jc w:val="center"/>
              <w:rPr>
                <w:rFonts w:ascii="Arial" w:hAnsi="Arial" w:cs="Arial"/>
                <w:b/>
                <w:bCs/>
                <w:color w:val="FFFFFF" w:themeColor="background1"/>
                <w:sz w:val="44"/>
                <w:szCs w:val="44"/>
              </w:rPr>
            </w:pPr>
            <w:r w:rsidRPr="00BC28E5">
              <w:rPr>
                <w:rFonts w:ascii="Arial" w:hAnsi="Arial" w:cs="Arial" w:hint="eastAsia"/>
                <w:b/>
                <w:bCs/>
                <w:color w:val="FFFFFF" w:themeColor="background1"/>
                <w:sz w:val="44"/>
                <w:szCs w:val="44"/>
              </w:rPr>
              <w:t>FINAL PROJECT PROPOSAL</w:t>
            </w:r>
            <w:r w:rsidRPr="00BC28E5">
              <w:rPr>
                <w:rFonts w:ascii="Arial" w:eastAsia="Arial" w:hAnsi="Arial" w:cs="Arial"/>
                <w:b/>
                <w:bCs/>
                <w:color w:val="FFFFFF" w:themeColor="background1"/>
                <w:sz w:val="44"/>
                <w:szCs w:val="44"/>
              </w:rPr>
              <w:t xml:space="preserve"> </w:t>
            </w:r>
          </w:p>
          <w:p w14:paraId="0C6D5AD5" w14:textId="58B2E898" w:rsidR="00EB3EDE" w:rsidRPr="00DD6CEC" w:rsidRDefault="00EB3EDE">
            <w:pPr>
              <w:ind w:right="91"/>
              <w:jc w:val="center"/>
              <w:rPr>
                <w:rFonts w:ascii="Arial" w:hAnsi="Arial" w:cs="Arial"/>
              </w:rPr>
            </w:pPr>
            <w:r w:rsidRPr="00BC28E5">
              <w:rPr>
                <w:rFonts w:ascii="Arial" w:hAnsi="Arial" w:cs="Arial"/>
                <w:color w:val="F2F2F2" w:themeColor="background1" w:themeShade="F2"/>
                <w:sz w:val="24"/>
                <w:szCs w:val="24"/>
              </w:rPr>
              <w:t>&lt;The 16th e-ICON World Contest&gt;</w:t>
            </w:r>
          </w:p>
        </w:tc>
      </w:tr>
      <w:tr w:rsidR="00AA5CE3" w14:paraId="2E12C6E3" w14:textId="77777777" w:rsidTr="00F6120C">
        <w:trPr>
          <w:trHeight w:val="496"/>
        </w:trPr>
        <w:tc>
          <w:tcPr>
            <w:tcW w:w="1530" w:type="dxa"/>
            <w:tcBorders>
              <w:top w:val="single" w:sz="6" w:space="0" w:color="000000"/>
              <w:left w:val="single" w:sz="18" w:space="0" w:color="000000"/>
              <w:bottom w:val="single" w:sz="6" w:space="0" w:color="000000"/>
              <w:right w:val="single" w:sz="6" w:space="0" w:color="000000"/>
            </w:tcBorders>
            <w:shd w:val="clear" w:color="auto" w:fill="DBE5F1" w:themeFill="accent1" w:themeFillTint="33"/>
            <w:vAlign w:val="center"/>
          </w:tcPr>
          <w:p w14:paraId="759792C5" w14:textId="1680735B" w:rsidR="00AA5CE3" w:rsidRPr="002765D3" w:rsidRDefault="00931699" w:rsidP="00D258FA">
            <w:pPr>
              <w:ind w:right="103"/>
              <w:jc w:val="center"/>
              <w:rPr>
                <w:rFonts w:ascii="Arial" w:hAnsi="Arial" w:cs="Arial"/>
              </w:rPr>
            </w:pPr>
            <w:r w:rsidRPr="002765D3">
              <w:rPr>
                <w:rFonts w:ascii="Arial" w:hAnsi="Arial" w:cs="Arial"/>
                <w:b/>
                <w:bCs/>
              </w:rPr>
              <w:t xml:space="preserve">[Team No.] </w:t>
            </w:r>
            <w:r w:rsidR="00BC28E5">
              <w:rPr>
                <w:rFonts w:ascii="Arial" w:hAnsi="Arial" w:cs="Arial" w:hint="eastAsia"/>
                <w:b/>
                <w:bCs/>
              </w:rPr>
              <w:t xml:space="preserve">Global </w:t>
            </w:r>
            <w:r w:rsidR="00D258FA" w:rsidRPr="002765D3">
              <w:rPr>
                <w:rFonts w:ascii="Arial" w:hAnsi="Arial" w:cs="Arial"/>
                <w:b/>
                <w:bCs/>
              </w:rPr>
              <w:t>Team Name</w:t>
            </w:r>
          </w:p>
        </w:tc>
        <w:tc>
          <w:tcPr>
            <w:tcW w:w="3210" w:type="dxa"/>
            <w:tcBorders>
              <w:top w:val="single" w:sz="6" w:space="0" w:color="000000"/>
              <w:left w:val="single" w:sz="6" w:space="0" w:color="000000"/>
              <w:bottom w:val="single" w:sz="6" w:space="0" w:color="000000"/>
              <w:right w:val="single" w:sz="6" w:space="0" w:color="000000"/>
            </w:tcBorders>
            <w:vAlign w:val="center"/>
          </w:tcPr>
          <w:p w14:paraId="52E67A0A" w14:textId="636BC384" w:rsidR="00AA5CE3" w:rsidRPr="002765D3" w:rsidRDefault="00931699" w:rsidP="00D258FA">
            <w:pPr>
              <w:tabs>
                <w:tab w:val="left" w:pos="2505"/>
              </w:tabs>
              <w:jc w:val="center"/>
              <w:rPr>
                <w:rFonts w:ascii="Arial" w:eastAsia="Arial" w:hAnsi="Arial" w:cs="Arial"/>
              </w:rPr>
            </w:pPr>
            <w:r>
              <w:rPr>
                <w:rFonts w:ascii="Times New Roman" w:hAnsi="Times New Roman" w:eastAsia="바탕"/>
                <w:sz w:val="20"/>
              </w:rPr>
              <w:t>[H1] SnapCare</w:t>
            </w:r>
          </w:p>
        </w:tc>
        <w:tc>
          <w:tcPr>
            <w:tcW w:w="1574" w:type="dxa"/>
            <w:tcBorders>
              <w:top w:val="single" w:sz="6" w:space="0" w:color="000000"/>
              <w:left w:val="single" w:sz="6" w:space="0" w:color="000000"/>
              <w:bottom w:val="single" w:sz="6" w:space="0" w:color="000000"/>
              <w:right w:val="single" w:sz="6" w:space="0" w:color="000000"/>
            </w:tcBorders>
            <w:shd w:val="clear" w:color="auto" w:fill="DBE5F1" w:themeFill="accent1" w:themeFillTint="33"/>
            <w:vAlign w:val="center"/>
          </w:tcPr>
          <w:p w14:paraId="0232818A" w14:textId="40711067" w:rsidR="00AA5CE3" w:rsidRPr="002765D3" w:rsidRDefault="00D258FA" w:rsidP="00D258FA">
            <w:pPr>
              <w:ind w:right="92"/>
              <w:jc w:val="center"/>
              <w:rPr>
                <w:rFonts w:ascii="Arial" w:hAnsi="Arial" w:cs="Arial"/>
              </w:rPr>
            </w:pPr>
            <w:r w:rsidRPr="002765D3">
              <w:rPr>
                <w:rFonts w:ascii="Arial" w:hAnsi="Arial" w:cs="Arial"/>
                <w:b/>
                <w:bCs/>
              </w:rPr>
              <w:t>Web App Name</w:t>
            </w:r>
          </w:p>
        </w:tc>
        <w:tc>
          <w:tcPr>
            <w:tcW w:w="3451" w:type="dxa"/>
            <w:tcBorders>
              <w:top w:val="single" w:sz="6" w:space="0" w:color="000000"/>
              <w:left w:val="single" w:sz="6" w:space="0" w:color="000000"/>
              <w:bottom w:val="single" w:sz="6" w:space="0" w:color="000000"/>
              <w:right w:val="single" w:sz="18" w:space="0" w:color="000000"/>
            </w:tcBorders>
            <w:vAlign w:val="center"/>
          </w:tcPr>
          <w:p w14:paraId="66A048B9" w14:textId="27541C79" w:rsidR="00AA5CE3" w:rsidRPr="002765D3" w:rsidRDefault="00AA5CE3" w:rsidP="00D258FA">
            <w:pPr>
              <w:jc w:val="center"/>
              <w:rPr>
                <w:rFonts w:ascii="Arial" w:hAnsi="Arial" w:cs="Arial"/>
              </w:rPr>
            </w:pPr>
            <w:r>
              <w:rPr>
                <w:rFonts w:ascii="Times New Roman" w:hAnsi="Times New Roman" w:eastAsia="바탕"/>
                <w:sz w:val="20"/>
              </w:rPr>
              <w:t>SnapCare</w:t>
            </w:r>
          </w:p>
        </w:tc>
      </w:tr>
      <w:tr w:rsidR="00BC28E5" w14:paraId="14ABF43D" w14:textId="77777777" w:rsidTr="00F6120C">
        <w:trPr>
          <w:trHeight w:val="421"/>
        </w:trPr>
        <w:tc>
          <w:tcPr>
            <w:tcW w:w="1530" w:type="dxa"/>
            <w:vMerge w:val="restart"/>
            <w:tcBorders>
              <w:top w:val="single" w:sz="6" w:space="0" w:color="000000"/>
              <w:left w:val="single" w:sz="18" w:space="0" w:color="000000"/>
              <w:right w:val="single" w:sz="6" w:space="0" w:color="000000"/>
            </w:tcBorders>
            <w:shd w:val="clear" w:color="auto" w:fill="DBE5F1" w:themeFill="accent1" w:themeFillTint="33"/>
            <w:vAlign w:val="center"/>
          </w:tcPr>
          <w:p w14:paraId="5D3A43A1" w14:textId="08DA245B" w:rsidR="00BC28E5" w:rsidRDefault="00BC28E5" w:rsidP="00EB3EDE">
            <w:pPr>
              <w:ind w:left="110" w:hangingChars="50" w:hanging="110"/>
              <w:jc w:val="center"/>
              <w:rPr>
                <w:rFonts w:ascii="Arial" w:hAnsi="Arial" w:cs="Arial"/>
                <w:b/>
                <w:bCs/>
              </w:rPr>
            </w:pPr>
            <w:r w:rsidRPr="00273FA9">
              <w:rPr>
                <w:rFonts w:ascii="Arial" w:hAnsi="Arial" w:cs="Arial"/>
                <w:b/>
                <w:bCs/>
              </w:rPr>
              <w:t>Name of</w:t>
            </w:r>
          </w:p>
          <w:p w14:paraId="1F714617" w14:textId="1BEECEA3" w:rsidR="00BC28E5" w:rsidRPr="002765D3" w:rsidRDefault="00BC28E5" w:rsidP="00EB3EDE">
            <w:pPr>
              <w:ind w:right="103"/>
              <w:jc w:val="center"/>
              <w:rPr>
                <w:rFonts w:ascii="Arial" w:hAnsi="Arial" w:cs="Arial"/>
                <w:b/>
                <w:bCs/>
              </w:rPr>
            </w:pPr>
            <w:r>
              <w:rPr>
                <w:rFonts w:ascii="Arial" w:hAnsi="Arial" w:cs="Arial" w:hint="eastAsia"/>
                <w:b/>
                <w:bCs/>
              </w:rPr>
              <w:t xml:space="preserve">Korean </w:t>
            </w:r>
            <w:r>
              <w:rPr>
                <w:rFonts w:ascii="Arial" w:hAnsi="Arial" w:cs="Arial"/>
                <w:b/>
                <w:bCs/>
              </w:rPr>
              <w:t>S</w:t>
            </w:r>
            <w:r w:rsidRPr="00273FA9">
              <w:rPr>
                <w:rFonts w:ascii="Arial" w:hAnsi="Arial" w:cs="Arial"/>
                <w:b/>
                <w:bCs/>
              </w:rPr>
              <w:t>tudent</w:t>
            </w:r>
            <w:r>
              <w:rPr>
                <w:rFonts w:ascii="Arial" w:hAnsi="Arial" w:cs="Arial" w:hint="eastAsia"/>
                <w:b/>
                <w:bCs/>
              </w:rPr>
              <w:t>s</w:t>
            </w:r>
          </w:p>
        </w:tc>
        <w:tc>
          <w:tcPr>
            <w:tcW w:w="3210" w:type="dxa"/>
            <w:tcBorders>
              <w:top w:val="single" w:sz="6" w:space="0" w:color="000000"/>
              <w:left w:val="single" w:sz="6" w:space="0" w:color="000000"/>
              <w:bottom w:val="single" w:sz="6" w:space="0" w:color="000000"/>
              <w:right w:val="single" w:sz="6" w:space="0" w:color="000000"/>
            </w:tcBorders>
          </w:tcPr>
          <w:p w14:paraId="579AB65F" w14:textId="2C1E55AF" w:rsidR="00BC28E5" w:rsidRPr="00BC28E5" w:rsidRDefault="00BC28E5" w:rsidP="00D258FA">
            <w:pPr>
              <w:tabs>
                <w:tab w:val="left" w:pos="2505"/>
              </w:tabs>
              <w:jc w:val="both"/>
              <w:rPr>
                <w:rFonts w:ascii="Arial" w:hAnsi="Arial" w:cs="Arial"/>
              </w:rPr>
            </w:pPr>
            <w:r>
              <w:rPr>
                <w:rFonts w:ascii="Times New Roman" w:hAnsi="Times New Roman" w:eastAsia="바탕"/>
                <w:sz w:val="20"/>
              </w:rPr>
              <w:t>Yunsu NAM</w:t>
            </w:r>
          </w:p>
        </w:tc>
        <w:tc>
          <w:tcPr>
            <w:tcW w:w="1574" w:type="dxa"/>
            <w:vMerge w:val="restart"/>
            <w:tcBorders>
              <w:top w:val="single" w:sz="6" w:space="0" w:color="000000"/>
              <w:left w:val="single" w:sz="6" w:space="0" w:color="000000"/>
              <w:right w:val="single" w:sz="6" w:space="0" w:color="000000"/>
            </w:tcBorders>
            <w:shd w:val="clear" w:color="auto" w:fill="DBE5F1" w:themeFill="accent1" w:themeFillTint="33"/>
            <w:vAlign w:val="center"/>
          </w:tcPr>
          <w:p w14:paraId="6553486E" w14:textId="68796888" w:rsidR="00BC28E5" w:rsidRPr="002765D3" w:rsidRDefault="00BC28E5" w:rsidP="00D258FA">
            <w:pPr>
              <w:ind w:right="92"/>
              <w:jc w:val="center"/>
              <w:rPr>
                <w:rFonts w:ascii="Arial" w:hAnsi="Arial" w:cs="Arial"/>
                <w:b/>
                <w:bCs/>
              </w:rPr>
            </w:pPr>
            <w:r w:rsidRPr="002765D3">
              <w:rPr>
                <w:rFonts w:ascii="Arial" w:hAnsi="Arial" w:cs="Arial"/>
                <w:b/>
                <w:bCs/>
              </w:rPr>
              <w:t>Name of International Student</w:t>
            </w:r>
            <w:r>
              <w:rPr>
                <w:rFonts w:ascii="Arial" w:hAnsi="Arial" w:cs="Arial" w:hint="eastAsia"/>
                <w:b/>
                <w:bCs/>
              </w:rPr>
              <w:t>s</w:t>
            </w:r>
          </w:p>
        </w:tc>
        <w:tc>
          <w:tcPr>
            <w:tcW w:w="3451" w:type="dxa"/>
            <w:tcBorders>
              <w:top w:val="single" w:sz="6" w:space="0" w:color="000000"/>
              <w:left w:val="single" w:sz="6" w:space="0" w:color="000000"/>
              <w:bottom w:val="single" w:sz="6" w:space="0" w:color="000000"/>
              <w:right w:val="single" w:sz="18" w:space="0" w:color="000000"/>
            </w:tcBorders>
          </w:tcPr>
          <w:p w14:paraId="470E8FB5" w14:textId="77777777" w:rsidR="00BC28E5" w:rsidRPr="002765D3" w:rsidRDefault="00BC28E5" w:rsidP="00D258FA">
            <w:pPr>
              <w:jc w:val="both"/>
              <w:rPr>
                <w:rFonts w:ascii="Arial" w:hAnsi="Arial" w:cs="Arial"/>
              </w:rPr>
            </w:pPr>
            <w:r>
              <w:rPr>
                <w:rFonts w:ascii="Times New Roman" w:hAnsi="Times New Roman" w:eastAsia="바탕"/>
                <w:sz w:val="20"/>
              </w:rPr>
              <w:t>Cristian RUDICO</w:t>
            </w:r>
          </w:p>
        </w:tc>
      </w:tr>
      <w:tr w:rsidR="00BC28E5" w14:paraId="76BA9666" w14:textId="77777777" w:rsidTr="00F6120C">
        <w:trPr>
          <w:trHeight w:val="399"/>
        </w:trPr>
        <w:tc>
          <w:tcPr>
            <w:tcW w:w="1530" w:type="dxa"/>
            <w:vMerge/>
            <w:tcBorders>
              <w:left w:val="single" w:sz="18" w:space="0" w:color="000000"/>
              <w:bottom w:val="single" w:sz="6" w:space="0" w:color="000000"/>
              <w:right w:val="single" w:sz="6" w:space="0" w:color="000000"/>
            </w:tcBorders>
            <w:shd w:val="clear" w:color="auto" w:fill="DBE5F1" w:themeFill="accent1" w:themeFillTint="33"/>
            <w:vAlign w:val="center"/>
          </w:tcPr>
          <w:p w14:paraId="40F11F1F" w14:textId="77777777" w:rsidR="00BC28E5" w:rsidRPr="00273FA9" w:rsidRDefault="00BC28E5" w:rsidP="00EB3EDE">
            <w:pPr>
              <w:ind w:left="110" w:hangingChars="50" w:hanging="110"/>
              <w:jc w:val="center"/>
              <w:rPr>
                <w:rFonts w:ascii="Arial" w:hAnsi="Arial" w:cs="Arial"/>
                <w:b/>
                <w:bCs/>
              </w:rPr>
            </w:pPr>
          </w:p>
        </w:tc>
        <w:tc>
          <w:tcPr>
            <w:tcW w:w="3210" w:type="dxa"/>
            <w:tcBorders>
              <w:top w:val="single" w:sz="6" w:space="0" w:color="000000"/>
              <w:left w:val="single" w:sz="6" w:space="0" w:color="000000"/>
              <w:bottom w:val="single" w:sz="6" w:space="0" w:color="000000"/>
              <w:right w:val="single" w:sz="6" w:space="0" w:color="000000"/>
            </w:tcBorders>
          </w:tcPr>
          <w:p w14:paraId="7D43C82B" w14:textId="51056FC3" w:rsidR="00BC28E5" w:rsidRPr="00BC28E5" w:rsidRDefault="00BC28E5" w:rsidP="00D258FA">
            <w:pPr>
              <w:tabs>
                <w:tab w:val="left" w:pos="2505"/>
              </w:tabs>
              <w:jc w:val="both"/>
              <w:rPr>
                <w:rFonts w:ascii="Arial" w:hAnsi="Arial" w:cs="Arial"/>
              </w:rPr>
            </w:pPr>
            <w:r>
              <w:rPr>
                <w:rFonts w:ascii="Times New Roman" w:hAnsi="Times New Roman" w:eastAsia="바탕"/>
                <w:sz w:val="20"/>
              </w:rPr>
              <w:t>Dohun KIM</w:t>
            </w:r>
          </w:p>
        </w:tc>
        <w:tc>
          <w:tcPr>
            <w:tcW w:w="1574" w:type="dxa"/>
            <w:vMerge/>
            <w:tcBorders>
              <w:left w:val="single" w:sz="6" w:space="0" w:color="000000"/>
              <w:bottom w:val="single" w:sz="6" w:space="0" w:color="000000"/>
              <w:right w:val="single" w:sz="6" w:space="0" w:color="000000"/>
            </w:tcBorders>
            <w:shd w:val="clear" w:color="auto" w:fill="DBE5F1" w:themeFill="accent1" w:themeFillTint="33"/>
            <w:vAlign w:val="center"/>
          </w:tcPr>
          <w:p w14:paraId="2C6306A5" w14:textId="77777777" w:rsidR="00BC28E5" w:rsidRPr="002765D3" w:rsidRDefault="00BC28E5" w:rsidP="00D258FA">
            <w:pPr>
              <w:ind w:right="92"/>
              <w:jc w:val="center"/>
              <w:rPr>
                <w:rFonts w:ascii="Arial" w:hAnsi="Arial" w:cs="Arial"/>
                <w:b/>
                <w:bCs/>
              </w:rPr>
            </w:pPr>
          </w:p>
        </w:tc>
        <w:tc>
          <w:tcPr>
            <w:tcW w:w="3451" w:type="dxa"/>
            <w:tcBorders>
              <w:top w:val="single" w:sz="6" w:space="0" w:color="000000"/>
              <w:left w:val="single" w:sz="6" w:space="0" w:color="000000"/>
              <w:bottom w:val="single" w:sz="6" w:space="0" w:color="000000"/>
              <w:right w:val="single" w:sz="18" w:space="0" w:color="000000"/>
            </w:tcBorders>
          </w:tcPr>
          <w:p w14:paraId="6E02A681" w14:textId="77777777" w:rsidR="00BC28E5" w:rsidRPr="002765D3" w:rsidRDefault="00BC28E5" w:rsidP="00D258FA">
            <w:pPr>
              <w:jc w:val="both"/>
              <w:rPr>
                <w:rFonts w:ascii="Arial" w:hAnsi="Arial" w:cs="Arial"/>
              </w:rPr>
            </w:pPr>
            <w:r>
              <w:rPr>
                <w:rFonts w:ascii="Times New Roman" w:hAnsi="Times New Roman" w:eastAsia="바탕"/>
                <w:sz w:val="20"/>
              </w:rPr>
              <w:t>Daniel STANCHEVICI</w:t>
            </w:r>
          </w:p>
        </w:tc>
      </w:tr>
      <w:tr w:rsidR="00AA5CE3" w14:paraId="19C23E96" w14:textId="77777777" w:rsidTr="00182E9B">
        <w:trPr>
          <w:trHeight w:val="478"/>
        </w:trPr>
        <w:tc>
          <w:tcPr>
            <w:tcW w:w="1530" w:type="dxa"/>
            <w:tcBorders>
              <w:top w:val="single" w:sz="6" w:space="0" w:color="000000"/>
              <w:left w:val="single" w:sz="18" w:space="0" w:color="000000"/>
              <w:bottom w:val="single" w:sz="6" w:space="0" w:color="000000"/>
              <w:right w:val="single" w:sz="6" w:space="0" w:color="000000"/>
            </w:tcBorders>
            <w:shd w:val="clear" w:color="auto" w:fill="D9E2F3"/>
            <w:vAlign w:val="center"/>
          </w:tcPr>
          <w:p w14:paraId="5F458BAE" w14:textId="32ABF7B3" w:rsidR="00AA5CE3" w:rsidRPr="002765D3" w:rsidRDefault="00DB0314" w:rsidP="00D258FA">
            <w:pPr>
              <w:spacing w:after="14"/>
              <w:ind w:right="96"/>
              <w:jc w:val="center"/>
              <w:rPr>
                <w:rFonts w:ascii="Arial" w:hAnsi="Arial" w:cs="Arial"/>
              </w:rPr>
            </w:pPr>
            <w:r w:rsidRPr="002765D3">
              <w:rPr>
                <w:rFonts w:ascii="Arial" w:eastAsia="Arial" w:hAnsi="Arial" w:cs="Arial"/>
                <w:b/>
                <w:bCs/>
              </w:rPr>
              <w:t>Related</w:t>
            </w:r>
            <w:r w:rsidR="00D258FA" w:rsidRPr="002765D3">
              <w:rPr>
                <w:rFonts w:ascii="Arial" w:hAnsi="Arial" w:cs="Arial"/>
              </w:rPr>
              <w:t xml:space="preserve"> </w:t>
            </w:r>
            <w:r w:rsidRPr="002765D3">
              <w:rPr>
                <w:rFonts w:ascii="Arial" w:eastAsia="Arial" w:hAnsi="Arial" w:cs="Arial"/>
                <w:b/>
                <w:bCs/>
              </w:rPr>
              <w:t>SDGs</w:t>
            </w:r>
          </w:p>
        </w:tc>
        <w:tc>
          <w:tcPr>
            <w:tcW w:w="8235" w:type="dxa"/>
            <w:gridSpan w:val="3"/>
            <w:tcBorders>
              <w:top w:val="single" w:sz="6" w:space="0" w:color="000000"/>
              <w:left w:val="single" w:sz="6" w:space="0" w:color="000000"/>
              <w:bottom w:val="single" w:sz="6" w:space="0" w:color="000000"/>
              <w:right w:val="single" w:sz="18" w:space="0" w:color="000000"/>
            </w:tcBorders>
            <w:vAlign w:val="center"/>
          </w:tcPr>
          <w:p w14:paraId="0A0C6D1A" w14:textId="0665F1BC" w:rsidR="00AA5CE3" w:rsidRPr="002765D3" w:rsidRDefault="00DA6B05" w:rsidP="00731121">
            <w:pPr>
              <w:ind w:right="578"/>
              <w:jc w:val="center"/>
              <w:rPr>
                <w:rFonts w:ascii="Arial" w:hAnsi="Arial" w:cs="Arial"/>
                <w:b/>
                <w:bCs/>
                <w:lang w:val="en-US"/>
              </w:rPr>
            </w:pPr>
            <w:r>
              <w:rPr>
                <w:rFonts w:ascii="Times New Roman" w:hAnsi="Times New Roman" w:eastAsia="바탕"/>
                <w:sz w:val="20"/>
              </w:rPr>
              <w:t>Target 3.4 Noncommunicable diseases · Target 3.8 Universal health coverage · Target 3.d Health risk management</w:t>
            </w:r>
          </w:p>
        </w:tc>
      </w:tr>
      <w:tr w:rsidR="00F6120C" w14:paraId="3399B95B" w14:textId="77777777" w:rsidTr="00F6120C">
        <w:trPr>
          <w:trHeight w:val="413"/>
        </w:trPr>
        <w:tc>
          <w:tcPr>
            <w:tcW w:w="1530" w:type="dxa"/>
            <w:vMerge w:val="restart"/>
            <w:tcBorders>
              <w:top w:val="single" w:sz="6" w:space="0" w:color="000000"/>
              <w:left w:val="single" w:sz="18" w:space="0" w:color="000000"/>
              <w:right w:val="single" w:sz="6" w:space="0" w:color="000000"/>
            </w:tcBorders>
            <w:shd w:val="clear" w:color="auto" w:fill="D9E2F3"/>
            <w:vAlign w:val="center"/>
          </w:tcPr>
          <w:p w14:paraId="5114F799" w14:textId="00147FD4" w:rsidR="00F6120C" w:rsidRPr="00A52A5C" w:rsidRDefault="00F6120C" w:rsidP="00D258FA">
            <w:pPr>
              <w:spacing w:after="14"/>
              <w:ind w:right="96"/>
              <w:jc w:val="center"/>
              <w:rPr>
                <w:rFonts w:ascii="Arial" w:hAnsi="Arial" w:cs="Arial"/>
                <w:b/>
                <w:bCs/>
              </w:rPr>
            </w:pPr>
            <w:r>
              <w:rPr>
                <w:rFonts w:ascii="Arial" w:hAnsi="Arial" w:cs="Arial" w:hint="eastAsia"/>
                <w:b/>
                <w:bCs/>
              </w:rPr>
              <w:t>URL</w:t>
            </w:r>
          </w:p>
        </w:tc>
        <w:tc>
          <w:tcPr>
            <w:tcW w:w="8235" w:type="dxa"/>
            <w:gridSpan w:val="3"/>
            <w:tcBorders>
              <w:top w:val="single" w:sz="6" w:space="0" w:color="000000"/>
              <w:left w:val="single" w:sz="6" w:space="0" w:color="000000"/>
              <w:right w:val="single" w:sz="18" w:space="0" w:color="000000"/>
            </w:tcBorders>
            <w:vAlign w:val="center"/>
          </w:tcPr>
          <w:p w14:paraId="2C6B8352" w14:textId="38FE080A" w:rsidR="00F6120C" w:rsidRPr="00EB3EDE" w:rsidRDefault="00F6120C" w:rsidP="00727B8F">
            <w:pPr>
              <w:ind w:right="578"/>
              <w:rPr>
                <w:rFonts w:ascii="Arial" w:hAnsi="Arial" w:cs="Arial"/>
              </w:rPr>
            </w:pPr>
            <w:proofErr w:type="spellStart"/>
            <w:proofErr w:type="spellEnd"/>
            <w:r>
              <w:rPr>
                <w:rFonts w:ascii="Times New Roman" w:hAnsi="Times New Roman" w:eastAsia="바탕"/>
                <w:sz w:val="20"/>
              </w:rPr>
            </w:r>
            <w:r>
              <w:rPr>
                <w:rFonts w:ascii="Times New Roman" w:hAnsi="Times New Roman" w:eastAsia="바탕"/>
                <w:sz w:val="20"/>
              </w:rPr>
              <w:t xml:space="preserve">Github Repository: </w:t>
            </w:r>
            <w:hyperlink r:id="rId15">
              <w:r>
                <w:rPr>
                  <w:rPr>
                    <w:rFonts w:ascii="Times New Roman" w:hAnsi="Times New Roman" w:eastAsia="바탕"/>
                    <w:sz w:val="20"/>
                  </w:rPr>
                  <w:color w:val="0563C1"/>
                  <w:u w:val="single"/>
                </w:rPr>
                <w:t xml:space="preserve">https://github.com/16th-eicon-contest/h1-SnapCare</w:t>
              </w:r>
            </w:hyperlink>
          </w:p>
        </w:tc>
      </w:tr>
      <w:tr w:rsidR="00F6120C" w14:paraId="15CC3960" w14:textId="77777777" w:rsidTr="00F6120C">
        <w:trPr>
          <w:trHeight w:val="389"/>
        </w:trPr>
        <w:tc>
          <w:tcPr>
            <w:tcW w:w="1530" w:type="dxa"/>
            <w:vMerge/>
            <w:tcBorders>
              <w:left w:val="single" w:sz="18" w:space="0" w:color="000000"/>
              <w:right w:val="single" w:sz="6" w:space="0" w:color="000000"/>
            </w:tcBorders>
            <w:shd w:val="clear" w:color="auto" w:fill="D9E2F3"/>
            <w:vAlign w:val="center"/>
          </w:tcPr>
          <w:p w14:paraId="1E0926CC" w14:textId="77777777" w:rsidR="00F6120C" w:rsidRDefault="00F6120C" w:rsidP="00D258FA">
            <w:pPr>
              <w:spacing w:after="14"/>
              <w:ind w:right="96"/>
              <w:jc w:val="center"/>
              <w:rPr>
                <w:rFonts w:ascii="Arial" w:hAnsi="Arial" w:cs="Arial"/>
                <w:b/>
                <w:bCs/>
              </w:rPr>
            </w:pPr>
          </w:p>
        </w:tc>
        <w:tc>
          <w:tcPr>
            <w:tcW w:w="8235" w:type="dxa"/>
            <w:gridSpan w:val="3"/>
            <w:tcBorders>
              <w:top w:val="single" w:sz="6" w:space="0" w:color="000000"/>
              <w:left w:val="single" w:sz="6" w:space="0" w:color="000000"/>
              <w:right w:val="single" w:sz="18" w:space="0" w:color="000000"/>
            </w:tcBorders>
            <w:vAlign w:val="center"/>
          </w:tcPr>
          <w:p w14:paraId="60220FFD" w14:textId="374DA6A0" w:rsidR="00F6120C" w:rsidRPr="002765D3" w:rsidRDefault="00F6120C">
            <w:pPr>
              <w:ind w:right="578"/>
              <w:rPr>
                <w:rFonts w:ascii="Arial" w:hAnsi="Arial" w:cs="Arial"/>
                <w:b/>
                <w:bCs/>
              </w:rPr>
            </w:pPr>
            <w:r>
              <w:rPr>
                <w:rFonts w:ascii="Times New Roman" w:hAnsi="Times New Roman" w:eastAsia="바탕"/>
                <w:sz w:val="20"/>
              </w:rPr>
            </w:r>
            <w:r>
              <w:rPr>
                <w:rFonts w:ascii="Times New Roman" w:hAnsi="Times New Roman" w:eastAsia="바탕"/>
                <w:sz w:val="20"/>
              </w:rPr>
              <w:t xml:space="preserve">Deployment URL: </w:t>
            </w:r>
            <w:hyperlink r:id="rId16">
              <w:r>
                <w:rPr>
                  <w:rPr>
                    <w:rFonts w:ascii="Times New Roman" w:hAnsi="Times New Roman" w:eastAsia="바탕"/>
                    <w:sz w:val="20"/>
                  </w:rPr>
                  <w:color w:val="0563C1"/>
                  <w:u w:val="single"/>
                </w:rPr>
                <w:t xml:space="preserve">https://snapcare.fly.dev</w:t>
              </w:r>
            </w:hyperlink>
          </w:p>
        </w:tc>
      </w:tr>
      <w:tr w:rsidR="00AA5CE3" w14:paraId="38A88279" w14:textId="77777777" w:rsidTr="00182E9B">
        <w:trPr>
          <w:trHeight w:val="896"/>
        </w:trPr>
        <w:tc>
          <w:tcPr>
            <w:tcW w:w="9765" w:type="dxa"/>
            <w:gridSpan w:val="4"/>
            <w:tcBorders>
              <w:top w:val="single" w:sz="18" w:space="0" w:color="000000"/>
              <w:left w:val="single" w:sz="4" w:space="0" w:color="000000"/>
              <w:bottom w:val="single" w:sz="4" w:space="0" w:color="000000"/>
              <w:right w:val="single" w:sz="4" w:space="0" w:color="000000"/>
            </w:tcBorders>
            <w:shd w:val="clear" w:color="auto" w:fill="F2F2F2"/>
          </w:tcPr>
          <w:p w14:paraId="7DA331BA" w14:textId="0E33B23E" w:rsidR="00AA5CE3" w:rsidRDefault="00DB0314">
            <w:pPr>
              <w:rPr>
                <w:rFonts w:ascii="Arial" w:eastAsia="Arial" w:hAnsi="Arial" w:cs="Arial"/>
                <w:color w:val="002060"/>
                <w:sz w:val="24"/>
                <w:szCs w:val="24"/>
              </w:rPr>
            </w:pPr>
            <w:r>
              <w:rPr>
                <w:rFonts w:ascii="Arial" w:eastAsia="Arial" w:hAnsi="Arial" w:cs="Arial"/>
                <w:b/>
                <w:bCs/>
                <w:color w:val="002060"/>
                <w:sz w:val="28"/>
                <w:szCs w:val="28"/>
              </w:rPr>
              <w:t xml:space="preserve">□ </w:t>
            </w:r>
            <w:r w:rsidR="00C81165" w:rsidRPr="00C81165">
              <w:rPr>
                <w:rFonts w:ascii="Arial" w:eastAsia="Arial" w:hAnsi="Arial" w:cs="Arial"/>
                <w:b/>
                <w:bCs/>
                <w:color w:val="002060"/>
                <w:sz w:val="28"/>
                <w:szCs w:val="28"/>
              </w:rPr>
              <w:t>Summary of Web App</w:t>
            </w:r>
          </w:p>
          <w:p w14:paraId="78B7A7AD" w14:textId="09ECEF80" w:rsidR="00AA5CE3" w:rsidRDefault="00E66BEE">
            <w:pPr>
              <w:rPr>
                <w:rFonts w:ascii="Arial" w:eastAsia="Arial" w:hAnsi="Arial" w:cs="Arial"/>
              </w:rPr>
            </w:pPr>
            <w:r w:rsidRPr="00E66BEE">
              <w:rPr>
                <w:rFonts w:ascii="Arial" w:eastAsia="Arial" w:hAnsi="Arial" w:cs="Arial"/>
              </w:rPr>
              <w:t>In 2-3 sentences, provide</w:t>
            </w:r>
            <w:r w:rsidR="00157C5B" w:rsidRPr="00157C5B">
              <w:rPr>
                <w:rFonts w:ascii="Arial" w:eastAsia="Arial" w:hAnsi="Arial" w:cs="Arial"/>
              </w:rPr>
              <w:t xml:space="preserve"> a brief overview of your web application, including its purpose, target users, the problem it aims to solve, and its main features.</w:t>
            </w:r>
          </w:p>
        </w:tc>
      </w:tr>
      <w:tr w:rsidR="00C81165" w14:paraId="4F658B59" w14:textId="77777777" w:rsidTr="00BD43A2">
        <w:trPr>
          <w:trHeight w:val="293"/>
        </w:trPr>
        <w:tc>
          <w:tcPr>
            <w:tcW w:w="9765" w:type="dxa"/>
            <w:gridSpan w:val="4"/>
            <w:tcBorders>
              <w:top w:val="single" w:sz="4" w:space="0" w:color="000000"/>
              <w:left w:val="single" w:sz="4" w:space="0" w:color="000000"/>
              <w:bottom w:val="single" w:sz="4" w:space="0" w:color="000000"/>
              <w:right w:val="single" w:sz="4" w:space="0" w:color="000000"/>
            </w:tcBorders>
          </w:tcPr>
          <w:p w14:paraId="6DF44770" w14:textId="70D48543" w:rsidR="00C81165" w:rsidRPr="00C81165" w:rsidRDefault="00C81165">
            <w:pPr>
              <w:rPr>
                <w:rFonts w:ascii="Arial" w:hAnsi="Arial" w:cs="Arial"/>
              </w:rPr>
            </w:pPr>
            <w:r>
              <w:rPr>
                <w:rFonts w:ascii="Arial" w:eastAsia="Arial" w:hAnsi="Arial" w:cs="Arial"/>
                <w:b/>
                <w:bCs/>
              </w:rPr>
              <w:t>Content</w:t>
            </w:r>
          </w:p>
        </w:tc>
      </w:tr>
      <w:tr w:rsidR="00C81165" w14:paraId="49E9F1D4" w14:textId="77777777" w:rsidTr="004052C3">
        <w:trPr>
          <w:trHeight w:val="1261"/>
        </w:trPr>
        <w:tc>
          <w:tcPr>
            <w:tcW w:w="9765" w:type="dxa"/>
            <w:gridSpan w:val="4"/>
            <w:tcBorders>
              <w:top w:val="single" w:sz="4" w:space="0" w:color="000000"/>
              <w:left w:val="single" w:sz="4" w:space="0" w:color="000000"/>
              <w:bottom w:val="single" w:sz="4" w:space="0" w:color="000000"/>
              <w:right w:val="single" w:sz="4" w:space="0" w:color="000000"/>
            </w:tcBorders>
          </w:tcPr>
          <w:p w14:paraId="5A88B739" w14:textId="578453EC" w:rsidR="00C81165" w:rsidRPr="00182E9B" w:rsidRDefault="00C81165">
            <w:pPr>
              <w:spacing w:after="80" w:line="276" w:lineRule="auto"/>
              <w:jc w:val="both"/>
              <w:rPr>
                <w:rFonts w:ascii="Arial" w:hAnsi="Arial" w:cs="Arial"/>
              </w:rPr>
            </w:pPr>
            <w:r>
              <w:rPr>
                <w:rFonts w:ascii="Times New Roman" w:hAnsi="Times New Roman" w:eastAsia="바탕"/>
                <w:sz w:val="20"/>
              </w:rPr>
              <w:t>SnapCare is a web app that answers a single photograph of a prescription, a nutrition label, a medicine or a meal with a picture, a spoken sentence and one colour, so that people who find it hard to take medicine as directed can take it and choose their food on their own: people carrying a load on executive function (attention deficit hyperactivity disorder, burnout, lack of sleep), people with damage to memory or movement (Alzheimer's disease, Parkinson's disease), people for whom reading itself is blocked (non-literacy, dyslexia), and older adults and people with low vision. Its design standard is set at the harshest of those conditions, the one in which the instruction never arrives at all because it cannot be read (739 million adults worldwide, and 18% of adults even across 31 developed countries), because a screen that holds under that condition holds under the others while the reverse does not follow. The app never asks the user to read or type anywhere on screen, using two engines we built ourselves, SIGIL, which composes pictograms through a grammar of 78 morphemes, and VOCA, which reconstructs spoken instructions, and its verdicts are computed on the device from thresholds derived from the user's age and conditions, so the app works without an internet connection.</w:t>
            </w:r>
          </w:p>
        </w:tc>
      </w:tr>
      <w:tr w:rsidR="00AA5CE3" w14:paraId="73846ACF" w14:textId="77777777">
        <w:trPr>
          <w:trHeight w:val="901"/>
        </w:trPr>
        <w:tc>
          <w:tcPr>
            <w:tcW w:w="9765" w:type="dxa"/>
            <w:gridSpan w:val="4"/>
            <w:tcBorders>
              <w:top w:val="single" w:sz="4" w:space="0" w:color="000000"/>
              <w:left w:val="single" w:sz="4" w:space="0" w:color="000000"/>
              <w:bottom w:val="single" w:sz="4" w:space="0" w:color="000000"/>
              <w:right w:val="single" w:sz="4" w:space="0" w:color="000000"/>
            </w:tcBorders>
            <w:shd w:val="clear" w:color="auto" w:fill="F2F2F2"/>
          </w:tcPr>
          <w:p w14:paraId="2EEF2FFA" w14:textId="56C9B009" w:rsidR="00AA5CE3" w:rsidRDefault="00DB0314">
            <w:pPr>
              <w:rPr>
                <w:rFonts w:ascii="Arial" w:eastAsia="Arial" w:hAnsi="Arial" w:cs="Arial"/>
                <w:color w:val="002060"/>
                <w:sz w:val="24"/>
                <w:szCs w:val="24"/>
              </w:rPr>
            </w:pPr>
            <w:r>
              <w:rPr>
                <w:rFonts w:ascii="Arial" w:eastAsia="Arial" w:hAnsi="Arial" w:cs="Arial"/>
                <w:b/>
                <w:bCs/>
                <w:color w:val="002060"/>
                <w:sz w:val="28"/>
                <w:szCs w:val="28"/>
              </w:rPr>
              <w:t xml:space="preserve">□ </w:t>
            </w:r>
            <w:r w:rsidR="00C81165" w:rsidRPr="00C81165">
              <w:rPr>
                <w:rFonts w:ascii="Arial" w:eastAsia="Arial" w:hAnsi="Arial" w:cs="Arial"/>
                <w:b/>
                <w:bCs/>
                <w:color w:val="002060"/>
                <w:sz w:val="28"/>
                <w:szCs w:val="28"/>
              </w:rPr>
              <w:t>Problem Statement and Background</w:t>
            </w:r>
          </w:p>
          <w:p w14:paraId="29105B1F" w14:textId="4DD1299F" w:rsidR="00AA5CE3" w:rsidRDefault="00182E9B">
            <w:pPr>
              <w:jc w:val="both"/>
              <w:rPr>
                <w:rFonts w:ascii="Arial" w:eastAsia="Arial" w:hAnsi="Arial" w:cs="Arial"/>
              </w:rPr>
            </w:pPr>
            <w:r w:rsidRPr="00182E9B">
              <w:rPr>
                <w:rFonts w:ascii="Arial" w:eastAsia="Arial" w:hAnsi="Arial" w:cs="Arial"/>
              </w:rPr>
              <w:t>Describe the SDG 3-related problem your team aims to address. Explain the background of the problem, why it is important, and how it affects your school, community, or society.</w:t>
            </w:r>
          </w:p>
        </w:tc>
      </w:tr>
      <w:tr w:rsidR="00C81165" w14:paraId="6CD1A279" w14:textId="77777777" w:rsidTr="00511285">
        <w:trPr>
          <w:trHeight w:val="293"/>
        </w:trPr>
        <w:tc>
          <w:tcPr>
            <w:tcW w:w="9765" w:type="dxa"/>
            <w:gridSpan w:val="4"/>
            <w:tcBorders>
              <w:top w:val="single" w:sz="4" w:space="0" w:color="000000"/>
              <w:left w:val="single" w:sz="4" w:space="0" w:color="000000"/>
              <w:bottom w:val="single" w:sz="4" w:space="0" w:color="000000"/>
              <w:right w:val="single" w:sz="4" w:space="0" w:color="000000"/>
            </w:tcBorders>
          </w:tcPr>
          <w:p w14:paraId="09AA7EDD" w14:textId="3E142BCC" w:rsidR="00C81165" w:rsidRDefault="00C81165" w:rsidP="00C81165">
            <w:pPr>
              <w:rPr>
                <w:rFonts w:ascii="Arial" w:eastAsia="Arial" w:hAnsi="Arial" w:cs="Arial"/>
              </w:rPr>
            </w:pPr>
            <w:r>
              <w:rPr>
                <w:rFonts w:ascii="Arial" w:eastAsia="Arial" w:hAnsi="Arial" w:cs="Arial"/>
                <w:b/>
                <w:bCs/>
              </w:rPr>
              <w:t>Content</w:t>
            </w:r>
          </w:p>
        </w:tc>
      </w:tr>
      <w:tr w:rsidR="00C81165" w14:paraId="46323746" w14:textId="77777777" w:rsidTr="004052C3">
        <w:trPr>
          <w:trHeight w:val="1708"/>
        </w:trPr>
        <w:tc>
          <w:tcPr>
            <w:tcW w:w="9765" w:type="dxa"/>
            <w:gridSpan w:val="4"/>
            <w:tcBorders>
              <w:top w:val="single" w:sz="4" w:space="0" w:color="000000"/>
              <w:left w:val="single" w:sz="4" w:space="0" w:color="000000"/>
              <w:bottom w:val="single" w:sz="4" w:space="0" w:color="000000"/>
              <w:right w:val="single" w:sz="4" w:space="0" w:color="000000"/>
            </w:tcBorders>
          </w:tcPr>
          <w:p w14:paraId="2641D26C" w14:textId="77777777" w:rsidR="00C81165" w:rsidRDefault="00C81165" w:rsidP="00C81165">
            <w:pPr>
              <w:spacing w:after="80" w:line="276" w:lineRule="auto"/>
              <w:jc w:val="both"/>
              <w:rPr>
                <w:rFonts w:ascii="Arial" w:eastAsia="Arial" w:hAnsi="Arial" w:cs="Arial"/>
              </w:rPr>
            </w:pPr>
            <w:r>
              <w:rPr>
                <w:rFonts w:ascii="Times New Roman" w:hAnsi="Times New Roman" w:eastAsia="바탕"/>
                <w:b/>
                <w:sz w:val="20"/>
              </w:rPr>
              <w:t>Contents</w:t>
            </w:r>
          </w:p>
          <w:p>
            <w:pPr>
              <w:spacing w:after="80" w:line="276" w:lineRule="auto"/>
              <w:jc w:val="both"/>
            </w:pPr>
            <w:r>
              <w:rPr>
                <w:rFonts w:ascii="Times New Roman" w:hAnsi="Times New Roman" w:eastAsia="바탕"/>
                <w:sz w:val="20"/>
              </w:rPr>
              <w:t>No page numbers are given; sections are found by their number.</w:t>
            </w:r>
          </w:p>
          <w:p>
            <w:pPr>
              <w:spacing w:after="80" w:line="276" w:lineRule="auto"/>
              <w:jc w:val="both"/>
            </w:pPr>
            <w:r>
              <w:rPr>
                <w:rFonts w:ascii="Times New Roman" w:hAnsi="Times New Roman" w:eastAsia="바탕"/>
                <w:b/>
                <w:sz w:val="20"/>
              </w:rPr>
              <w:t>Contents</w:t>
            </w:r>
          </w:p>
          <w:p>
            <w:pPr>
              <w:spacing w:after="80" w:line="276" w:lineRule="auto"/>
              <w:jc w:val="both"/>
            </w:pPr>
            <w:r>
              <w:rPr>
                <w:rFonts w:ascii="Times New Roman" w:hAnsi="Times New Roman" w:eastAsia="바탕"/>
                <w:b/>
                <w:sz w:val="20"/>
              </w:rPr>
              <w:t>Problem Statement and Background</w:t>
            </w:r>
          </w:p>
          <w:p>
            <w:pPr>
              <w:spacing w:after="80" w:line="276" w:lineRule="auto"/>
              <w:jc w:val="both"/>
            </w:pPr>
            <w:r>
              <w:rPr>
                <w:rFonts w:ascii="Times New Roman" w:hAnsi="Times New Roman" w:eastAsia="바탕"/>
                <w:sz w:val="20"/>
              </w:rPr>
              <w:t>1.1  The size and trend of the non-literate population</w:t>
            </w:r>
          </w:p>
          <w:p>
            <w:pPr>
              <w:spacing w:after="80" w:line="276" w:lineRule="auto"/>
              <w:jc w:val="both"/>
            </w:pPr>
            <w:r>
              <w:rPr>
                <w:rFonts w:ascii="Times New Roman" w:hAnsi="Times New Roman" w:eastAsia="바탕"/>
                <w:sz w:val="20"/>
              </w:rPr>
              <w:t>1.2  The distribution of health literacy</w:t>
            </w:r>
          </w:p>
          <w:p>
            <w:pPr>
              <w:spacing w:after="80" w:line="276" w:lineRule="auto"/>
              <w:jc w:val="both"/>
            </w:pPr>
            <w:r>
              <w:rPr>
                <w:rFonts w:ascii="Times New Roman" w:hAnsi="Times New Roman" w:eastAsia="바탕"/>
                <w:sz w:val="20"/>
              </w:rPr>
              <w:t>1.3  The types of medication error and what they cost</w:t>
            </w:r>
          </w:p>
          <w:p>
            <w:pPr>
              <w:spacing w:after="80" w:line="276" w:lineRule="auto"/>
              <w:jc w:val="both"/>
            </w:pPr>
            <w:r>
              <w:rPr>
                <w:rFonts w:ascii="Times New Roman" w:hAnsi="Times New Roman" w:eastAsia="바탕"/>
                <w:sz w:val="20"/>
              </w:rPr>
              <w:t>1.4  International policy and its blind spot</w:t>
            </w:r>
          </w:p>
          <w:p>
            <w:pPr>
              <w:spacing w:after="80" w:line="276" w:lineRule="auto"/>
              <w:jc w:val="both"/>
            </w:pPr>
            <w:r>
              <w:rPr>
                <w:rFonts w:ascii="Times New Roman" w:hAnsi="Times New Roman" w:eastAsia="바탕"/>
                <w:sz w:val="20"/>
              </w:rPr>
              <w:t>1.5  The undiagnosed population as a precondition</w:t>
            </w:r>
          </w:p>
          <w:p>
            <w:pPr>
              <w:spacing w:after="80" w:line="276" w:lineRule="auto"/>
              <w:jc w:val="both"/>
            </w:pPr>
            <w:r>
              <w:rPr>
                <w:rFonts w:ascii="Times New Roman" w:hAnsi="Times New Roman" w:eastAsia="바탕"/>
                <w:sz w:val="20"/>
              </w:rPr>
              <w:t>1.6  How widely the delivery medium has spread</w:t>
            </w:r>
          </w:p>
          <w:p>
            <w:pPr>
              <w:spacing w:after="80" w:line="276" w:lineRule="auto"/>
              <w:jc w:val="both"/>
            </w:pPr>
            <w:r>
              <w:rPr>
                <w:rFonts w:ascii="Times New Roman" w:hAnsi="Times New Roman" w:eastAsia="바탕"/>
                <w:sz w:val="20"/>
              </w:rPr>
              <w:t>1.7  The scale of population ageing and its geographic shift</w:t>
            </w:r>
          </w:p>
          <w:p>
            <w:pPr>
              <w:spacing w:after="80" w:line="276" w:lineRule="auto"/>
              <w:jc w:val="both"/>
            </w:pPr>
            <w:r>
              <w:rPr>
                <w:rFonts w:ascii="Times New Roman" w:hAnsi="Times New Roman" w:eastAsia="바탕"/>
                <w:sz w:val="20"/>
              </w:rPr>
              <w:t>1.8  The effect and the limits of visual delivery</w:t>
            </w:r>
          </w:p>
          <w:p>
            <w:pPr>
              <w:spacing w:after="80" w:line="276" w:lineRule="auto"/>
              <w:jc w:val="both"/>
            </w:pPr>
            <w:r>
              <w:rPr>
                <w:rFonts w:ascii="Times New Roman" w:hAnsi="Times New Roman" w:eastAsia="바탕"/>
                <w:sz w:val="20"/>
              </w:rPr>
              <w:t>1.9  Structural constraints of the existing pictogram standard</w:t>
            </w:r>
          </w:p>
          <w:p>
            <w:pPr>
              <w:spacing w:after="80" w:line="276" w:lineRule="auto"/>
              <w:jc w:val="both"/>
            </w:pPr>
            <w:r>
              <w:rPr>
                <w:rFonts w:ascii="Times New Roman" w:hAnsi="Times New Roman" w:eastAsia="바탕"/>
                <w:sz w:val="20"/>
              </w:rPr>
              <w:t>1.10  Prior work on interfaces for low-literate users</w:t>
            </w:r>
          </w:p>
          <w:p>
            <w:pPr>
              <w:spacing w:after="80" w:line="276" w:lineRule="auto"/>
              <w:jc w:val="both"/>
            </w:pPr>
            <w:r>
              <w:rPr>
                <w:rFonts w:ascii="Times New Roman" w:hAnsi="Times New Roman" w:eastAsia="바탕"/>
                <w:sz w:val="20"/>
              </w:rPr>
              <w:t>1.11  The problem in summary</w:t>
            </w:r>
          </w:p>
          <w:p>
            <w:pPr>
              <w:spacing w:after="80" w:line="276" w:lineRule="auto"/>
              <w:jc w:val="both"/>
            </w:pPr>
            <w:r>
              <w:rPr>
                <w:rFonts w:ascii="Times New Roman" w:hAnsi="Times New Roman" w:eastAsia="바탕"/>
                <w:sz w:val="20"/>
              </w:rPr>
              <w:t>1.12  How this problem looks in our own two countries</w:t>
            </w:r>
          </w:p>
          <w:p>
            <w:pPr>
              <w:spacing w:after="80" w:line="276" w:lineRule="auto"/>
              <w:jc w:val="both"/>
            </w:pPr>
            <w:r>
              <w:rPr>
                <w:rFonts w:ascii="Times New Roman" w:hAnsi="Times New Roman" w:eastAsia="바탕"/>
                <w:sz w:val="20"/>
              </w:rPr>
              <w:t>1.13  The range of the target and the design standard</w:t>
            </w:r>
          </w:p>
          <w:p>
            <w:pPr>
              <w:spacing w:after="80" w:line="276" w:lineRule="auto"/>
              <w:jc w:val="both"/>
            </w:pPr>
            <w:r>
              <w:rPr>
                <w:rFonts w:ascii="Times New Roman" w:hAnsi="Times New Roman" w:eastAsia="바탕"/>
                <w:b/>
                <w:sz w:val="20"/>
              </w:rPr>
              <w:t>Solution and Main Functions</w:t>
            </w:r>
          </w:p>
          <w:p>
            <w:pPr>
              <w:spacing w:after="80" w:line="276" w:lineRule="auto"/>
              <w:jc w:val="both"/>
            </w:pPr>
            <w:r>
              <w:rPr>
                <w:rFonts w:ascii="Times New Roman" w:hAnsi="Times New Roman" w:eastAsia="바탕"/>
                <w:sz w:val="20"/>
              </w:rPr>
              <w:t>2.1  Design principle</w:t>
            </w:r>
          </w:p>
          <w:p>
            <w:pPr>
              <w:spacing w:after="80" w:line="276" w:lineRule="auto"/>
              <w:jc w:val="both"/>
            </w:pPr>
            <w:r>
              <w:rPr>
                <w:rFonts w:ascii="Times New Roman" w:hAnsi="Times New Roman" w:eastAsia="바탕"/>
                <w:sz w:val="20"/>
              </w:rPr>
              <w:t>2.2  SIGIL, the pictogram composition engine</w:t>
            </w:r>
          </w:p>
          <w:p>
            <w:pPr>
              <w:spacing w:after="80" w:line="276" w:lineRule="auto"/>
              <w:jc w:val="both"/>
            </w:pPr>
            <w:r>
              <w:rPr>
                <w:rFonts w:ascii="Times New Roman" w:hAnsi="Times New Roman" w:eastAsia="바탕"/>
                <w:sz w:val="20"/>
              </w:rPr>
              <w:t>2.3  VOCA, the spoken instruction engine</w:t>
            </w:r>
          </w:p>
          <w:p>
            <w:pPr>
              <w:spacing w:after="80" w:line="276" w:lineRule="auto"/>
              <w:jc w:val="both"/>
            </w:pPr>
            <w:r>
              <w:rPr>
                <w:rFonts w:ascii="Times New Roman" w:hAnsi="Times New Roman" w:eastAsia="바탕"/>
                <w:sz w:val="20"/>
              </w:rPr>
              <w:t>2.4  Deriving a per-person verdict threshold</w:t>
            </w:r>
          </w:p>
          <w:p>
            <w:pPr>
              <w:spacing w:after="80" w:line="276" w:lineRule="auto"/>
              <w:jc w:val="both"/>
            </w:pPr>
            <w:r>
              <w:rPr>
                <w:rFonts w:ascii="Times New Roman" w:hAnsi="Times New Roman" w:eastAsia="바탕"/>
                <w:sz w:val="20"/>
              </w:rPr>
              <w:t>2.5  Collecting conditions and inferring allergies</w:t>
            </w:r>
          </w:p>
          <w:p>
            <w:pPr>
              <w:spacing w:after="80" w:line="276" w:lineRule="auto"/>
              <w:jc w:val="both"/>
            </w:pPr>
            <w:r>
              <w:rPr>
                <w:rFonts w:ascii="Times New Roman" w:hAnsi="Times New Roman" w:eastAsia="바탕"/>
                <w:sz w:val="20"/>
              </w:rPr>
              <w:t>2.6  How this differs from existing approaches</w:t>
            </w:r>
          </w:p>
          <w:p>
            <w:pPr>
              <w:spacing w:after="80" w:line="276" w:lineRule="auto"/>
              <w:jc w:val="both"/>
            </w:pPr>
            <w:r>
              <w:rPr>
                <w:rFonts w:ascii="Times New Roman" w:hAnsi="Times New Roman" w:eastAsia="바탕"/>
                <w:sz w:val="20"/>
              </w:rPr>
              <w:t>2.7  The three core functions</w:t>
            </w:r>
          </w:p>
          <w:p>
            <w:pPr>
              <w:spacing w:after="80" w:line="276" w:lineRule="auto"/>
              <w:jc w:val="both"/>
            </w:pPr>
            <w:r>
              <w:rPr>
                <w:rFonts w:ascii="Times New Roman" w:hAnsi="Times New Roman" w:eastAsia="바탕"/>
                <w:b/>
                <w:sz w:val="20"/>
              </w:rPr>
              <w:t>User Flow of the Web App</w:t>
            </w:r>
          </w:p>
          <w:p>
            <w:pPr>
              <w:spacing w:after="80" w:line="276" w:lineRule="auto"/>
              <w:jc w:val="both"/>
            </w:pPr>
            <w:r>
              <w:rPr>
                <w:rFonts w:ascii="Times New Roman" w:hAnsi="Times New Roman" w:eastAsia="바탕"/>
                <w:sz w:val="20"/>
              </w:rPr>
              <w:t>3.1  The overall flow</w:t>
            </w:r>
          </w:p>
          <w:p>
            <w:pPr>
              <w:spacing w:after="80" w:line="276" w:lineRule="auto"/>
              <w:jc w:val="both"/>
            </w:pPr>
            <w:r>
              <w:rPr>
                <w:rFonts w:ascii="Times New Roman" w:hAnsi="Times New Roman" w:eastAsia="바탕"/>
                <w:sz w:val="20"/>
              </w:rPr>
              <w:t>3.2  First run and profile setup</w:t>
            </w:r>
          </w:p>
          <w:p>
            <w:pPr>
              <w:spacing w:after="80" w:line="276" w:lineRule="auto"/>
              <w:jc w:val="both"/>
            </w:pPr>
            <w:r>
              <w:rPr>
                <w:rFonts w:ascii="Times New Roman" w:hAnsi="Times New Roman" w:eastAsia="바탕"/>
                <w:sz w:val="20"/>
              </w:rPr>
              <w:t>3.3  From capture to verdict</w:t>
            </w:r>
          </w:p>
          <w:p>
            <w:pPr>
              <w:spacing w:after="80" w:line="276" w:lineRule="auto"/>
              <w:jc w:val="both"/>
            </w:pPr>
            <w:r>
              <w:rPr>
                <w:rFonts w:ascii="Times New Roman" w:hAnsi="Times New Roman" w:eastAsia="바탕"/>
                <w:sz w:val="20"/>
              </w:rPr>
              <w:t>3.4  The path when recognition fails</w:t>
            </w:r>
          </w:p>
          <w:p>
            <w:pPr>
              <w:spacing w:after="80" w:line="276" w:lineRule="auto"/>
              <w:jc w:val="both"/>
            </w:pPr>
            <w:r>
              <w:rPr>
                <w:rFonts w:ascii="Times New Roman" w:hAnsi="Times New Roman" w:eastAsia="바탕"/>
                <w:sz w:val="20"/>
              </w:rPr>
              <w:t>3.5  Routes to the audio</w:t>
            </w:r>
          </w:p>
          <w:p>
            <w:pPr>
              <w:spacing w:after="80" w:line="276" w:lineRule="auto"/>
              <w:jc w:val="both"/>
            </w:pPr>
            <w:r>
              <w:rPr>
                <w:rFonts w:ascii="Times New Roman" w:hAnsi="Times New Roman" w:eastAsia="바탕"/>
                <w:sz w:val="20"/>
              </w:rPr>
              <w:t>3.6  Sharing a device and separating household members</w:t>
            </w:r>
          </w:p>
          <w:p>
            <w:pPr>
              <w:spacing w:after="80" w:line="276" w:lineRule="auto"/>
              <w:jc w:val="both"/>
            </w:pPr>
            <w:r>
              <w:rPr>
                <w:rFonts w:ascii="Times New Roman" w:hAnsi="Times New Roman" w:eastAsia="바탕"/>
                <w:sz w:val="20"/>
              </w:rPr>
              <w:t>3.7  Channels other than colour</w:t>
            </w:r>
          </w:p>
          <w:p>
            <w:pPr>
              <w:spacing w:after="80" w:line="276" w:lineRule="auto"/>
              <w:jc w:val="both"/>
            </w:pPr>
            <w:r>
              <w:rPr>
                <w:rFonts w:ascii="Times New Roman" w:hAnsi="Times New Roman" w:eastAsia="바탕"/>
                <w:sz w:val="20"/>
              </w:rPr>
              <w:t>3.8  Checking that it was understood</w:t>
            </w:r>
          </w:p>
          <w:p>
            <w:pPr>
              <w:spacing w:after="80" w:line="276" w:lineRule="auto"/>
              <w:jc w:val="both"/>
            </w:pPr>
            <w:r>
              <w:rPr>
                <w:rFonts w:ascii="Times New Roman" w:hAnsi="Times New Roman" w:eastAsia="바탕"/>
                <w:sz w:val="20"/>
              </w:rPr>
              <w:t>3.9  Medication routine and the last four weeks</w:t>
            </w:r>
          </w:p>
          <w:p>
            <w:pPr>
              <w:spacing w:after="80" w:line="276" w:lineRule="auto"/>
              <w:jc w:val="both"/>
            </w:pPr>
            <w:r>
              <w:rPr>
                <w:rFonts w:ascii="Times New Roman" w:hAnsi="Times New Roman" w:eastAsia="바탕"/>
                <w:b/>
                <w:sz w:val="20"/>
              </w:rPr>
              <w:t>Development and Implementation</w:t>
            </w:r>
          </w:p>
          <w:p>
            <w:pPr>
              <w:spacing w:after="80" w:line="276" w:lineRule="auto"/>
              <w:jc w:val="both"/>
            </w:pPr>
            <w:r>
              <w:rPr>
                <w:rFonts w:ascii="Times New Roman" w:hAnsi="Times New Roman" w:eastAsia="바탕"/>
                <w:sz w:val="20"/>
              </w:rPr>
              <w:t>4.1  Overview of the stack</w:t>
            </w:r>
          </w:p>
          <w:p>
            <w:pPr>
              <w:spacing w:after="80" w:line="276" w:lineRule="auto"/>
              <w:jc w:val="both"/>
            </w:pPr>
            <w:r>
              <w:rPr>
                <w:rFonts w:ascii="Times New Roman" w:hAnsi="Times New Roman" w:eastAsia="바탕"/>
                <w:sz w:val="20"/>
              </w:rPr>
              <w:t>4.2  Physical checks in the verdict engine</w:t>
            </w:r>
          </w:p>
          <w:p>
            <w:pPr>
              <w:spacing w:after="80" w:line="276" w:lineRule="auto"/>
              <w:jc w:val="both"/>
            </w:pPr>
            <w:r>
              <w:rPr>
                <w:rFonts w:ascii="Times New Roman" w:hAnsi="Times New Roman" w:eastAsia="바탕"/>
                <w:sz w:val="20"/>
              </w:rPr>
              <w:t>4.3  Choosing the hardware link</w:t>
            </w:r>
          </w:p>
          <w:p>
            <w:pPr>
              <w:spacing w:after="80" w:line="276" w:lineRule="auto"/>
              <w:jc w:val="both"/>
            </w:pPr>
            <w:r>
              <w:rPr>
                <w:rFonts w:ascii="Times New Roman" w:hAnsi="Times New Roman" w:eastAsia="바탕"/>
                <w:sz w:val="20"/>
              </w:rPr>
              <w:t>4.4  Reading the paper form</w:t>
            </w:r>
          </w:p>
          <w:p>
            <w:pPr>
              <w:spacing w:after="80" w:line="276" w:lineRule="auto"/>
              <w:jc w:val="both"/>
            </w:pPr>
            <w:r>
              <w:rPr>
                <w:rFonts w:ascii="Times New Roman" w:hAnsi="Times New Roman" w:eastAsia="바탕"/>
                <w:sz w:val="20"/>
              </w:rPr>
              <w:t>4.5  Offline operation</w:t>
            </w:r>
          </w:p>
          <w:p>
            <w:pPr>
              <w:spacing w:after="80" w:line="276" w:lineRule="auto"/>
              <w:jc w:val="both"/>
            </w:pPr>
            <w:r>
              <w:rPr>
                <w:rFonts w:ascii="Times New Roman" w:hAnsi="Times New Roman" w:eastAsia="바탕"/>
                <w:sz w:val="20"/>
              </w:rPr>
              <w:t>4.6  Privacy</w:t>
            </w:r>
          </w:p>
          <w:p>
            <w:pPr>
              <w:spacing w:after="80" w:line="276" w:lineRule="auto"/>
              <w:jc w:val="both"/>
            </w:pPr>
            <w:r>
              <w:rPr>
                <w:rFonts w:ascii="Times New Roman" w:hAnsi="Times New Roman" w:eastAsia="바탕"/>
                <w:sz w:val="20"/>
              </w:rPr>
              <w:t>4.7  The repository and how the team worked</w:t>
            </w:r>
          </w:p>
          <w:p>
            <w:pPr>
              <w:spacing w:after="80" w:line="276" w:lineRule="auto"/>
              <w:jc w:val="both"/>
            </w:pPr>
            <w:r>
              <w:rPr>
                <w:rFonts w:ascii="Times New Roman" w:hAnsi="Times New Roman" w:eastAsia="바탕"/>
                <w:b/>
                <w:sz w:val="20"/>
              </w:rPr>
              <w:t>Results and Expected Impact (SDG 3 Contribution)</w:t>
            </w:r>
          </w:p>
          <w:p>
            <w:pPr>
              <w:spacing w:after="80" w:line="276" w:lineRule="auto"/>
              <w:jc w:val="both"/>
            </w:pPr>
            <w:r>
              <w:rPr>
                <w:rFonts w:ascii="Times New Roman" w:hAnsi="Times New Roman" w:eastAsia="바탕"/>
                <w:sz w:val="20"/>
              </w:rPr>
              <w:t>5.1  Formative evaluation: whether the information arrives</w:t>
            </w:r>
          </w:p>
          <w:p>
            <w:pPr>
              <w:spacing w:after="80" w:line="276" w:lineRule="auto"/>
              <w:jc w:val="both"/>
            </w:pPr>
            <w:r>
              <w:rPr>
                <w:rFonts w:ascii="Times New Roman" w:hAnsi="Times New Roman" w:eastAsia="바탕"/>
                <w:sz w:val="20"/>
              </w:rPr>
              <w:t>5.2  A procedure for verifying pictogram comprehension</w:t>
            </w:r>
          </w:p>
          <w:p>
            <w:pPr>
              <w:spacing w:after="80" w:line="276" w:lineRule="auto"/>
              <w:jc w:val="both"/>
            </w:pPr>
            <w:r>
              <w:rPr>
                <w:rFonts w:ascii="Times New Roman" w:hAnsi="Times New Roman" w:eastAsia="바탕"/>
                <w:sz w:val="20"/>
              </w:rPr>
              <w:t>5.3  Morphemes judged unimprovable</w:t>
            </w:r>
          </w:p>
          <w:p>
            <w:pPr>
              <w:spacing w:after="80" w:line="276" w:lineRule="auto"/>
              <w:jc w:val="both"/>
            </w:pPr>
            <w:r>
              <w:rPr>
                <w:rFonts w:ascii="Times New Roman" w:hAnsi="Times New Roman" w:eastAsia="바탕"/>
                <w:sz w:val="20"/>
              </w:rPr>
              <w:t>5.4  Limits of the measurement</w:t>
            </w:r>
          </w:p>
          <w:p>
            <w:pPr>
              <w:spacing w:after="80" w:line="276" w:lineRule="auto"/>
              <w:jc w:val="both"/>
            </w:pPr>
            <w:r>
              <w:rPr>
                <w:rFonts w:ascii="Times New Roman" w:hAnsi="Times New Roman" w:eastAsia="바탕"/>
                <w:sz w:val="20"/>
              </w:rPr>
              <w:t>5.5  Measured performance of the nutrition estimation model</w:t>
            </w:r>
          </w:p>
          <w:p>
            <w:pPr>
              <w:spacing w:after="80" w:line="276" w:lineRule="auto"/>
              <w:jc w:val="both"/>
            </w:pPr>
            <w:r>
              <w:rPr>
                <w:rFonts w:ascii="Times New Roman" w:hAnsi="Times New Roman" w:eastAsia="바탕"/>
                <w:sz w:val="20"/>
              </w:rPr>
              <w:t>5.6  Measured offline operation</w:t>
            </w:r>
          </w:p>
          <w:p>
            <w:pPr>
              <w:spacing w:after="80" w:line="276" w:lineRule="auto"/>
              <w:jc w:val="both"/>
            </w:pPr>
            <w:r>
              <w:rPr>
                <w:rFonts w:ascii="Times New Roman" w:hAnsi="Times New Roman" w:eastAsia="바탕"/>
                <w:sz w:val="20"/>
              </w:rPr>
              <w:t>5.7  Expert opinion survey</w:t>
            </w:r>
          </w:p>
          <w:p>
            <w:pPr>
              <w:spacing w:after="80" w:line="276" w:lineRule="auto"/>
              <w:jc w:val="both"/>
            </w:pPr>
            <w:r>
              <w:rPr>
                <w:rFonts w:ascii="Times New Roman" w:hAnsi="Times New Roman" w:eastAsia="바탕"/>
                <w:sz w:val="20"/>
              </w:rPr>
              <w:t>5.8  Contribution to SDG 3</w:t>
            </w:r>
          </w:p>
          <w:p>
            <w:pPr>
              <w:spacing w:after="80" w:line="276" w:lineRule="auto"/>
              <w:jc w:val="both"/>
            </w:pPr>
            <w:r>
              <w:rPr>
                <w:rFonts w:ascii="Times New Roman" w:hAnsi="Times New Roman" w:eastAsia="바탕"/>
                <w:sz w:val="20"/>
              </w:rPr>
              <w:t>5.9  Unverified items</w:t>
            </w:r>
          </w:p>
          <w:p>
            <w:pPr>
              <w:spacing w:after="80" w:line="276" w:lineRule="auto"/>
              <w:jc w:val="both"/>
            </w:pPr>
            <w:r>
              <w:rPr>
                <w:rFonts w:ascii="Times New Roman" w:hAnsi="Times New Roman" w:eastAsia="바탕"/>
                <w:sz w:val="20"/>
              </w:rPr>
              <w:t>5.10  Future plans</w:t>
            </w:r>
          </w:p>
          <w:p>
            <w:pPr>
              <w:spacing w:after="80" w:line="276" w:lineRule="auto"/>
              <w:jc w:val="both"/>
            </w:pPr>
            <w:r>
              <w:rPr>
                <w:rFonts w:ascii="Times New Roman" w:hAnsi="Times New Roman" w:eastAsia="바탕"/>
                <w:sz w:val="20"/>
              </w:rPr>
              <w:t>5.11  Appendix. Every free-text response</w:t>
            </w:r>
          </w:p>
          <w:p>
            <w:pPr>
              <w:spacing w:after="80" w:line="276" w:lineRule="auto"/>
              <w:jc w:val="both"/>
            </w:pPr>
            <w:r>
              <w:rPr>
                <w:rFonts w:ascii="Times New Roman" w:hAnsi="Times New Roman" w:eastAsia="바탕"/>
                <w:sz w:val="20"/>
              </w:rPr>
              <w:t>5.12  Appendix. Every multiple-choice response</w:t>
            </w:r>
          </w:p>
          <w:p>
            <w:pPr>
              <w:spacing w:after="80" w:line="276" w:lineRule="auto"/>
              <w:jc w:val="both"/>
            </w:pPr>
            <w:r>
              <w:rPr>
                <w:rFonts w:ascii="Times New Roman" w:hAnsi="Times New Roman" w:eastAsia="바탕"/>
                <w:sz w:val="20"/>
              </w:rPr>
              <w:t xml:space="preserve">Taking medicine as directed is hard for anyone. In a meta-analysis pooling 22 studies and 92,443 subjects on hypertension in low- and middle-income countries, non-adherence ranged from 25.45% to 63.35% depending on the instrument used (Nielsen, J. Ø., Shrestha, A. D., Neupane, D. &amp; Kallestrup, P., "Non-adherence to anti-hypertensive medication in low- and middle-income countries: a systematic review and meta-analysis of 92443 subjects," </w:t>
            </w:r>
            <w:r>
              <w:rPr>
                <w:rFonts w:ascii="Times New Roman" w:hAnsi="Times New Roman" w:eastAsia="바탕"/>
                <w:i/>
                <w:sz w:val="20"/>
              </w:rPr>
              <w:t>Journal of Human Hypertension</w:t>
            </w:r>
            <w:r>
              <w:rPr>
                <w:rFonts w:ascii="Times New Roman" w:hAnsi="Times New Roman" w:eastAsia="바탕"/>
                <w:sz w:val="20"/>
              </w:rPr>
              <w:t xml:space="preserve">, 31(1):14–21, 2017, doi:10.1038/jhh.2016.31), and in the United States the avoidable health care costs arising from medication non-adherence are estimated at $100 billion to $300 billion a year (Iuga, A. O. &amp; McGuire, M. J., "Adherence and health care costs," </w:t>
            </w:r>
            <w:r>
              <w:rPr>
                <w:rFonts w:ascii="Times New Roman" w:hAnsi="Times New Roman" w:eastAsia="바탕"/>
                <w:i/>
                <w:sz w:val="20"/>
              </w:rPr>
              <w:t>Risk Management and Healthcare Policy</w:t>
            </w:r>
            <w:r>
              <w:rPr>
                <w:rFonts w:ascii="Times New Roman" w:hAnsi="Times New Roman" w:eastAsia="바탕"/>
                <w:sz w:val="20"/>
              </w:rPr>
              <w:t>, 7:35–44, 2014, doi:10.2147/RMHP.S19801). This is not the problem of one group. From finding in the evening the supplement meant for the morning, to stopping an antibiotic on the day the symptoms fade, the same kind of failure runs through.</w:t>
            </w:r>
          </w:p>
          <w:p>
            <w:pPr>
              <w:spacing w:after="80" w:line="276" w:lineRule="auto"/>
              <w:jc w:val="both"/>
            </w:pPr>
            <w:r>
              <w:rPr>
                <w:rFonts w:ascii="Times New Roman" w:hAnsi="Times New Roman" w:eastAsia="바탕"/>
                <w:sz w:val="20"/>
              </w:rPr>
              <w:t>The mechanism of that failure is mostly not reading. Three studies this document cites later point at the same place from three different tasks. What the authors identified as the reason non-literate users slowed down on a hierarchical screen was the load of holding in mind how far down they had gone (§1.10); the one screen out of six for estimating food portions on which nobody succeeded was the screen that made people forget which dimension they had already measured (§1.10); and what older adults said about interactive voice response was that it demands attention and concentration in particular (§2.3). All three are matters of working memory and attention rather than of letters.</w:t>
            </w:r>
          </w:p>
          <w:p>
            <w:pPr>
              <w:spacing w:after="80" w:line="276" w:lineRule="auto"/>
              <w:jc w:val="both"/>
            </w:pPr>
            <w:r>
              <w:rPr>
                <w:rFonts w:ascii="Times New Roman" w:hAnsi="Times New Roman" w:eastAsia="바탕"/>
                <w:sz w:val="20"/>
              </w:rPr>
              <w:t xml:space="preserve">If that is so, the conditions under which this failure grows heavier do not narrow to reading either. States that load executive function, such as attention deficit hyperactivity disorder and burnout; states with damage to memory and movement, such as Alzheimer's disease and Parkinson's disease; states that are temporary but common, such as lack of sleep and sustained stress; and old age all sit on the same axis. To these are added the conditions that block reading itself, non-literacy and dyslexia. That 79.4% of 131 Korean adults over 65 took their medicines themselves while only 28.2% had received medication safety education gives some measure of that axis (Lee, M., Kim, K., Rhew, K. &amp; Choi, K.-H., "A knowledge, attitude, and practice survey on medication safety in Korean older adults," </w:t>
            </w:r>
            <w:r>
              <w:rPr>
                <w:rFonts w:ascii="Times New Roman" w:hAnsi="Times New Roman" w:eastAsia="바탕"/>
                <w:i/>
                <w:sz w:val="20"/>
              </w:rPr>
              <w:t>Healthcare</w:t>
            </w:r>
            <w:r>
              <w:rPr>
                <w:rFonts w:ascii="Times New Roman" w:hAnsi="Times New Roman" w:eastAsia="바탕"/>
                <w:sz w:val="20"/>
              </w:rPr>
              <w:t>, 9(10):1365, 2021, doi:10.3390/healthcare9101365).</w:t>
            </w:r>
          </w:p>
          <w:p>
            <w:pPr>
              <w:spacing w:after="80" w:line="276" w:lineRule="auto"/>
              <w:jc w:val="both"/>
            </w:pPr>
            <w:r>
              <w:rPr>
                <w:rFonts w:ascii="Times New Roman" w:hAnsi="Times New Roman" w:eastAsia="바탕"/>
                <w:sz w:val="20"/>
              </w:rPr>
              <w:t>That is the order in which this document narrows the problem. It takes the harshest of these conditions, non-literacy, where the instruction never arrives at all, and stays with it through §1.12. A design that holds under that condition holds under the others, while the reverse does not follow. That logic is set out formally in §1.13, and the full range of the target together with where each condition blocks is laid out in a table in the same section. The design from §2 onward and the evaluation in §5 all take that harshest condition as their standard.</w:t>
            </w:r>
          </w:p>
          <w:p>
            <w:pPr>
              <w:spacing w:before="180" w:after="40"/>
            </w:pPr>
            <w:r>
              <w:rPr>
                <w:rFonts w:ascii="Times New Roman" w:hAnsi="Times New Roman" w:eastAsia="바탕"/>
                <w:b/>
                <w:sz w:val="23"/>
              </w:rPr>
              <w:t>1.1 The size and trend of the non-literate population</w:t>
            </w:r>
          </w:p>
          <w:p>
            <w:pPr>
              <w:spacing w:after="80" w:line="276" w:lineRule="auto"/>
              <w:jc w:val="both"/>
            </w:pPr>
            <w:r>
              <w:rPr>
                <w:rFonts w:ascii="Times New Roman" w:hAnsi="Times New Roman" w:eastAsia="바탕"/>
                <w:sz w:val="20"/>
              </w:rPr>
              <w:t xml:space="preserve">There are 739 million non-literate adults worldwide, and roughly two thirds of them, 466 million, are women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The adult literacy rate rose from 86% in 2015 to 88% in 2024, so on the numbers alone the situation is improving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p>
            <w:pPr>
              <w:spacing w:after="80" w:line="276" w:lineRule="auto"/>
              <w:jc w:val="both"/>
            </w:pPr>
            <w:r>
              <w:rPr>
                <w:rFonts w:ascii="Times New Roman" w:hAnsi="Times New Roman" w:eastAsia="바탕"/>
                <w:sz w:val="20"/>
              </w:rPr>
              <w:t xml:space="preserve">There are regions, however, where the improvement in the rate has not kept pace with population growth. In sub-Saharan Africa the literacy rate rose from 65% to 69% over the same period, yet the absolute number of non-literate adults grew from 196 million to 225 million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The same happened in Western Asia and Northern Africa. While the literacy rate rose from 82% to 84%, the number of non-literate adults rose from 59 million to 65 million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It is not an accident of one region but a second case of the rate and the absolute number moving apart. Central and Southern Asia follows with 347 million, the second largest total after sub-Saharan Africa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A caveat attaches to the fall in the global number of non-literate adults from 754 million in 2023 to 739 million in 2024 as well. It reflects both the UN Population Division's 2024 revision of World Population Prospects and updated national literacy statistics, and the factsheet states that India's literacy rate being revised upward from 77% to 81% contributed significantly to the global reduction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Fifteen million people did not learn to read in a single year: part of the change lies in how the counting was done. The number of people this app is aimed at does not fall because a statistic was revised. More than half of all non-literate adults, 441 million people, are concentrated in ten countries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p>
            <w:pPr>
              <w:spacing w:after="80" w:line="276" w:lineRule="auto"/>
              <w:jc w:val="both"/>
            </w:pPr>
            <w:r>
              <w:rPr>
                <w:rFonts w:ascii="Times New Roman" w:hAnsi="Times New Roman" w:eastAsia="바탕"/>
                <w:sz w:val="20"/>
              </w:rPr>
              <w:t>This is therefore not the kind of problem that time resolves on its own. While education expands, the number of people collecting medicine today does not fall.</w:t>
            </w:r>
          </w:p>
          <w:p>
            <w:pPr>
              <w:spacing w:after="80" w:line="276" w:lineRule="auto"/>
              <w:jc w:val="both"/>
            </w:pPr>
            <w:r>
              <w:rPr>
                <w:rFonts w:ascii="Times New Roman" w:hAnsi="Times New Roman" w:eastAsia="바탕"/>
                <w:sz w:val="20"/>
              </w:rPr>
              <w:t xml:space="preserve">Averages hide the size of the problem. The fifteen countries with the lowest adult literacy rates fall between 29% and 60%, and Chad stands at 28%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p>
            <w:pPr>
              <w:spacing w:after="80" w:line="276" w:lineRule="auto"/>
              <w:jc w:val="both"/>
            </w:pPr>
            <w:r>
              <w:rPr>
                <w:rFonts w:ascii="Times New Roman" w:hAnsi="Times New Roman" w:eastAsia="바탕"/>
                <w:sz w:val="20"/>
              </w:rPr>
              <w:t xml:space="preserve">The values below are not period averages. Each is </w:t>
            </w:r>
            <w:r>
              <w:rPr>
                <w:rFonts w:ascii="Times New Roman" w:hAnsi="Times New Roman" w:eastAsia="바탕"/>
                <w:b/>
                <w:sz w:val="20"/>
              </w:rPr>
              <w:t>the value from the single most recent survey year available for that country within the 2015 to 2024 census round</w:t>
            </w:r>
            <w:r>
              <w:rPr>
                <w:rFonts w:ascii="Times New Roman" w:hAnsi="Times New Roman" w:eastAsia="바탕"/>
                <w:sz w:val="20"/>
              </w:rPr>
              <w:t>, so the reference year differs from country to country. National literacy rates vary considerably with survey year and definition (the same country can differ by more than 10 percentage points across different compilations), so only values from within a single source are used here, which keeps them comparable with one another.</w:t>
            </w:r>
          </w:p>
          <w:p>
            <w:pPr>
              <w:spacing w:after="80" w:line="276" w:lineRule="auto"/>
              <w:jc w:val="both"/>
            </w:pPr>
            <w:r>
              <w:rPr>
                <w:rFonts w:ascii="Times New Roman" w:hAnsi="Times New Roman" w:eastAsia="바탕"/>
                <w:sz w:val="20"/>
              </w:rPr>
              <w:t xml:space="preserve">[Table 1] Countries with low adult literacy rates (2015–2024 census round; UNESCO, </w:t>
            </w:r>
            <w:r>
              <w:rPr>
                <w:rFonts w:ascii="Times New Roman" w:hAnsi="Times New Roman" w:eastAsia="바탕"/>
                <w:i/>
                <w:sz w:val="20"/>
              </w:rPr>
              <w:t>Youth and Adult Literacy: International Literacy Day 2025 Factsheet</w:t>
            </w:r>
            <w:r>
              <w:rPr>
                <w:rFonts w:ascii="Times New Roman" w:hAnsi="Times New Roman" w:eastAsia="바탕"/>
                <w:sz w:val="20"/>
              </w:rPr>
              <w:t>, 2025)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Country</w:t>
                  </w:r>
                </w:p>
              </w:tc>
              <w:tc>
                <w:tcPr>
                  <w:tcW w:type="dxa" w:w="2441"/>
                  <w:shd w:val="clear" w:fill="F2F2F2"/>
                </w:tcPr>
                <w:p>
                  <w:r>
                    <w:rPr>
                      <w:rFonts w:ascii="Times New Roman" w:hAnsi="Times New Roman" w:eastAsia="바탕"/>
                      <w:b/>
                      <w:sz w:val="18"/>
                    </w:rPr>
                    <w:t>Adult literacy</w:t>
                  </w:r>
                </w:p>
              </w:tc>
              <w:tc>
                <w:tcPr>
                  <w:tcW w:type="dxa" w:w="2441"/>
                  <w:shd w:val="clear" w:fill="F2F2F2"/>
                </w:tcPr>
                <w:p>
                  <w:r>
                    <w:rPr>
                      <w:rFonts w:ascii="Times New Roman" w:hAnsi="Times New Roman" w:eastAsia="바탕"/>
                      <w:b/>
                      <w:sz w:val="18"/>
                    </w:rPr>
                    <w:t>Country</w:t>
                  </w:r>
                </w:p>
              </w:tc>
              <w:tc>
                <w:tcPr>
                  <w:tcW w:type="dxa" w:w="2441"/>
                  <w:shd w:val="clear" w:fill="F2F2F2"/>
                </w:tcPr>
                <w:p>
                  <w:r>
                    <w:rPr>
                      <w:rFonts w:ascii="Times New Roman" w:hAnsi="Times New Roman" w:eastAsia="바탕"/>
                      <w:b/>
                      <w:sz w:val="18"/>
                    </w:rPr>
                    <w:t>Adult literacy</w:t>
                  </w:r>
                </w:p>
              </w:tc>
            </w:tr>
            <w:tr>
              <w:tc>
                <w:tcPr>
                  <w:tcW w:type="dxa" w:w="2441"/>
                </w:tcPr>
                <w:p>
                  <w:r>
                    <w:rPr>
                      <w:rFonts w:ascii="Times New Roman" w:hAnsi="Times New Roman" w:eastAsia="바탕"/>
                      <w:sz w:val="18"/>
                    </w:rPr>
                    <w:t>Chad</w:t>
                  </w:r>
                </w:p>
              </w:tc>
              <w:tc>
                <w:tcPr>
                  <w:tcW w:type="dxa" w:w="2441"/>
                </w:tcPr>
                <w:p>
                  <w:r>
                    <w:rPr>
                      <w:rFonts w:ascii="Times New Roman" w:hAnsi="Times New Roman" w:eastAsia="바탕"/>
                      <w:sz w:val="18"/>
                    </w:rPr>
                    <w:t>28%</w:t>
                  </w:r>
                </w:p>
              </w:tc>
              <w:tc>
                <w:tcPr>
                  <w:tcW w:type="dxa" w:w="2441"/>
                </w:tcPr>
                <w:p>
                  <w:r>
                    <w:rPr>
                      <w:rFonts w:ascii="Times New Roman" w:hAnsi="Times New Roman" w:eastAsia="바탕"/>
                      <w:sz w:val="18"/>
                    </w:rPr>
                    <w:t>Guinea</w:t>
                  </w:r>
                </w:p>
              </w:tc>
              <w:tc>
                <w:tcPr>
                  <w:tcW w:type="dxa" w:w="2441"/>
                </w:tcPr>
                <w:p>
                  <w:r>
                    <w:rPr>
                      <w:rFonts w:ascii="Times New Roman" w:hAnsi="Times New Roman" w:eastAsia="바탕"/>
                      <w:sz w:val="18"/>
                    </w:rPr>
                    <w:t>48%</w:t>
                  </w:r>
                </w:p>
              </w:tc>
            </w:tr>
            <w:tr>
              <w:tc>
                <w:tcPr>
                  <w:tcW w:type="dxa" w:w="2441"/>
                </w:tcPr>
                <w:p>
                  <w:r>
                    <w:rPr>
                      <w:rFonts w:ascii="Times New Roman" w:hAnsi="Times New Roman" w:eastAsia="바탕"/>
                      <w:sz w:val="18"/>
                    </w:rPr>
                    <w:t>South Sudan</w:t>
                  </w:r>
                </w:p>
              </w:tc>
              <w:tc>
                <w:tcPr>
                  <w:tcW w:type="dxa" w:w="2441"/>
                </w:tcPr>
                <w:p>
                  <w:r>
                    <w:rPr>
                      <w:rFonts w:ascii="Times New Roman" w:hAnsi="Times New Roman" w:eastAsia="바탕"/>
                      <w:sz w:val="18"/>
                    </w:rPr>
                    <w:t>35%</w:t>
                  </w:r>
                </w:p>
              </w:tc>
              <w:tc>
                <w:tcPr>
                  <w:tcW w:type="dxa" w:w="2441"/>
                </w:tcPr>
                <w:p>
                  <w:r>
                    <w:rPr>
                      <w:rFonts w:ascii="Times New Roman" w:hAnsi="Times New Roman" w:eastAsia="바탕"/>
                      <w:sz w:val="18"/>
                    </w:rPr>
                    <w:t>Liberia</w:t>
                  </w:r>
                </w:p>
              </w:tc>
              <w:tc>
                <w:tcPr>
                  <w:tcW w:type="dxa" w:w="2441"/>
                </w:tcPr>
                <w:p>
                  <w:r>
                    <w:rPr>
                      <w:rFonts w:ascii="Times New Roman" w:hAnsi="Times New Roman" w:eastAsia="바탕"/>
                      <w:sz w:val="18"/>
                    </w:rPr>
                    <w:t>48%</w:t>
                  </w:r>
                </w:p>
              </w:tc>
            </w:tr>
            <w:tr>
              <w:tc>
                <w:tcPr>
                  <w:tcW w:type="dxa" w:w="2441"/>
                </w:tcPr>
                <w:p>
                  <w:r>
                    <w:rPr>
                      <w:rFonts w:ascii="Times New Roman" w:hAnsi="Times New Roman" w:eastAsia="바탕"/>
                      <w:sz w:val="18"/>
                    </w:rPr>
                    <w:t>Burkina Faso</w:t>
                  </w:r>
                </w:p>
              </w:tc>
              <w:tc>
                <w:tcPr>
                  <w:tcW w:type="dxa" w:w="2441"/>
                </w:tcPr>
                <w:p>
                  <w:r>
                    <w:rPr>
                      <w:rFonts w:ascii="Times New Roman" w:hAnsi="Times New Roman" w:eastAsia="바탕"/>
                      <w:sz w:val="18"/>
                    </w:rPr>
                    <w:t>37%</w:t>
                  </w:r>
                </w:p>
              </w:tc>
              <w:tc>
                <w:tcPr>
                  <w:tcW w:type="dxa" w:w="2441"/>
                </w:tcPr>
                <w:p>
                  <w:r>
                    <w:rPr>
                      <w:rFonts w:ascii="Times New Roman" w:hAnsi="Times New Roman" w:eastAsia="바탕"/>
                      <w:sz w:val="18"/>
                    </w:rPr>
                    <w:t>Ethiopia</w:t>
                  </w:r>
                </w:p>
              </w:tc>
              <w:tc>
                <w:tcPr>
                  <w:tcW w:type="dxa" w:w="2441"/>
                </w:tcPr>
                <w:p>
                  <w:r>
                    <w:rPr>
                      <w:rFonts w:ascii="Times New Roman" w:hAnsi="Times New Roman" w:eastAsia="바탕"/>
                      <w:sz w:val="18"/>
                    </w:rPr>
                    <w:t>51.8%</w:t>
                  </w:r>
                </w:p>
              </w:tc>
            </w:tr>
            <w:tr>
              <w:tc>
                <w:tcPr>
                  <w:tcW w:type="dxa" w:w="2441"/>
                </w:tcPr>
                <w:p>
                  <w:r>
                    <w:rPr>
                      <w:rFonts w:ascii="Times New Roman" w:hAnsi="Times New Roman" w:eastAsia="바탕"/>
                      <w:sz w:val="18"/>
                    </w:rPr>
                    <w:t>Afghanistan</w:t>
                  </w:r>
                </w:p>
              </w:tc>
              <w:tc>
                <w:tcPr>
                  <w:tcW w:type="dxa" w:w="2441"/>
                </w:tcPr>
                <w:p>
                  <w:r>
                    <w:rPr>
                      <w:rFonts w:ascii="Times New Roman" w:hAnsi="Times New Roman" w:eastAsia="바탕"/>
                      <w:sz w:val="18"/>
                    </w:rPr>
                    <w:t>37%</w:t>
                  </w:r>
                </w:p>
              </w:tc>
              <w:tc>
                <w:tcPr>
                  <w:tcW w:type="dxa" w:w="2441"/>
                </w:tcPr>
                <w:p>
                  <w:r>
                    <w:rPr>
                      <w:rFonts w:ascii="Times New Roman" w:hAnsi="Times New Roman" w:eastAsia="바탕"/>
                      <w:sz w:val="18"/>
                    </w:rPr>
                    <w:t>Somalia</w:t>
                  </w:r>
                </w:p>
              </w:tc>
              <w:tc>
                <w:tcPr>
                  <w:tcW w:type="dxa" w:w="2441"/>
                </w:tcPr>
                <w:p>
                  <w:r>
                    <w:rPr>
                      <w:rFonts w:ascii="Times New Roman" w:hAnsi="Times New Roman" w:eastAsia="바탕"/>
                      <w:sz w:val="18"/>
                    </w:rPr>
                    <w:t>54%</w:t>
                  </w:r>
                </w:p>
              </w:tc>
            </w:tr>
            <w:tr>
              <w:tc>
                <w:tcPr>
                  <w:tcW w:type="dxa" w:w="2441"/>
                </w:tcPr>
                <w:p>
                  <w:r>
                    <w:rPr>
                      <w:rFonts w:ascii="Times New Roman" w:hAnsi="Times New Roman" w:eastAsia="바탕"/>
                      <w:sz w:val="18"/>
                    </w:rPr>
                    <w:t>Niger</w:t>
                  </w:r>
                </w:p>
              </w:tc>
              <w:tc>
                <w:tcPr>
                  <w:tcW w:type="dxa" w:w="2441"/>
                </w:tcPr>
                <w:p>
                  <w:r>
                    <w:rPr>
                      <w:rFonts w:ascii="Times New Roman" w:hAnsi="Times New Roman" w:eastAsia="바탕"/>
                      <w:sz w:val="18"/>
                    </w:rPr>
                    <w:t>38%</w:t>
                  </w:r>
                </w:p>
              </w:tc>
              <w:tc>
                <w:tcPr>
                  <w:tcW w:type="dxa" w:w="2441"/>
                </w:tcPr>
                <w:p>
                  <w:r>
                    <w:rPr>
                      <w:rFonts w:ascii="Times New Roman" w:hAnsi="Times New Roman" w:eastAsia="바탕"/>
                      <w:sz w:val="18"/>
                    </w:rPr>
                    <w:t>Guinea-Bissau</w:t>
                  </w:r>
                </w:p>
              </w:tc>
              <w:tc>
                <w:tcPr>
                  <w:tcW w:type="dxa" w:w="2441"/>
                </w:tcPr>
                <w:p>
                  <w:r>
                    <w:rPr>
                      <w:rFonts w:ascii="Times New Roman" w:hAnsi="Times New Roman" w:eastAsia="바탕"/>
                      <w:sz w:val="18"/>
                    </w:rPr>
                    <w:t>56%</w:t>
                  </w:r>
                </w:p>
              </w:tc>
            </w:tr>
            <w:tr>
              <w:tc>
                <w:tcPr>
                  <w:tcW w:type="dxa" w:w="2441"/>
                </w:tcPr>
                <w:p>
                  <w:r>
                    <w:rPr>
                      <w:rFonts w:ascii="Times New Roman" w:hAnsi="Times New Roman" w:eastAsia="바탕"/>
                      <w:sz w:val="18"/>
                    </w:rPr>
                    <w:t>Central African Republic</w:t>
                  </w:r>
                </w:p>
              </w:tc>
              <w:tc>
                <w:tcPr>
                  <w:tcW w:type="dxa" w:w="2441"/>
                </w:tcPr>
                <w:p>
                  <w:r>
                    <w:rPr>
                      <w:rFonts w:ascii="Times New Roman" w:hAnsi="Times New Roman" w:eastAsia="바탕"/>
                      <w:sz w:val="18"/>
                    </w:rPr>
                    <w:t>38%</w:t>
                  </w:r>
                </w:p>
              </w:tc>
              <w:tc>
                <w:tcPr>
                  <w:tcW w:type="dxa" w:w="2441"/>
                </w:tcPr>
                <w:p>
                  <w:r>
                    <w:rPr>
                      <w:rFonts w:ascii="Times New Roman" w:hAnsi="Times New Roman" w:eastAsia="바탕"/>
                      <w:sz w:val="18"/>
                    </w:rPr>
                    <w:t>Benin</w:t>
                  </w:r>
                </w:p>
              </w:tc>
              <w:tc>
                <w:tcPr>
                  <w:tcW w:type="dxa" w:w="2441"/>
                </w:tcPr>
                <w:p>
                  <w:r>
                    <w:rPr>
                      <w:rFonts w:ascii="Times New Roman" w:hAnsi="Times New Roman" w:eastAsia="바탕"/>
                      <w:sz w:val="18"/>
                    </w:rPr>
                    <w:t>58%</w:t>
                  </w:r>
                </w:p>
              </w:tc>
            </w:tr>
            <w:tr>
              <w:tc>
                <w:tcPr>
                  <w:tcW w:type="dxa" w:w="2441"/>
                </w:tcPr>
                <w:p>
                  <w:r>
                    <w:rPr>
                      <w:rFonts w:ascii="Times New Roman" w:hAnsi="Times New Roman" w:eastAsia="바탕"/>
                      <w:sz w:val="18"/>
                    </w:rPr>
                    <w:t>Mali</w:t>
                  </w:r>
                </w:p>
              </w:tc>
              <w:tc>
                <w:tcPr>
                  <w:tcW w:type="dxa" w:w="2441"/>
                </w:tcPr>
                <w:p>
                  <w:r>
                    <w:rPr>
                      <w:rFonts w:ascii="Times New Roman" w:hAnsi="Times New Roman" w:eastAsia="바탕"/>
                      <w:sz w:val="18"/>
                    </w:rPr>
                    <w:t>44%</w:t>
                  </w:r>
                </w:p>
              </w:tc>
              <w:tc>
                <w:tcPr>
                  <w:tcW w:type="dxa" w:w="2441"/>
                </w:tcPr>
                <w:p>
                  <w:r>
                    <w:rPr>
                      <w:rFonts w:ascii="Times New Roman" w:hAnsi="Times New Roman" w:eastAsia="바탕"/>
                      <w:sz w:val="18"/>
                    </w:rPr>
                    <w:t>Pakistan</w:t>
                  </w:r>
                </w:p>
              </w:tc>
              <w:tc>
                <w:tcPr>
                  <w:tcW w:type="dxa" w:w="2441"/>
                </w:tcPr>
                <w:p>
                  <w:r>
                    <w:rPr>
                      <w:rFonts w:ascii="Times New Roman" w:hAnsi="Times New Roman" w:eastAsia="바탕"/>
                      <w:sz w:val="18"/>
                    </w:rPr>
                    <w:t>58%</w:t>
                  </w:r>
                </w:p>
              </w:tc>
            </w:tr>
            <w:tr>
              <w:tc>
                <w:tcPr>
                  <w:tcW w:type="dxa" w:w="2441"/>
                </w:tcPr>
                <w:p/>
              </w:tc>
              <w:tc>
                <w:tcPr>
                  <w:tcW w:type="dxa" w:w="2441"/>
                </w:tcPr>
                <w:p/>
              </w:tc>
              <w:tc>
                <w:tcPr>
                  <w:tcW w:type="dxa" w:w="2441"/>
                </w:tcPr>
                <w:p>
                  <w:r>
                    <w:rPr>
                      <w:rFonts w:ascii="Times New Roman" w:hAnsi="Times New Roman" w:eastAsia="바탕"/>
                      <w:sz w:val="18"/>
                    </w:rPr>
                    <w:t>Sierra Leone</w:t>
                  </w:r>
                </w:p>
              </w:tc>
              <w:tc>
                <w:tcPr>
                  <w:tcW w:type="dxa" w:w="2441"/>
                </w:tcPr>
                <w:p>
                  <w:r>
                    <w:rPr>
                      <w:rFonts w:ascii="Times New Roman" w:hAnsi="Times New Roman" w:eastAsia="바탕"/>
                      <w:sz w:val="18"/>
                    </w:rPr>
                    <w:t>60%</w:t>
                  </w:r>
                </w:p>
              </w:tc>
            </w:tr>
          </w:tbl>
          <w:p/>
          <w:p>
            <w:pPr>
              <w:spacing w:after="120"/>
            </w:pPr>
          </w:p>
          <w:p>
            <w:pPr>
              <w:spacing w:after="80" w:line="276" w:lineRule="auto"/>
              <w:jc w:val="both"/>
            </w:pPr>
            <w:r>
              <w:rPr>
                <w:rFonts w:ascii="Times New Roman" w:hAnsi="Times New Roman" w:eastAsia="바탕"/>
                <w:sz w:val="20"/>
              </w:rPr>
              <w:t>In Chad seven adults in ten cannot read a prescription. In these countries a paper prescription is close to a literally blank sheet.</w:t>
            </w:r>
          </w:p>
          <w:p>
            <w:pPr>
              <w:spacing w:after="80" w:line="276" w:lineRule="auto"/>
              <w:jc w:val="both"/>
            </w:pPr>
            <w:r>
              <w:rPr>
                <w:rFonts w:ascii="Times New Roman" w:hAnsi="Times New Roman" w:eastAsia="바탕"/>
                <w:sz w:val="20"/>
              </w:rPr>
              <w:t>The countries with the worst rates and the countries with the most people, however, largely do not overlap. More than half of all non-literate adults, 441 million, are concentrated in ten countries, and those ten are mostly populous ones.</w:t>
            </w:r>
          </w:p>
          <w:p>
            <w:pPr>
              <w:spacing w:after="80" w:line="276" w:lineRule="auto"/>
              <w:jc w:val="both"/>
            </w:pPr>
            <w:r>
              <w:rPr>
                <w:rFonts w:ascii="Times New Roman" w:hAnsi="Times New Roman" w:eastAsia="바탕"/>
                <w:sz w:val="20"/>
              </w:rPr>
              <w:t xml:space="preserve">[Table 2] The ten countries with the most non-literate adults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Country</w:t>
                  </w:r>
                </w:p>
              </w:tc>
              <w:tc>
                <w:tcPr>
                  <w:tcW w:type="dxa" w:w="2441"/>
                  <w:shd w:val="clear" w:fill="F2F2F2"/>
                </w:tcPr>
                <w:p>
                  <w:r>
                    <w:rPr>
                      <w:rFonts w:ascii="Times New Roman" w:hAnsi="Times New Roman" w:eastAsia="바탕"/>
                      <w:b/>
                      <w:sz w:val="18"/>
                    </w:rPr>
                    <w:t>Non-literate adults</w:t>
                  </w:r>
                </w:p>
              </w:tc>
              <w:tc>
                <w:tcPr>
                  <w:tcW w:type="dxa" w:w="2441"/>
                  <w:shd w:val="clear" w:fill="F2F2F2"/>
                </w:tcPr>
                <w:p>
                  <w:r>
                    <w:rPr>
                      <w:rFonts w:ascii="Times New Roman" w:hAnsi="Times New Roman" w:eastAsia="바탕"/>
                      <w:b/>
                      <w:sz w:val="18"/>
                    </w:rPr>
                    <w:t>Country</w:t>
                  </w:r>
                </w:p>
              </w:tc>
              <w:tc>
                <w:tcPr>
                  <w:tcW w:type="dxa" w:w="2441"/>
                  <w:shd w:val="clear" w:fill="F2F2F2"/>
                </w:tcPr>
                <w:p>
                  <w:r>
                    <w:rPr>
                      <w:rFonts w:ascii="Times New Roman" w:hAnsi="Times New Roman" w:eastAsia="바탕"/>
                      <w:b/>
                      <w:sz w:val="18"/>
                    </w:rPr>
                    <w:t>Non-literate adults</w:t>
                  </w:r>
                </w:p>
              </w:tc>
            </w:tr>
            <w:tr>
              <w:tc>
                <w:tcPr>
                  <w:tcW w:type="dxa" w:w="2441"/>
                </w:tcPr>
                <w:p>
                  <w:r>
                    <w:rPr>
                      <w:rFonts w:ascii="Times New Roman" w:hAnsi="Times New Roman" w:eastAsia="바탕"/>
                      <w:sz w:val="18"/>
                    </w:rPr>
                    <w:t>India</w:t>
                  </w:r>
                </w:p>
              </w:tc>
              <w:tc>
                <w:tcPr>
                  <w:tcW w:type="dxa" w:w="2441"/>
                </w:tcPr>
                <w:p>
                  <w:r>
                    <w:rPr>
                      <w:rFonts w:ascii="Times New Roman" w:hAnsi="Times New Roman" w:eastAsia="바탕"/>
                      <w:sz w:val="18"/>
                    </w:rPr>
                    <w:t>191 million</w:t>
                  </w:r>
                </w:p>
              </w:tc>
              <w:tc>
                <w:tcPr>
                  <w:tcW w:type="dxa" w:w="2441"/>
                </w:tcPr>
                <w:p>
                  <w:r>
                    <w:rPr>
                      <w:rFonts w:ascii="Times New Roman" w:hAnsi="Times New Roman" w:eastAsia="바탕"/>
                      <w:sz w:val="18"/>
                    </w:rPr>
                    <w:t>Ethiopia</w:t>
                  </w:r>
                </w:p>
              </w:tc>
              <w:tc>
                <w:tcPr>
                  <w:tcW w:type="dxa" w:w="2441"/>
                </w:tcPr>
                <w:p>
                  <w:r>
                    <w:rPr>
                      <w:rFonts w:ascii="Times New Roman" w:hAnsi="Times New Roman" w:eastAsia="바탕"/>
                      <w:sz w:val="18"/>
                    </w:rPr>
                    <w:t>30 million</w:t>
                  </w:r>
                </w:p>
              </w:tc>
            </w:tr>
            <w:tr>
              <w:tc>
                <w:tcPr>
                  <w:tcW w:type="dxa" w:w="2441"/>
                </w:tcPr>
                <w:p>
                  <w:r>
                    <w:rPr>
                      <w:rFonts w:ascii="Times New Roman" w:hAnsi="Times New Roman" w:eastAsia="바탕"/>
                      <w:sz w:val="18"/>
                    </w:rPr>
                    <w:t>Pakistan</w:t>
                  </w:r>
                </w:p>
              </w:tc>
              <w:tc>
                <w:tcPr>
                  <w:tcW w:type="dxa" w:w="2441"/>
                </w:tcPr>
                <w:p>
                  <w:r>
                    <w:rPr>
                      <w:rFonts w:ascii="Times New Roman" w:hAnsi="Times New Roman" w:eastAsia="바탕"/>
                      <w:sz w:val="18"/>
                    </w:rPr>
                    <w:t>59 million</w:t>
                  </w:r>
                </w:p>
              </w:tc>
              <w:tc>
                <w:tcPr>
                  <w:tcW w:type="dxa" w:w="2441"/>
                </w:tcPr>
                <w:p>
                  <w:r>
                    <w:rPr>
                      <w:rFonts w:ascii="Times New Roman" w:hAnsi="Times New Roman" w:eastAsia="바탕"/>
                      <w:sz w:val="18"/>
                    </w:rPr>
                    <w:t>Bangladesh</w:t>
                  </w:r>
                </w:p>
              </w:tc>
              <w:tc>
                <w:tcPr>
                  <w:tcW w:type="dxa" w:w="2441"/>
                </w:tcPr>
                <w:p>
                  <w:r>
                    <w:rPr>
                      <w:rFonts w:ascii="Times New Roman" w:hAnsi="Times New Roman" w:eastAsia="바탕"/>
                      <w:sz w:val="18"/>
                    </w:rPr>
                    <w:t>25 million</w:t>
                  </w:r>
                </w:p>
              </w:tc>
            </w:tr>
            <w:tr>
              <w:tc>
                <w:tcPr>
                  <w:tcW w:type="dxa" w:w="2441"/>
                </w:tcPr>
                <w:p>
                  <w:r>
                    <w:rPr>
                      <w:rFonts w:ascii="Times New Roman" w:hAnsi="Times New Roman" w:eastAsia="바탕"/>
                      <w:sz w:val="18"/>
                    </w:rPr>
                    <w:t>Nigeria</w:t>
                  </w:r>
                </w:p>
              </w:tc>
              <w:tc>
                <w:tcPr>
                  <w:tcW w:type="dxa" w:w="2441"/>
                </w:tcPr>
                <w:p>
                  <w:r>
                    <w:rPr>
                      <w:rFonts w:ascii="Times New Roman" w:hAnsi="Times New Roman" w:eastAsia="바탕"/>
                      <w:sz w:val="18"/>
                    </w:rPr>
                    <w:t>43 million</w:t>
                  </w:r>
                </w:p>
              </w:tc>
              <w:tc>
                <w:tcPr>
                  <w:tcW w:type="dxa" w:w="2441"/>
                </w:tcPr>
                <w:p>
                  <w:r>
                    <w:rPr>
                      <w:rFonts w:ascii="Times New Roman" w:hAnsi="Times New Roman" w:eastAsia="바탕"/>
                      <w:sz w:val="18"/>
                    </w:rPr>
                    <w:t>Egypt</w:t>
                  </w:r>
                </w:p>
              </w:tc>
              <w:tc>
                <w:tcPr>
                  <w:tcW w:type="dxa" w:w="2441"/>
                </w:tcPr>
                <w:p>
                  <w:r>
                    <w:rPr>
                      <w:rFonts w:ascii="Times New Roman" w:hAnsi="Times New Roman" w:eastAsia="바탕"/>
                      <w:sz w:val="18"/>
                    </w:rPr>
                    <w:t>19 million</w:t>
                  </w:r>
                </w:p>
              </w:tc>
            </w:tr>
            <w:tr>
              <w:tc>
                <w:tcPr>
                  <w:tcW w:type="dxa" w:w="2441"/>
                </w:tcPr>
                <w:p>
                  <w:r>
                    <w:rPr>
                      <w:rFonts w:ascii="Times New Roman" w:hAnsi="Times New Roman" w:eastAsia="바탕"/>
                      <w:sz w:val="18"/>
                    </w:rPr>
                    <w:t>China</w:t>
                  </w:r>
                </w:p>
              </w:tc>
              <w:tc>
                <w:tcPr>
                  <w:tcW w:type="dxa" w:w="2441"/>
                </w:tcPr>
                <w:p>
                  <w:r>
                    <w:rPr>
                      <w:rFonts w:ascii="Times New Roman" w:hAnsi="Times New Roman" w:eastAsia="바탕"/>
                      <w:sz w:val="18"/>
                    </w:rPr>
                    <w:t>38 million</w:t>
                  </w:r>
                </w:p>
              </w:tc>
              <w:tc>
                <w:tcPr>
                  <w:tcW w:type="dxa" w:w="2441"/>
                </w:tcPr>
                <w:p>
                  <w:r>
                    <w:rPr>
                      <w:rFonts w:ascii="Times New Roman" w:hAnsi="Times New Roman" w:eastAsia="바탕"/>
                      <w:sz w:val="18"/>
                    </w:rPr>
                    <w:t>Afghanistan</w:t>
                  </w:r>
                </w:p>
              </w:tc>
              <w:tc>
                <w:tcPr>
                  <w:tcW w:type="dxa" w:w="2441"/>
                </w:tcPr>
                <w:p>
                  <w:r>
                    <w:rPr>
                      <w:rFonts w:ascii="Times New Roman" w:hAnsi="Times New Roman" w:eastAsia="바탕"/>
                      <w:sz w:val="18"/>
                    </w:rPr>
                    <w:t>14 million</w:t>
                  </w:r>
                </w:p>
              </w:tc>
            </w:tr>
            <w:tr>
              <w:tc>
                <w:tcPr>
                  <w:tcW w:type="dxa" w:w="2441"/>
                </w:tcPr>
                <w:p/>
              </w:tc>
              <w:tc>
                <w:tcPr>
                  <w:tcW w:type="dxa" w:w="2441"/>
                </w:tcPr>
                <w:p/>
              </w:tc>
              <w:tc>
                <w:tcPr>
                  <w:tcW w:type="dxa" w:w="2441"/>
                </w:tcPr>
                <w:p>
                  <w:r>
                    <w:rPr>
                      <w:rFonts w:ascii="Times New Roman" w:hAnsi="Times New Roman" w:eastAsia="바탕"/>
                      <w:sz w:val="18"/>
                    </w:rPr>
                    <w:t>Brazil</w:t>
                  </w:r>
                </w:p>
              </w:tc>
              <w:tc>
                <w:tcPr>
                  <w:tcW w:type="dxa" w:w="2441"/>
                </w:tcPr>
                <w:p>
                  <w:r>
                    <w:rPr>
                      <w:rFonts w:ascii="Times New Roman" w:hAnsi="Times New Roman" w:eastAsia="바탕"/>
                      <w:sz w:val="18"/>
                    </w:rPr>
                    <w:t>11 million</w:t>
                  </w:r>
                </w:p>
              </w:tc>
            </w:tr>
            <w:tr>
              <w:tc>
                <w:tcPr>
                  <w:tcW w:type="dxa" w:w="2441"/>
                </w:tcPr>
                <w:p/>
              </w:tc>
              <w:tc>
                <w:tcPr>
                  <w:tcW w:type="dxa" w:w="2441"/>
                </w:tcPr>
                <w:p/>
              </w:tc>
              <w:tc>
                <w:tcPr>
                  <w:tcW w:type="dxa" w:w="2441"/>
                </w:tcPr>
                <w:p>
                  <w:r>
                    <w:rPr>
                      <w:rFonts w:ascii="Times New Roman" w:hAnsi="Times New Roman" w:eastAsia="바탕"/>
                      <w:sz w:val="18"/>
                    </w:rPr>
                    <w:t>DR Congo</w:t>
                  </w:r>
                </w:p>
              </w:tc>
              <w:tc>
                <w:tcPr>
                  <w:tcW w:type="dxa" w:w="2441"/>
                </w:tcPr>
                <w:p>
                  <w:r>
                    <w:rPr>
                      <w:rFonts w:ascii="Times New Roman" w:hAnsi="Times New Roman" w:eastAsia="바탕"/>
                      <w:sz w:val="18"/>
                    </w:rPr>
                    <w:t>11 million</w:t>
                  </w:r>
                </w:p>
              </w:tc>
            </w:tr>
          </w:tbl>
          <w:p/>
          <w:p>
            <w:pPr>
              <w:spacing w:after="120"/>
            </w:pPr>
          </w:p>
          <w:p>
            <w:pPr>
              <w:spacing w:after="80" w:line="276" w:lineRule="auto"/>
              <w:jc w:val="both"/>
            </w:pPr>
            <w:r>
              <w:rPr>
                <w:rFonts w:ascii="Times New Roman" w:hAnsi="Times New Roman" w:eastAsia="바탕"/>
                <w:b/>
                <w:sz w:val="20"/>
              </w:rPr>
              <w:t>Ten countries total 441 million (60% of the worldwide 739 million)</w:t>
            </w:r>
          </w:p>
          <w:p>
            <w:pPr>
              <w:spacing w:after="80" w:line="276" w:lineRule="auto"/>
              <w:jc w:val="both"/>
            </w:pPr>
            <w:r>
              <w:rPr>
                <w:rFonts w:ascii="Times New Roman" w:hAnsi="Times New Roman" w:eastAsia="바탕"/>
                <w:sz w:val="20"/>
              </w:rPr>
              <w:t>Placing the two tables side by side shows what kind of problem this is. Only three countries appear in both Table 1 and Table 2: Pakistan, Ethiopia and Afghanistan. The rest are either countries with the world's worst rates whose small populations keep them out of the totals (Chad, South Sudan, Guinea-Bissau) or countries whose rates are near the world average but whose populations make the head count overwhelming (India, China, Brazil).</w:t>
            </w:r>
          </w:p>
          <w:p>
            <w:pPr>
              <w:spacing w:after="80" w:line="276" w:lineRule="auto"/>
              <w:jc w:val="both"/>
            </w:pPr>
            <w:r>
              <w:rPr>
                <w:rFonts w:ascii="Times New Roman" w:hAnsi="Times New Roman" w:eastAsia="바탕"/>
                <w:sz w:val="20"/>
              </w:rPr>
              <w:t>This distinction affects the design. Where the rate is high the app is dealing with the condition of the majority, and where the head count is high it is dealing with a minority that is nonetheless very large in absolute terms. India's literacy rate is 81%, close to the world average, but that remaining 19% is 191 million people. Either way the problem at the moment one person collects their medicine is the same, and it is the head count rather than the rate that sets the size of what this app has to reach.</w:t>
            </w:r>
          </w:p>
          <w:p>
            <w:pPr>
              <w:spacing w:after="80" w:line="276" w:lineRule="auto"/>
              <w:jc w:val="both"/>
            </w:pPr>
            <w:r>
              <w:rPr>
                <w:rFonts w:ascii="Times New Roman" w:hAnsi="Times New Roman" w:eastAsia="바탕"/>
                <w:sz w:val="20"/>
              </w:rPr>
              <w:t xml:space="preserve">The distribution is also uneven within a single country. In some sub-Saharan African countries </w:t>
            </w:r>
            <w:r>
              <w:rPr>
                <w:rFonts w:ascii="Times New Roman" w:hAnsi="Times New Roman" w:eastAsia="바탕"/>
                <w:b/>
                <w:sz w:val="20"/>
              </w:rPr>
              <w:t>the literacy rate among older women is 31% against 55% among older men</w:t>
            </w:r>
            <w:r>
              <w:rPr>
                <w:rFonts w:ascii="Times New Roman" w:hAnsi="Times New Roman" w:eastAsia="바탕"/>
                <w:sz w:val="20"/>
              </w:rPr>
              <w:t xml:space="preserve">, while among men in parts of Europe and North America it is 99%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p>
            <w:pPr>
              <w:spacing w:after="80" w:line="276" w:lineRule="auto"/>
              <w:jc w:val="both"/>
            </w:pPr>
            <w:r>
              <w:rPr>
                <w:rFonts w:ascii="Times New Roman" w:hAnsi="Times New Roman" w:eastAsia="바탕"/>
                <w:sz w:val="20"/>
              </w:rPr>
              <w:t>The expert responses quoted from this section onward are not carried over from someone else's survey; we collected them ourselves. Over three hours before dawn on 31 July 2026 we sent 1,103 individual emails, each carrying a different link that opened a working demonstration of the app together with the questions. Thirty-nine people answered, all consenting to be quoted by name and affiliation, and all 124 free-text answers are reproduced in full in §5.11. How the list was built and how it was sent are in §5.7.1 and §5.7.2. Every quotation below comes from that survey, and the question it answers is named with it.</w:t>
            </w:r>
          </w:p>
          <w:p>
            <w:pPr>
              <w:spacing w:after="80" w:line="276" w:lineRule="auto"/>
              <w:jc w:val="both"/>
            </w:pPr>
            <w:r>
              <w:rPr>
                <w:rFonts w:ascii="Times New Roman" w:hAnsi="Times New Roman" w:eastAsia="바탕"/>
                <w:sz w:val="20"/>
              </w:rPr>
              <w:t>We record here that the experts we asked answered in a direction that cuts against this statistic. Of the 39 respondents in §5.7, 18 answered that they "almost never" encounter someone unable to read a written medication instruction, and 4 that they encounter such a person almost daily. Half the respondents work in Korea, so this answer reflects the within-country distribution seen in §1.2 rather than contradicting the world figures of §1.1. Professor Hwi-Yeol Yun of Chungnam National University College of Pharmacy set down the circumstance directly.</w:t>
            </w:r>
          </w:p>
          <w:p>
            <w:pPr>
              <w:spacing w:after="40" w:line="276" w:lineRule="auto"/>
              <w:ind w:left="403"/>
            </w:pPr>
            <w:r>
              <w:rPr>
                <w:rFonts w:ascii="Times New Roman" w:hAnsi="Times New Roman" w:eastAsia="바탕"/>
                <w:i/>
                <w:color w:val="606068"/>
                <w:sz w:val="19"/>
              </w:rPr>
              <w:t>"Among Koreans the rate of not being able to read is close to zero, so it is mainly foreign patients. We therefore explain in English."</w:t>
            </w:r>
          </w:p>
          <w:p>
            <w:pPr>
              <w:spacing w:after="180" w:line="276" w:lineRule="auto"/>
              <w:ind w:left="403"/>
            </w:pPr>
            <w:r>
              <w:rPr>
                <w:rFonts w:ascii="Times New Roman" w:hAnsi="Times New Roman" w:eastAsia="바탕"/>
                <w:i w:val="0"/>
                <w:color w:val="606068"/>
                <w:sz w:val="19"/>
              </w:rPr>
              <w:t>(Professor Hwi-Yeol Yun, College of Pharmacy, Chungnam National University)</w:t>
            </w:r>
          </w:p>
          <w:p>
            <w:pPr>
              <w:spacing w:after="80" w:line="276" w:lineRule="auto"/>
              <w:jc w:val="both"/>
            </w:pPr>
            <w:r>
              <w:rPr>
                <w:rFonts w:ascii="Times New Roman" w:hAnsi="Times New Roman" w:eastAsia="바탕"/>
                <w:sz w:val="20"/>
              </w:rPr>
              <w:t>In a country with high literacy the problem does not disappear; it appears with a different face. Instead of people who cannot read there are people handed a paper that is not in their language, and the pharmacist fills the gap in a third language.</w:t>
            </w:r>
          </w:p>
          <w:p>
            <w:pPr>
              <w:spacing w:after="80" w:line="276" w:lineRule="auto"/>
              <w:jc w:val="both"/>
            </w:pPr>
            <w:r>
              <w:rPr>
                <w:rFonts w:ascii="Times New Roman" w:hAnsi="Times New Roman" w:eastAsia="바탕"/>
                <w:sz w:val="20"/>
              </w:rPr>
              <w:t>What this distribution indicates is not that the target should be narrowed but where the need is greatest. SnapCare does not require reading, so people who can read are free to use it as well, and missing a prescription instruction in fact happens independently of literacy (§1.3). If one asks where the same app makes the largest difference, though, it is where gaps like these exist, and that is why field evaluation is part of the plan (§5.10).</w:t>
            </w:r>
          </w:p>
          <w:p>
            <w:pPr>
              <w:spacing w:before="160" w:after="60"/>
              <w:jc w:val="center"/>
            </w:pPr>
            <w:r>
              <w:drawing>
                <wp:inline xmlns:a="http://schemas.openxmlformats.org/drawingml/2006/main" xmlns:pic="http://schemas.openxmlformats.org/drawingml/2006/picture">
                  <wp:extent cx="5486400" cy="3657600"/>
                  <wp:docPr id="1" name="Picture 1"/>
                  <wp:cNvGraphicFramePr>
                    <a:graphicFrameLocks noChangeAspect="1"/>
                  </wp:cNvGraphicFramePr>
                  <a:graphic>
                    <a:graphicData uri="http://schemas.openxmlformats.org/drawingml/2006/picture">
                      <pic:pic>
                        <pic:nvPicPr>
                          <pic:cNvPr id="0" name="chart09_country_literacy.png"/>
                          <pic:cNvPicPr/>
                        </pic:nvPicPr>
                        <pic:blipFill>
                          <a:blip r:embed="rId17"/>
                          <a:stretch>
                            <a:fillRect/>
                          </a:stretch>
                        </pic:blipFill>
                        <pic:spPr>
                          <a:xfrm>
                            <a:off x="0" y="0"/>
                            <a:ext cx="5486400" cy="365760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w:t>
            </w:r>
            <w:r>
              <w:rPr>
                <w:rFonts w:ascii="Times New Roman" w:hAnsi="Times New Roman" w:eastAsia="바탕"/>
                <w:color w:val="606068"/>
                <w:sz w:val="18"/>
              </w:rPr>
              <w:t xml:space="preserve"> The fifteen countries with the lowest adult literacy rates (UNESCO, </w:t>
            </w:r>
            <w:r>
              <w:rPr>
                <w:rFonts w:ascii="Times New Roman" w:hAnsi="Times New Roman" w:eastAsia="바탕"/>
                <w:i/>
                <w:color w:val="606068"/>
                <w:sz w:val="18"/>
              </w:rPr>
              <w:t>Youth and Adult Literacy: International Literacy Day 2025 Factsheet</w:t>
            </w:r>
            <w:r>
              <w:rPr>
                <w:rFonts w:ascii="Times New Roman" w:hAnsi="Times New Roman" w:eastAsia="바탕"/>
                <w:color w:val="606068"/>
                <w:sz w:val="18"/>
              </w:rPr>
              <w:t>, UNESCO, 2025). The distance from the world average of 88% is the point of this figure. In these countries the people who cannot read a prescription are the majority.</w:t>
            </w:r>
          </w:p>
          <w:p>
            <w:pPr>
              <w:spacing w:before="160" w:after="60"/>
              <w:jc w:val="center"/>
            </w:pPr>
            <w:r>
              <w:drawing>
                <wp:inline xmlns:a="http://schemas.openxmlformats.org/drawingml/2006/main" xmlns:pic="http://schemas.openxmlformats.org/drawingml/2006/picture">
                  <wp:extent cx="5486400" cy="2743200"/>
                  <wp:docPr id="2" name="Picture 2"/>
                  <wp:cNvGraphicFramePr>
                    <a:graphicFrameLocks noChangeAspect="1"/>
                  </wp:cNvGraphicFramePr>
                  <a:graphic>
                    <a:graphicData uri="http://schemas.openxmlformats.org/drawingml/2006/picture">
                      <pic:pic>
                        <pic:nvPicPr>
                          <pic:cNvPr id="0" name="chart01_literacy.png"/>
                          <pic:cNvPicPr/>
                        </pic:nvPicPr>
                        <pic:blipFill>
                          <a:blip r:embed="rId18"/>
                          <a:stretch>
                            <a:fillRect/>
                          </a:stretch>
                        </pic:blipFill>
                        <pic:spPr>
                          <a:xfrm>
                            <a:off x="0" y="0"/>
                            <a:ext cx="5486400" cy="274320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w:t>
            </w:r>
            <w:r>
              <w:rPr>
                <w:rFonts w:ascii="Times New Roman" w:hAnsi="Times New Roman" w:eastAsia="바탕"/>
                <w:color w:val="606068"/>
                <w:sz w:val="18"/>
              </w:rPr>
              <w:t xml:space="preserve"> Literacy rate and number of non-literate adults in sub-Saharan Africa (UNESCO, </w:t>
            </w:r>
            <w:r>
              <w:rPr>
                <w:rFonts w:ascii="Times New Roman" w:hAnsi="Times New Roman" w:eastAsia="바탕"/>
                <w:i/>
                <w:color w:val="606068"/>
                <w:sz w:val="18"/>
              </w:rPr>
              <w:t>Youth and Adult Literacy: International Literacy Day 2025 Factsheet</w:t>
            </w:r>
            <w:r>
              <w:rPr>
                <w:rFonts w:ascii="Times New Roman" w:hAnsi="Times New Roman" w:eastAsia="바탕"/>
                <w:color w:val="606068"/>
                <w:sz w:val="18"/>
              </w:rPr>
              <w:t>, UNESCO, 2025). Bars are absolute numbers, the line is the rate. The two axes moving in opposite directions is the point of this section. The rate rose 4 percentage points while the head count grew by 29 million. By the rate this is improvement, by the head count it is deterioration. This is the evidence that the problem is not one that time will resolve.</w:t>
            </w:r>
          </w:p>
          <w:p>
            <w:pPr>
              <w:spacing w:before="180" w:after="40"/>
            </w:pPr>
            <w:r>
              <w:rPr>
                <w:rFonts w:ascii="Times New Roman" w:hAnsi="Times New Roman" w:eastAsia="바탕"/>
                <w:b/>
                <w:sz w:val="23"/>
              </w:rPr>
              <w:t>1.2 The distribution of health literacy</w:t>
            </w:r>
          </w:p>
          <w:p>
            <w:pPr>
              <w:spacing w:after="80" w:line="276" w:lineRule="auto"/>
              <w:jc w:val="both"/>
            </w:pPr>
            <w:r>
              <w:rPr>
                <w:rFonts w:ascii="Times New Roman" w:hAnsi="Times New Roman" w:eastAsia="바탕"/>
                <w:sz w:val="20"/>
              </w:rPr>
              <w:t xml:space="preserve">Being able to read letters and being able to understand health information are different things. The HLS19 survey, which interviewed 42,445 people across 17 European countries, measured general health literacy on four levels (excellent, sufficient, problematic, inadequate) and reported that a substantial share of low health literacy remained in every participating country (HLS19 Consortium of the WHO Action Network M-POHL, </w:t>
            </w:r>
            <w:r>
              <w:rPr>
                <w:rFonts w:ascii="Times New Roman" w:hAnsi="Times New Roman" w:eastAsia="바탕"/>
                <w:i/>
                <w:sz w:val="20"/>
              </w:rPr>
              <w:t>International Report on the Methodology, Results, and Recommendations of the European Health Literacy Population Survey 2019–2021</w:t>
            </w:r>
            <w:r>
              <w:rPr>
                <w:rFonts w:ascii="Times New Roman" w:hAnsi="Times New Roman" w:eastAsia="바탕"/>
                <w:sz w:val="20"/>
              </w:rPr>
              <w:t>, Austrian National Public Health Institute, Vienna, 2021). That report states explicitly, however, that collection period and method differed by country and that cross-country comparison should be made with caution, and it does not put forward a single pooled figure for the 17 countries. Korean data are therefore used here in place of a pooled percentage.</w:t>
            </w:r>
          </w:p>
          <w:p>
            <w:pPr>
              <w:spacing w:after="80" w:line="276" w:lineRule="auto"/>
              <w:jc w:val="both"/>
            </w:pPr>
            <w:r>
              <w:rPr>
                <w:rFonts w:ascii="Times New Roman" w:hAnsi="Times New Roman" w:eastAsia="바탕"/>
                <w:sz w:val="20"/>
              </w:rPr>
              <w:t>[Table 3] Health literacy among Korean adults (Korea National Health and Nutrition Examination Survey, 2023)</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Group</w:t>
                  </w:r>
                </w:p>
              </w:tc>
              <w:tc>
                <w:tcPr>
                  <w:tcW w:type="dxa" w:w="2441"/>
                  <w:shd w:val="clear" w:fill="F2F2F2"/>
                </w:tcPr>
                <w:p>
                  <w:r>
                    <w:rPr>
                      <w:rFonts w:ascii="Times New Roman" w:hAnsi="Times New Roman" w:eastAsia="바탕"/>
                      <w:b/>
                      <w:sz w:val="18"/>
                    </w:rPr>
                    <w:t>Sufficient level</w:t>
                  </w:r>
                </w:p>
              </w:tc>
              <w:tc>
                <w:tcPr>
                  <w:tcW w:type="dxa" w:w="2441"/>
                  <w:shd w:val="clear" w:fill="F2F2F2"/>
                </w:tcPr>
                <w:p>
                  <w:r>
                    <w:rPr>
                      <w:rFonts w:ascii="Times New Roman" w:hAnsi="Times New Roman" w:eastAsia="바탕"/>
                      <w:b/>
                      <w:sz w:val="18"/>
                    </w:rPr>
                    <w:t>Complement</w:t>
                  </w:r>
                </w:p>
              </w:tc>
              <w:tc>
                <w:tcPr>
                  <w:tcW w:type="dxa" w:w="2441"/>
                  <w:shd w:val="clear" w:fill="F2F2F2"/>
                </w:tcPr>
                <w:p>
                  <w:r>
                    <w:rPr>
                      <w:rFonts w:ascii="Times New Roman" w:hAnsi="Times New Roman" w:eastAsia="바탕"/>
                      <w:b/>
                      <w:sz w:val="18"/>
                    </w:rPr>
                    <w:t>Source</w:t>
                  </w:r>
                </w:p>
              </w:tc>
            </w:tr>
            <w:tr>
              <w:tc>
                <w:tcPr>
                  <w:tcW w:type="dxa" w:w="2441"/>
                </w:tcPr>
                <w:p>
                  <w:r>
                    <w:rPr>
                      <w:rFonts w:ascii="Times New Roman" w:hAnsi="Times New Roman" w:eastAsia="바탕"/>
                      <w:sz w:val="18"/>
                    </w:rPr>
                    <w:t>Korea, aged 65+</w:t>
                  </w:r>
                </w:p>
              </w:tc>
              <w:tc>
                <w:tcPr>
                  <w:tcW w:type="dxa" w:w="2441"/>
                </w:tcPr>
                <w:p>
                  <w:r>
                    <w:rPr>
                      <w:rFonts w:ascii="Times New Roman" w:hAnsi="Times New Roman" w:eastAsia="바탕"/>
                      <w:sz w:val="18"/>
                    </w:rPr>
                    <w:t>40.3%</w:t>
                  </w:r>
                </w:p>
              </w:tc>
              <w:tc>
                <w:tcPr>
                  <w:tcW w:type="dxa" w:w="2441"/>
                </w:tcPr>
                <w:p>
                  <w:r>
                    <w:rPr>
                      <w:rFonts w:ascii="Times New Roman" w:hAnsi="Times New Roman" w:eastAsia="바탕"/>
                      <w:b/>
                      <w:sz w:val="18"/>
                    </w:rPr>
                    <w:t>59.7%</w:t>
                  </w:r>
                </w:p>
              </w:tc>
              <w:tc>
                <w:tcPr>
                  <w:tcW w:type="dxa" w:w="2441"/>
                </w:tcPr>
                <w:p>
                  <w:r>
                    <w:rPr>
                      <w:rFonts w:ascii="Times New Roman" w:hAnsi="Times New Roman" w:eastAsia="바탕"/>
                      <w:sz w:val="18"/>
                    </w:rPr>
                    <w:t>KNHANES (2023)</w:t>
                  </w:r>
                </w:p>
              </w:tc>
            </w:tr>
            <w:tr>
              <w:tc>
                <w:tcPr>
                  <w:tcW w:type="dxa" w:w="2441"/>
                </w:tcPr>
                <w:p>
                  <w:r>
                    <w:rPr>
                      <w:rFonts w:ascii="Times New Roman" w:hAnsi="Times New Roman" w:eastAsia="바탕"/>
                      <w:sz w:val="18"/>
                    </w:rPr>
                    <w:t>Korea, all adults</w:t>
                  </w:r>
                </w:p>
              </w:tc>
              <w:tc>
                <w:tcPr>
                  <w:tcW w:type="dxa" w:w="2441"/>
                </w:tcPr>
                <w:p>
                  <w:r>
                    <w:rPr>
                      <w:rFonts w:ascii="Times New Roman" w:hAnsi="Times New Roman" w:eastAsia="바탕"/>
                      <w:sz w:val="18"/>
                    </w:rPr>
                    <w:t>60.4%</w:t>
                  </w:r>
                </w:p>
              </w:tc>
              <w:tc>
                <w:tcPr>
                  <w:tcW w:type="dxa" w:w="2441"/>
                </w:tcPr>
                <w:p>
                  <w:r>
                    <w:rPr>
                      <w:rFonts w:ascii="Times New Roman" w:hAnsi="Times New Roman" w:eastAsia="바탕"/>
                      <w:sz w:val="18"/>
                    </w:rPr>
                    <w:t>39.6%</w:t>
                  </w:r>
                </w:p>
              </w:tc>
              <w:tc>
                <w:tcPr>
                  <w:tcW w:type="dxa" w:w="2441"/>
                </w:tcPr>
                <w:p>
                  <w:r>
                    <w:rPr>
                      <w:rFonts w:ascii="Times New Roman" w:hAnsi="Times New Roman" w:eastAsia="바탕"/>
                      <w:sz w:val="18"/>
                    </w:rPr>
                    <w:t>KNHANES (2023)</w:t>
                  </w:r>
                </w:p>
              </w:tc>
            </w:tr>
            <w:tr>
              <w:tc>
                <w:tcPr>
                  <w:tcW w:type="dxa" w:w="2441"/>
                </w:tcPr>
                <w:p>
                  <w:r>
                    <w:rPr>
                      <w:rFonts w:ascii="Times New Roman" w:hAnsi="Times New Roman" w:eastAsia="바탕"/>
                      <w:sz w:val="18"/>
                    </w:rPr>
                    <w:t>Korea, lower income</w:t>
                  </w:r>
                </w:p>
              </w:tc>
              <w:tc>
                <w:tcPr>
                  <w:tcW w:type="dxa" w:w="2441"/>
                </w:tcPr>
                <w:p>
                  <w:r>
                    <w:rPr>
                      <w:rFonts w:ascii="Times New Roman" w:hAnsi="Times New Roman" w:eastAsia="바탕"/>
                      <w:sz w:val="18"/>
                    </w:rPr>
                    <w:t>54.4%</w:t>
                  </w:r>
                </w:p>
              </w:tc>
              <w:tc>
                <w:tcPr>
                  <w:tcW w:type="dxa" w:w="2441"/>
                </w:tcPr>
                <w:p>
                  <w:r>
                    <w:rPr>
                      <w:rFonts w:ascii="Times New Roman" w:hAnsi="Times New Roman" w:eastAsia="바탕"/>
                      <w:sz w:val="18"/>
                    </w:rPr>
                    <w:t>45.6%</w:t>
                  </w:r>
                </w:p>
              </w:tc>
              <w:tc>
                <w:tcPr>
                  <w:tcW w:type="dxa" w:w="2441"/>
                </w:tcPr>
                <w:p>
                  <w:r>
                    <w:rPr>
                      <w:rFonts w:ascii="Times New Roman" w:hAnsi="Times New Roman" w:eastAsia="바탕"/>
                      <w:sz w:val="18"/>
                    </w:rPr>
                    <w:t>KNHANES (2023)</w:t>
                  </w:r>
                </w:p>
              </w:tc>
            </w:tr>
            <w:tr>
              <w:tc>
                <w:tcPr>
                  <w:tcW w:type="dxa" w:w="2441"/>
                </w:tcPr>
                <w:p>
                  <w:r>
                    <w:rPr>
                      <w:rFonts w:ascii="Times New Roman" w:hAnsi="Times New Roman" w:eastAsia="바탕"/>
                      <w:sz w:val="18"/>
                    </w:rPr>
                    <w:t>Korea, upper income</w:t>
                  </w:r>
                </w:p>
              </w:tc>
              <w:tc>
                <w:tcPr>
                  <w:tcW w:type="dxa" w:w="2441"/>
                </w:tcPr>
                <w:p>
                  <w:r>
                    <w:rPr>
                      <w:rFonts w:ascii="Times New Roman" w:hAnsi="Times New Roman" w:eastAsia="바탕"/>
                      <w:sz w:val="18"/>
                    </w:rPr>
                    <w:t>66.3%</w:t>
                  </w:r>
                </w:p>
              </w:tc>
              <w:tc>
                <w:tcPr>
                  <w:tcW w:type="dxa" w:w="2441"/>
                </w:tcPr>
                <w:p>
                  <w:r>
                    <w:rPr>
                      <w:rFonts w:ascii="Times New Roman" w:hAnsi="Times New Roman" w:eastAsia="바탕"/>
                      <w:sz w:val="18"/>
                    </w:rPr>
                    <w:t>33.7%</w:t>
                  </w:r>
                </w:p>
              </w:tc>
              <w:tc>
                <w:tcPr>
                  <w:tcW w:type="dxa" w:w="2441"/>
                </w:tcPr>
                <w:p>
                  <w:r>
                    <w:rPr>
                      <w:rFonts w:ascii="Times New Roman" w:hAnsi="Times New Roman" w:eastAsia="바탕"/>
                      <w:sz w:val="18"/>
                    </w:rPr>
                    <w:t>KNHANES (2023)</w:t>
                  </w:r>
                </w:p>
              </w:tc>
            </w:tr>
          </w:tbl>
          <w:p/>
          <w:p>
            <w:pPr>
              <w:spacing w:after="120"/>
            </w:pPr>
          </w:p>
          <w:p>
            <w:pPr>
              <w:spacing w:after="80" w:line="276" w:lineRule="auto"/>
              <w:jc w:val="both"/>
            </w:pPr>
            <w:r>
              <w:rPr>
                <w:rFonts w:ascii="Times New Roman" w:hAnsi="Times New Roman" w:eastAsia="바탕"/>
                <w:sz w:val="20"/>
              </w:rPr>
              <w:t xml:space="preserve">An "adequate level" of health literacy means a score of 30 or above out of 40 (Korea Disease Control and Prevention Agency, </w:t>
            </w:r>
            <w:r>
              <w:rPr>
                <w:rFonts w:ascii="Times New Roman" w:hAnsi="Times New Roman" w:eastAsia="바탕"/>
                <w:i/>
                <w:sz w:val="20"/>
              </w:rPr>
              <w:t>Korea National Health and Nutrition Examination Survey, 9th cycle, year 2</w:t>
            </w:r>
            <w:r>
              <w:rPr>
                <w:rFonts w:ascii="Times New Roman" w:hAnsi="Times New Roman" w:eastAsia="바탕"/>
                <w:sz w:val="20"/>
              </w:rPr>
              <w:t>, 2023).</w:t>
            </w:r>
          </w:p>
          <w:p>
            <w:pPr>
              <w:spacing w:after="80" w:line="276" w:lineRule="auto"/>
              <w:jc w:val="both"/>
            </w:pPr>
            <w:r>
              <w:rPr>
                <w:rFonts w:ascii="Times New Roman" w:hAnsi="Times New Roman" w:eastAsia="바탕"/>
                <w:sz w:val="20"/>
              </w:rPr>
              <w:t>What Table 3 shows is that this problem divides more sharply within a country than between countries. Among Korean adults overall, 60.4% have sufficient health literacy, but among those aged 65 and over the figure falls to 40.3%. Taking the complements, that is 59.7% against 39.6%, a gap of 20.1 percentage points. Splitting by income gives the same direction, 54.4% in the lower group against 33.7% in the upper. This is therefore not a problem belonging to "countries where people cannot read" but one that appears in any country. That is why SnapCare is not an app for one particular region. There are people who miss prescription instructions in a country with 88% literacy, and there are simply more of them in a country at 40%. The team is Korean and Moldovan not because those are the two target populations but because the same app can be tested in two different environments.</w:t>
            </w:r>
          </w:p>
          <w:p>
            <w:pPr>
              <w:spacing w:before="160" w:after="60"/>
              <w:jc w:val="center"/>
            </w:pPr>
            <w:r>
              <w:drawing>
                <wp:inline xmlns:a="http://schemas.openxmlformats.org/drawingml/2006/main" xmlns:pic="http://schemas.openxmlformats.org/drawingml/2006/picture">
                  <wp:extent cx="5486400" cy="2377440"/>
                  <wp:docPr id="3" name="Picture 3"/>
                  <wp:cNvGraphicFramePr>
                    <a:graphicFrameLocks noChangeAspect="1"/>
                  </wp:cNvGraphicFramePr>
                  <a:graphic>
                    <a:graphicData uri="http://schemas.openxmlformats.org/drawingml/2006/picture">
                      <pic:pic>
                        <pic:nvPicPr>
                          <pic:cNvPr id="0" name="chart02_health_literacy.png"/>
                          <pic:cNvPicPr/>
                        </pic:nvPicPr>
                        <pic:blipFill>
                          <a:blip r:embed="rId19"/>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w:t>
            </w:r>
            <w:r>
              <w:rPr>
                <w:rFonts w:ascii="Times New Roman" w:hAnsi="Times New Roman" w:eastAsia="바탕"/>
                <w:color w:val="606068"/>
                <w:sz w:val="18"/>
              </w:rPr>
              <w:t xml:space="preserve"> Share of Korean adults without sufficient health literacy (Korea Disease Control and Prevention Agency, </w:t>
            </w:r>
            <w:r>
              <w:rPr>
                <w:rFonts w:ascii="Times New Roman" w:hAnsi="Times New Roman" w:eastAsia="바탕"/>
                <w:i/>
                <w:color w:val="606068"/>
                <w:sz w:val="18"/>
              </w:rPr>
              <w:t>Korea National Health and Nutrition Examination Survey, 9th cycle, year 2</w:t>
            </w:r>
            <w:r>
              <w:rPr>
                <w:rFonts w:ascii="Times New Roman" w:hAnsi="Times New Roman" w:eastAsia="바탕"/>
                <w:color w:val="606068"/>
                <w:sz w:val="18"/>
              </w:rPr>
              <w:t>, 2023). Against 39.6% overall, the figure for those aged 65 and over is 59.7%, higher by 20.1 percentage points. Splitting by income gives a difference of 11.9 percentage points. That this problem divides more sharply within a country than between countries is the point of this figure.</w:t>
            </w:r>
          </w:p>
          <w:p>
            <w:pPr>
              <w:spacing w:after="80" w:line="276" w:lineRule="auto"/>
              <w:jc w:val="both"/>
            </w:pPr>
            <w:r>
              <w:rPr>
                <w:rFonts w:ascii="Times New Roman" w:hAnsi="Times New Roman" w:eastAsia="바탕"/>
                <w:sz w:val="20"/>
              </w:rPr>
              <w:t xml:space="preserve">Measuring literacy directly rather than by self-report makes the picture worse. In the Programme for the International Assessment of Adult Competencies (PIAAC), covering 31 developed countries, </w:t>
            </w:r>
            <w:r>
              <w:rPr>
                <w:rFonts w:ascii="Times New Roman" w:hAnsi="Times New Roman" w:eastAsia="바탕"/>
                <w:b/>
                <w:sz w:val="20"/>
              </w:rPr>
              <w:t>18% of adults did not reach the most elementary level in literacy, numeracy and adaptive problem solving</w:t>
            </w:r>
            <w:r>
              <w:rPr>
                <w:rFonts w:ascii="Times New Roman" w:hAnsi="Times New Roman" w:eastAsia="바탕"/>
                <w:sz w:val="20"/>
              </w:rPr>
              <w:t xml:space="preserve">, and adult literacy in these countries has stagnated or declined since 2012 (OECD, </w:t>
            </w:r>
            <w:r>
              <w:rPr>
                <w:rFonts w:ascii="Times New Roman" w:hAnsi="Times New Roman" w:eastAsia="바탕"/>
                <w:i/>
                <w:sz w:val="20"/>
              </w:rPr>
              <w:t>Programme for the International Assessment of Adult Competencies</w:t>
            </w:r>
            <w:r>
              <w:rPr>
                <w:rFonts w:ascii="Times New Roman" w:hAnsi="Times New Roman" w:eastAsia="바탕"/>
                <w:sz w:val="20"/>
              </w:rPr>
              <w:t xml:space="preserve">, cited in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 The distance between the self-report "I can read" and the ability "I can follow the instruction on a medicine packet" appears here.</w:t>
            </w:r>
          </w:p>
          <w:p>
            <w:pPr>
              <w:spacing w:after="80" w:line="276" w:lineRule="auto"/>
              <w:jc w:val="both"/>
            </w:pPr>
            <w:r>
              <w:rPr>
                <w:rFonts w:ascii="Times New Roman" w:hAnsi="Times New Roman" w:eastAsia="바탕"/>
                <w:sz w:val="20"/>
              </w:rPr>
              <w:t xml:space="preserve">Nor is this particular to Korea. The OECD, gathering survey results from 18 countries, wrote that at least one third show low health literacy (in 12 of those countries the proportion passes half), while noting in the same report that the instruments differ by country and the results are not directly comparable across them, and the same report, citing United States research, put the additional cost arising from low health literacy at 3 to 5% of total annual health expenditure (Moreira, L., "Health literacy for people-centred care: Where do OECD countries stand?", </w:t>
            </w:r>
            <w:r>
              <w:rPr>
                <w:rFonts w:ascii="Times New Roman" w:hAnsi="Times New Roman" w:eastAsia="바탕"/>
                <w:i/>
                <w:sz w:val="20"/>
              </w:rPr>
              <w:t>OECD Health Working Papers</w:t>
            </w:r>
            <w:r>
              <w:rPr>
                <w:rFonts w:ascii="Times New Roman" w:hAnsi="Times New Roman" w:eastAsia="바탕"/>
                <w:sz w:val="20"/>
              </w:rPr>
              <w:t>, No. 107, DELSA/HEA/WD/HWP(2018)4, 2018).</w:t>
            </w:r>
          </w:p>
          <w:p>
            <w:pPr>
              <w:spacing w:after="80" w:line="276" w:lineRule="auto"/>
              <w:jc w:val="both"/>
            </w:pPr>
            <w:r>
              <w:rPr>
                <w:rFonts w:ascii="Times New Roman" w:hAnsi="Times New Roman" w:eastAsia="바탕"/>
                <w:sz w:val="20"/>
              </w:rPr>
              <w:t>That the figure is one third matters because it speaks to a different layer than the non-literacy rate in §1.1. These 18 countries are places where being unable to read letters is rare, and even so one in three has difficulty handling health information.</w:t>
            </w:r>
          </w:p>
          <w:p>
            <w:pPr>
              <w:spacing w:after="80" w:line="276" w:lineRule="auto"/>
              <w:jc w:val="both"/>
            </w:pPr>
            <w:r>
              <w:rPr>
                <w:rFonts w:ascii="Times New Roman" w:hAnsi="Times New Roman" w:eastAsia="바탕"/>
                <w:sz w:val="20"/>
              </w:rPr>
              <w:t xml:space="preserve">This gap carries through to clinical outcomes. A systematic review synthesising 96 studies reported that low health literacy is consistently associated with increased hospitalisation, greater use of emergency care, lower uptake of mammography and influenza vaccination, poorer ability to demonstrate taking medications appropriately, and poorer ability to interpret labels and health messages (Berkman, N. D., Sheridan, S. L., Donahue, K. E., Halpern, D. J. &amp; Crotty, K., "Low health literacy and health outcomes: an updated systematic review," </w:t>
            </w:r>
            <w:r>
              <w:rPr>
                <w:rFonts w:ascii="Times New Roman" w:hAnsi="Times New Roman" w:eastAsia="바탕"/>
                <w:i/>
                <w:sz w:val="20"/>
              </w:rPr>
              <w:t>Annals of Internal Medicine</w:t>
            </w:r>
            <w:r>
              <w:rPr>
                <w:rFonts w:ascii="Times New Roman" w:hAnsi="Times New Roman" w:eastAsia="바탕"/>
                <w:sz w:val="20"/>
              </w:rPr>
              <w:t>, 155(2):97–107, 2011). For mortality, the association was confirmed among older adults.</w:t>
            </w:r>
          </w:p>
          <w:p>
            <w:pPr>
              <w:spacing w:after="80" w:line="276" w:lineRule="auto"/>
              <w:jc w:val="both"/>
            </w:pPr>
            <w:r>
              <w:rPr>
                <w:rFonts w:ascii="Times New Roman" w:hAnsi="Times New Roman" w:eastAsia="바탕"/>
                <w:sz w:val="20"/>
              </w:rPr>
              <w:t>Observation in the field points at the same place as this literature. Of the nine respondents in the nursing and public health segment of §5.7, eight answered that people who cannot read are not receiving medication information properly (3 "yes", 5 "partly"). And two respondents widened the scope beyond literacy.</w:t>
            </w:r>
          </w:p>
          <w:p>
            <w:pPr>
              <w:spacing w:after="40" w:line="276" w:lineRule="auto"/>
              <w:ind w:left="403"/>
            </w:pPr>
            <w:r>
              <w:rPr>
                <w:rFonts w:ascii="Times New Roman" w:hAnsi="Times New Roman" w:eastAsia="바탕"/>
                <w:i/>
                <w:color w:val="606068"/>
                <w:sz w:val="19"/>
              </w:rPr>
              <w:t>"I have not had many such occasions, but there are also many people who, even knowing how to read, are not receiving proper medication guidance."</w:t>
            </w:r>
          </w:p>
          <w:p>
            <w:pPr>
              <w:spacing w:after="180" w:line="276" w:lineRule="auto"/>
              <w:ind w:left="403"/>
            </w:pPr>
            <w:r>
              <w:rPr>
                <w:rFonts w:ascii="Times New Roman" w:hAnsi="Times New Roman" w:eastAsia="바탕"/>
                <w:i w:val="0"/>
                <w:color w:val="606068"/>
                <w:sz w:val="19"/>
              </w:rPr>
              <w:t>(Professor Namsoo Park, Hyupsung University)</w:t>
            </w:r>
          </w:p>
          <w:p>
            <w:pPr>
              <w:spacing w:after="40" w:line="276" w:lineRule="auto"/>
              <w:ind w:left="403"/>
            </w:pPr>
            <w:r>
              <w:rPr>
                <w:rFonts w:ascii="Times New Roman" w:hAnsi="Times New Roman" w:eastAsia="바탕"/>
                <w:i/>
                <w:color w:val="606068"/>
                <w:sz w:val="19"/>
              </w:rPr>
              <w:t>"I am not convinced anybody actually gets proper medication information."</w:t>
            </w:r>
          </w:p>
          <w:p>
            <w:pPr>
              <w:spacing w:after="180" w:line="276" w:lineRule="auto"/>
              <w:ind w:left="403"/>
            </w:pPr>
            <w:r>
              <w:rPr>
                <w:rFonts w:ascii="Times New Roman" w:hAnsi="Times New Roman" w:eastAsia="바탕"/>
                <w:i w:val="0"/>
                <w:color w:val="606068"/>
                <w:sz w:val="19"/>
              </w:rPr>
              <w:t>(Professor Celia, University of Pretoria)</w:t>
            </w:r>
          </w:p>
          <w:p>
            <w:pPr>
              <w:spacing w:after="80" w:line="276" w:lineRule="auto"/>
              <w:jc w:val="both"/>
            </w:pPr>
            <w:r>
              <w:rPr>
                <w:rFonts w:ascii="Times New Roman" w:hAnsi="Times New Roman" w:eastAsia="바탕"/>
                <w:sz w:val="20"/>
              </w:rPr>
              <w:t>The second is a broader claim than the premise this document sets out. We wrote that people who cannot read miss the information; this response says that people who can read miss it too. If that is right, the population this app addresses is wider than we defined, and at the same time it is not a problem this app alone resolves.</w:t>
            </w:r>
          </w:p>
          <w:p>
            <w:pPr>
              <w:spacing w:after="80" w:line="276" w:lineRule="auto"/>
              <w:jc w:val="both"/>
            </w:pPr>
            <w:r>
              <w:rPr>
                <w:rFonts w:ascii="Times New Roman" w:hAnsi="Times New Roman" w:eastAsia="바탕"/>
                <w:sz w:val="20"/>
              </w:rPr>
              <w:t>The two items in that list that overlap directly with our problem are the last two, the ability to demonstrate taking medications appropriately and the ability to interpret labels and health messages. If the earlier items are problems of access to care, these two are problems at the point where information is transferred, and they occur outside the consulting room. The policy blind spot taken up in §1.4 is exactly here.</w:t>
            </w:r>
          </w:p>
          <w:p>
            <w:pPr>
              <w:spacing w:before="180" w:after="40"/>
            </w:pPr>
            <w:r>
              <w:rPr>
                <w:rFonts w:ascii="Times New Roman" w:hAnsi="Times New Roman" w:eastAsia="바탕"/>
                <w:b/>
                <w:sz w:val="23"/>
              </w:rPr>
              <w:t>1.3 The types of medication error and what they cost</w:t>
            </w:r>
          </w:p>
          <w:p>
            <w:pPr>
              <w:spacing w:after="80" w:line="276" w:lineRule="auto"/>
              <w:jc w:val="both"/>
            </w:pPr>
            <w:r>
              <w:rPr>
                <w:rFonts w:ascii="Times New Roman" w:hAnsi="Times New Roman" w:eastAsia="바탕"/>
                <w:sz w:val="20"/>
              </w:rPr>
              <w:t xml:space="preserve">Looking at which types medication errors cluster into narrows down what has to be fixed. In a study that observed the dispensing stage by direct observation, of 155 dispensing errors found by pharmacists 51 (32.9%) were omissions, 44 (28.4%) were dose errors and 36 (23.2%) were timing errors. These three alone account for 84.5% of the total (Anacleto, T. A., Perini, E., Rosa, M. B. &amp; César, C. C., "Medication dispensing errors in a Brazilian hospital pharmacy," </w:t>
            </w:r>
            <w:r>
              <w:rPr>
                <w:rFonts w:ascii="Times New Roman" w:hAnsi="Times New Roman" w:eastAsia="바탕"/>
                <w:i/>
                <w:sz w:val="20"/>
              </w:rPr>
              <w:t>Clinics</w:t>
            </w:r>
            <w:r>
              <w:rPr>
                <w:rFonts w:ascii="Times New Roman" w:hAnsi="Times New Roman" w:eastAsia="바탕"/>
                <w:sz w:val="20"/>
              </w:rPr>
              <w:t>, 62(3):243–250, 2007).</w:t>
            </w:r>
          </w:p>
          <w:p>
            <w:pPr>
              <w:spacing w:after="80" w:line="276" w:lineRule="auto"/>
              <w:jc w:val="both"/>
            </w:pPr>
            <w:r>
              <w:rPr>
                <w:rFonts w:ascii="Times New Roman" w:hAnsi="Times New Roman" w:eastAsia="바탕"/>
                <w:sz w:val="20"/>
              </w:rPr>
              <w:t>[Table 4] Distribution of medication errors by type and the corresponding SnapCare pictogram morphemes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Error type</w:t>
                  </w:r>
                </w:p>
              </w:tc>
              <w:tc>
                <w:tcPr>
                  <w:tcW w:type="dxa" w:w="2441"/>
                  <w:shd w:val="clear" w:fill="F2F2F2"/>
                </w:tcPr>
                <w:p>
                  <w:r>
                    <w:rPr>
                      <w:rFonts w:ascii="Times New Roman" w:hAnsi="Times New Roman" w:eastAsia="바탕"/>
                      <w:b/>
                      <w:sz w:val="18"/>
                    </w:rPr>
                    <w:t>Count</w:t>
                  </w:r>
                </w:p>
              </w:tc>
              <w:tc>
                <w:tcPr>
                  <w:tcW w:type="dxa" w:w="2441"/>
                  <w:shd w:val="clear" w:fill="F2F2F2"/>
                </w:tcPr>
                <w:p>
                  <w:r>
                    <w:rPr>
                      <w:rFonts w:ascii="Times New Roman" w:hAnsi="Times New Roman" w:eastAsia="바탕"/>
                      <w:b/>
                      <w:sz w:val="18"/>
                    </w:rPr>
                    <w:t>Share</w:t>
                  </w:r>
                </w:p>
              </w:tc>
              <w:tc>
                <w:tcPr>
                  <w:tcW w:type="dxa" w:w="2441"/>
                  <w:shd w:val="clear" w:fill="F2F2F2"/>
                </w:tcPr>
                <w:p>
                  <w:r>
                    <w:rPr>
                      <w:rFonts w:ascii="Times New Roman" w:hAnsi="Times New Roman" w:eastAsia="바탕"/>
                      <w:b/>
                      <w:sz w:val="18"/>
                    </w:rPr>
                    <w:t>Morpheme carrying that instruction</w:t>
                  </w:r>
                </w:p>
              </w:tc>
            </w:tr>
            <w:tr>
              <w:tc>
                <w:tcPr>
                  <w:tcW w:type="dxa" w:w="2441"/>
                </w:tcPr>
                <w:p>
                  <w:r>
                    <w:rPr>
                      <w:rFonts w:ascii="Times New Roman" w:hAnsi="Times New Roman" w:eastAsia="바탕"/>
                      <w:sz w:val="18"/>
                    </w:rPr>
                    <w:t>Omission</w:t>
                  </w:r>
                </w:p>
              </w:tc>
              <w:tc>
                <w:tcPr>
                  <w:tcW w:type="dxa" w:w="2441"/>
                </w:tcPr>
                <w:p>
                  <w:r>
                    <w:rPr>
                      <w:rFonts w:ascii="Times New Roman" w:hAnsi="Times New Roman" w:eastAsia="바탕"/>
                      <w:sz w:val="18"/>
                    </w:rPr>
                    <w:t>51</w:t>
                  </w:r>
                </w:p>
              </w:tc>
              <w:tc>
                <w:tcPr>
                  <w:tcW w:type="dxa" w:w="2441"/>
                </w:tcPr>
                <w:p>
                  <w:r>
                    <w:rPr>
                      <w:rFonts w:ascii="Times New Roman" w:hAnsi="Times New Roman" w:eastAsia="바탕"/>
                      <w:sz w:val="18"/>
                    </w:rPr>
                    <w:t>32.9%</w:t>
                  </w:r>
                </w:p>
              </w:tc>
              <w:tc>
                <w:tcPr>
                  <w:tcW w:type="dxa" w:w="2441"/>
                </w:tcPr>
                <w:p>
                  <w:r>
                    <w:rPr>
                      <w:rFonts w:ascii="Consolas" w:hAnsi="Consolas" w:eastAsia="Consolas"/>
                      <w:sz w:val="17"/>
                    </w:rPr>
                    <w:t>finish_course</w:t>
                  </w:r>
                </w:p>
              </w:tc>
            </w:tr>
            <w:tr>
              <w:tc>
                <w:tcPr>
                  <w:tcW w:type="dxa" w:w="2441"/>
                </w:tcPr>
                <w:p>
                  <w:r>
                    <w:rPr>
                      <w:rFonts w:ascii="Times New Roman" w:hAnsi="Times New Roman" w:eastAsia="바탕"/>
                      <w:sz w:val="18"/>
                    </w:rPr>
                    <w:t>Dose error</w:t>
                  </w:r>
                </w:p>
              </w:tc>
              <w:tc>
                <w:tcPr>
                  <w:tcW w:type="dxa" w:w="2441"/>
                </w:tcPr>
                <w:p>
                  <w:r>
                    <w:rPr>
                      <w:rFonts w:ascii="Times New Roman" w:hAnsi="Times New Roman" w:eastAsia="바탕"/>
                      <w:sz w:val="18"/>
                    </w:rPr>
                    <w:t>44</w:t>
                  </w:r>
                </w:p>
              </w:tc>
              <w:tc>
                <w:tcPr>
                  <w:tcW w:type="dxa" w:w="2441"/>
                </w:tcPr>
                <w:p>
                  <w:r>
                    <w:rPr>
                      <w:rFonts w:ascii="Times New Roman" w:hAnsi="Times New Roman" w:eastAsia="바탕"/>
                      <w:sz w:val="18"/>
                    </w:rPr>
                    <w:t>28.4%</w:t>
                  </w:r>
                </w:p>
              </w:tc>
              <w:tc>
                <w:tcPr>
                  <w:tcW w:type="dxa" w:w="2441"/>
                </w:tcPr>
                <w:p>
                  <w:r>
                    <w:rPr>
                      <w:rFonts w:ascii="Consolas" w:hAnsi="Consolas" w:eastAsia="Consolas"/>
                      <w:sz w:val="17"/>
                    </w:rPr>
                    <w:t>qty_one</w:t>
                  </w:r>
                  <w:r>
                    <w:rPr>
                      <w:rFonts w:ascii="Times New Roman" w:hAnsi="Times New Roman" w:eastAsia="바탕"/>
                      <w:sz w:val="18"/>
                    </w:rPr>
                    <w:t xml:space="preserve"> – </w:t>
                  </w:r>
                  <w:r>
                    <w:rPr>
                      <w:rFonts w:ascii="Consolas" w:hAnsi="Consolas" w:eastAsia="Consolas"/>
                      <w:sz w:val="17"/>
                    </w:rPr>
                    <w:t>qty_five</w:t>
                  </w:r>
                </w:p>
              </w:tc>
            </w:tr>
            <w:tr>
              <w:tc>
                <w:tcPr>
                  <w:tcW w:type="dxa" w:w="2441"/>
                </w:tcPr>
                <w:p>
                  <w:r>
                    <w:rPr>
                      <w:rFonts w:ascii="Times New Roman" w:hAnsi="Times New Roman" w:eastAsia="바탕"/>
                      <w:sz w:val="18"/>
                    </w:rPr>
                    <w:t>Timing error</w:t>
                  </w:r>
                </w:p>
              </w:tc>
              <w:tc>
                <w:tcPr>
                  <w:tcW w:type="dxa" w:w="2441"/>
                </w:tcPr>
                <w:p>
                  <w:r>
                    <w:rPr>
                      <w:rFonts w:ascii="Times New Roman" w:hAnsi="Times New Roman" w:eastAsia="바탕"/>
                      <w:sz w:val="18"/>
                    </w:rPr>
                    <w:t>36</w:t>
                  </w:r>
                </w:p>
              </w:tc>
              <w:tc>
                <w:tcPr>
                  <w:tcW w:type="dxa" w:w="2441"/>
                </w:tcPr>
                <w:p>
                  <w:r>
                    <w:rPr>
                      <w:rFonts w:ascii="Times New Roman" w:hAnsi="Times New Roman" w:eastAsia="바탕"/>
                      <w:sz w:val="18"/>
                    </w:rPr>
                    <w:t>23.2%</w:t>
                  </w:r>
                </w:p>
              </w:tc>
              <w:tc>
                <w:tcPr>
                  <w:tcW w:type="dxa" w:w="2441"/>
                </w:tcPr>
                <w:p>
                  <w:r>
                    <w:rPr>
                      <w:rFonts w:ascii="Consolas" w:hAnsi="Consolas" w:eastAsia="Consolas"/>
                      <w:sz w:val="17"/>
                    </w:rPr>
                    <w:t>time_morning</w:t>
                  </w:r>
                  <w:r>
                    <w:rPr>
                      <w:rFonts w:ascii="Times New Roman" w:hAnsi="Times New Roman" w:eastAsia="바탕"/>
                      <w:sz w:val="18"/>
                    </w:rPr>
                    <w:t xml:space="preserve"> – </w:t>
                  </w:r>
                  <w:r>
                    <w:rPr>
                      <w:rFonts w:ascii="Consolas" w:hAnsi="Consolas" w:eastAsia="Consolas"/>
                      <w:sz w:val="17"/>
                    </w:rPr>
                    <w:t>time_night</w:t>
                  </w:r>
                </w:p>
              </w:tc>
            </w:tr>
            <w:tr>
              <w:tc>
                <w:tcPr>
                  <w:tcW w:type="dxa" w:w="2441"/>
                </w:tcPr>
                <w:p>
                  <w:r>
                    <w:rPr>
                      <w:rFonts w:ascii="Times New Roman" w:hAnsi="Times New Roman" w:eastAsia="바탕"/>
                      <w:sz w:val="18"/>
                    </w:rPr>
                    <w:t>Other</w:t>
                  </w:r>
                </w:p>
              </w:tc>
              <w:tc>
                <w:tcPr>
                  <w:tcW w:type="dxa" w:w="2441"/>
                </w:tcPr>
                <w:p>
                  <w:r>
                    <w:rPr>
                      <w:rFonts w:ascii="Times New Roman" w:hAnsi="Times New Roman" w:eastAsia="바탕"/>
                      <w:sz w:val="18"/>
                    </w:rPr>
                    <w:t>24</w:t>
                  </w:r>
                </w:p>
              </w:tc>
              <w:tc>
                <w:tcPr>
                  <w:tcW w:type="dxa" w:w="2441"/>
                </w:tcPr>
                <w:p>
                  <w:r>
                    <w:rPr>
                      <w:rFonts w:ascii="Times New Roman" w:hAnsi="Times New Roman" w:eastAsia="바탕"/>
                      <w:sz w:val="18"/>
                    </w:rPr>
                    <w:t>15.5%</w:t>
                  </w:r>
                </w:p>
              </w:tc>
              <w:tc>
                <w:tcPr>
                  <w:tcW w:type="dxa" w:w="2441"/>
                </w:tcPr>
                <w:p>
                  <w:r>
                    <w:rPr>
                      <w:rFonts w:ascii="Times New Roman" w:hAnsi="Times New Roman" w:eastAsia="바탕"/>
                      <w:sz w:val="18"/>
                    </w:rPr>
                    <w:t>—</w:t>
                  </w:r>
                </w:p>
              </w:tc>
            </w:tr>
          </w:tbl>
          <w:p/>
          <w:p>
            <w:pPr>
              <w:spacing w:after="120"/>
            </w:pPr>
          </w:p>
          <w:p>
            <w:pPr>
              <w:spacing w:after="80" w:line="276" w:lineRule="auto"/>
              <w:jc w:val="both"/>
            </w:pPr>
            <w:r>
              <w:rPr>
                <w:rFonts w:ascii="Times New Roman" w:hAnsi="Times New Roman" w:eastAsia="바탕"/>
                <w:sz w:val="20"/>
              </w:rPr>
              <w:t xml:space="preserve">Based on 155 dispensing errors found by pharmacists (Anacleto, T. A., Perini, E., Rosa, M. B. &amp; César, C. C., "Medication dispensing errors in a Brazilian hospital pharmacy," </w:t>
            </w:r>
            <w:r>
              <w:rPr>
                <w:rFonts w:ascii="Times New Roman" w:hAnsi="Times New Roman" w:eastAsia="바탕"/>
                <w:i/>
                <w:sz w:val="20"/>
              </w:rPr>
              <w:t>Clinics</w:t>
            </w:r>
            <w:r>
              <w:rPr>
                <w:rFonts w:ascii="Times New Roman" w:hAnsi="Times New Roman" w:eastAsia="바탕"/>
                <w:sz w:val="20"/>
              </w:rPr>
              <w:t>, 62(3):243–250, 2007).</w:t>
            </w:r>
          </w:p>
          <w:p>
            <w:pPr>
              <w:spacing w:after="80" w:line="276" w:lineRule="auto"/>
              <w:jc w:val="both"/>
            </w:pPr>
            <w:r>
              <w:rPr>
                <w:rFonts w:ascii="Times New Roman" w:hAnsi="Times New Roman" w:eastAsia="바탕"/>
                <w:sz w:val="20"/>
              </w:rPr>
              <w:t xml:space="preserve">We checked whether the same distribution appears in another country and another period. A meta-analysis pooling 36 studies (6,238 participants) of medication errors by Iranian nurses put the top two error types at wrong timing, 27.3% (95% CI 19–36), and wrong dose, 26.4% (95% CI 20–33) (Fathizadeh, H., Mousavi, S. S., Gharibi, Z., Rezaeipour, H. &amp; Biojmajd, A. R., "Prevalence of medication errors and its related factors in Iranian nurses: an updated systematic review and meta-analysis," </w:t>
            </w:r>
            <w:r>
              <w:rPr>
                <w:rFonts w:ascii="Times New Roman" w:hAnsi="Times New Roman" w:eastAsia="바탕"/>
                <w:i/>
                <w:sz w:val="20"/>
              </w:rPr>
              <w:t>BMC Nursing</w:t>
            </w:r>
            <w:r>
              <w:rPr>
                <w:rFonts w:ascii="Times New Roman" w:hAnsi="Times New Roman" w:eastAsia="바탕"/>
                <w:sz w:val="20"/>
              </w:rPr>
              <w:t>, 23:175, 2024, doi:10.1186/s12912-024-01836-w). The top two are the same as those observed in one Brazilian hospital in 2007.</w:t>
            </w:r>
          </w:p>
          <w:p>
            <w:pPr>
              <w:spacing w:after="80" w:line="276" w:lineRule="auto"/>
              <w:jc w:val="both"/>
            </w:pPr>
            <w:r>
              <w:rPr>
                <w:rFonts w:ascii="Times New Roman" w:hAnsi="Times New Roman" w:eastAsia="바탕"/>
                <w:sz w:val="20"/>
              </w:rPr>
              <w:t>Two cautions belong beside that pairing. First, the stages differ: the earlier figures are errors pharmacists made while dispensing, the later ones errors nurses made while administering. Neither is an error a patient makes at home, and §1.4 takes up that gap separately. Second, heterogeneity in the Iranian data is very high (I² = 91–96). The values should not be carried across; only the recurrence of the ordering should be read from them.</w:t>
            </w:r>
          </w:p>
          <w:p>
            <w:pPr>
              <w:spacing w:after="80" w:line="276" w:lineRule="auto"/>
              <w:jc w:val="both"/>
            </w:pPr>
            <w:r>
              <w:rPr>
                <w:rFonts w:ascii="Times New Roman" w:hAnsi="Times New Roman" w:eastAsia="바탕"/>
                <w:sz w:val="20"/>
              </w:rPr>
              <w:t>There is a reason this section needs that recurrence even so. We designed the morpheme set to match this distribution (Table 9), and if the distribution had been an accident of one hospital in one year, the grounds for that design would fall away. That the top two are the same across seventeen years and two continents reduces the accident.</w:t>
            </w:r>
          </w:p>
          <w:p>
            <w:pPr>
              <w:spacing w:after="80" w:line="276" w:lineRule="auto"/>
              <w:jc w:val="both"/>
            </w:pPr>
            <w:r>
              <w:rPr>
                <w:rFonts w:ascii="Times New Roman" w:hAnsi="Times New Roman" w:eastAsia="바탕"/>
                <w:sz w:val="20"/>
              </w:rPr>
              <w:t>Table 4 shows that most errors cluster into three things: what, how much and when. All three are information that can be carried in a picture, and SnapCare's morpheme design follows exactly this distribution.</w:t>
            </w:r>
          </w:p>
          <w:p>
            <w:pPr>
              <w:spacing w:after="80" w:line="276" w:lineRule="auto"/>
              <w:jc w:val="both"/>
            </w:pPr>
            <w:r>
              <w:rPr>
                <w:rFonts w:ascii="Times New Roman" w:hAnsi="Times New Roman" w:eastAsia="바탕"/>
                <w:sz w:val="20"/>
              </w:rPr>
              <w:t>Because that distribution is now close to twenty years old, we asked the same thing again in §5.7. Asked what must not be wrong medically, the twelve pharmacy respondents chose dose and frequency most often at 7, with contraindications and interactions at 3 and route of administration and not stopping early at 1 each. The 28.4% dose errors in the 2007 dispensing record and twelve pharmacists in 2026 naming dose and frequency first point at the same place.</w:t>
            </w:r>
          </w:p>
          <w:p>
            <w:pPr>
              <w:spacing w:after="80" w:line="276" w:lineRule="auto"/>
              <w:jc w:val="both"/>
            </w:pPr>
            <w:r>
              <w:rPr>
                <w:rFonts w:ascii="Times New Roman" w:hAnsi="Times New Roman" w:eastAsia="바탕"/>
                <w:sz w:val="20"/>
              </w:rPr>
              <w:t>One respondent set down the reason as well. The explanation is given in speech, but what the patient can go back to afterwards is only the dose written on the label.</w:t>
            </w:r>
          </w:p>
          <w:p>
            <w:pPr>
              <w:spacing w:after="40" w:line="276" w:lineRule="auto"/>
              <w:ind w:left="403"/>
            </w:pPr>
            <w:r>
              <w:rPr>
                <w:rFonts w:ascii="Times New Roman" w:hAnsi="Times New Roman" w:eastAsia="바탕"/>
                <w:i/>
                <w:color w:val="606068"/>
                <w:sz w:val="19"/>
              </w:rPr>
              <w:t>"The patient is thoroughly explained/ counselled about the medication. However, it is only the dose that is written on the label which the patient can refer to when taking the medication."</w:t>
            </w:r>
          </w:p>
          <w:p>
            <w:pPr>
              <w:spacing w:after="180" w:line="276" w:lineRule="auto"/>
              <w:ind w:left="403"/>
            </w:pPr>
            <w:r>
              <w:rPr>
                <w:rFonts w:ascii="Times New Roman" w:hAnsi="Times New Roman" w:eastAsia="바탕"/>
                <w:i w:val="0"/>
                <w:color w:val="606068"/>
                <w:sz w:val="19"/>
              </w:rPr>
              <w:t>(Professor Atif Usman, The Islamia University of Bahawalpur)</w:t>
            </w:r>
          </w:p>
          <w:p>
            <w:pPr>
              <w:spacing w:after="80" w:line="276" w:lineRule="auto"/>
              <w:jc w:val="both"/>
            </w:pPr>
            <w:r>
              <w:rPr>
                <w:rFonts w:ascii="Times New Roman" w:hAnsi="Times New Roman" w:eastAsia="바탕"/>
                <w:sz w:val="20"/>
              </w:rPr>
              <w:t>A spoken explanation disappears the moment the patient leaves the pharmacy and only the paper remains. If they cannot read that paper, nothing remains.</w:t>
            </w:r>
          </w:p>
          <w:p>
            <w:pPr>
              <w:spacing w:after="80" w:line="276" w:lineRule="auto"/>
              <w:jc w:val="both"/>
            </w:pPr>
            <w:r>
              <w:rPr>
                <w:rFonts w:ascii="Times New Roman" w:hAnsi="Times New Roman" w:eastAsia="바탕"/>
                <w:sz w:val="20"/>
              </w:rPr>
              <w:t>One qualification is needed here. This distribution covers errors made on the dispensing side, not errors patients make at home, and the two stages cannot be treated as the same. The reason for grounding the design in these figures anyway is that if these three go wrong often at the dispensing stage, then these three are the information most easily lost in transfer. If trained pharmacists miss them in a controlled environment, there is no reason to expect a patient handed the same information in text alone to keep hold of it. We did not find data measuring the distribution at the patient stage directly, and this is recorded among the unverified items in §5.9.</w:t>
            </w:r>
          </w:p>
          <w:p>
            <w:pPr>
              <w:spacing w:before="160" w:after="60"/>
              <w:jc w:val="center"/>
            </w:pPr>
            <w:r>
              <w:drawing>
                <wp:inline xmlns:a="http://schemas.openxmlformats.org/drawingml/2006/main" xmlns:pic="http://schemas.openxmlformats.org/drawingml/2006/picture">
                  <wp:extent cx="5486400" cy="2377440"/>
                  <wp:docPr id="4" name="Picture 4"/>
                  <wp:cNvGraphicFramePr>
                    <a:graphicFrameLocks noChangeAspect="1"/>
                  </wp:cNvGraphicFramePr>
                  <a:graphic>
                    <a:graphicData uri="http://schemas.openxmlformats.org/drawingml/2006/picture">
                      <pic:pic>
                        <pic:nvPicPr>
                          <pic:cNvPr id="0" name="chart03_error_types.png"/>
                          <pic:cNvPicPr/>
                        </pic:nvPicPr>
                        <pic:blipFill>
                          <a:blip r:embed="rId20"/>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4]</w:t>
            </w:r>
            <w:r>
              <w:rPr>
                <w:rFonts w:ascii="Times New Roman" w:hAnsi="Times New Roman" w:eastAsia="바탕"/>
                <w:color w:val="606068"/>
                <w:sz w:val="18"/>
              </w:rPr>
              <w:t xml:space="preserve"> Distribution by type of 155 dispensing errors found by pharmacists (Anacleto, T. A., Perini, E., Rosa, M. B. &amp; César, C. C., "Medication dispensing errors in a Brazilian hospital pharmacy," </w:t>
            </w:r>
            <w:r>
              <w:rPr>
                <w:rFonts w:ascii="Times New Roman" w:hAnsi="Times New Roman" w:eastAsia="바탕"/>
                <w:i/>
                <w:color w:val="606068"/>
                <w:sz w:val="18"/>
              </w:rPr>
              <w:t>Clinics</w:t>
            </w:r>
            <w:r>
              <w:rPr>
                <w:rFonts w:ascii="Times New Roman" w:hAnsi="Times New Roman" w:eastAsia="바탕"/>
                <w:color w:val="606068"/>
                <w:sz w:val="18"/>
              </w:rPr>
              <w:t xml:space="preserve">, 62(3):243–250, 2007). Omission, dose and timing account for 84.5%. That all three are information which can be carried in a picture is the starting point of the SIGIL morpheme design, and </w:t>
            </w:r>
            <w:r>
              <w:rPr>
                <w:rFonts w:ascii="Consolas" w:hAnsi="Consolas" w:eastAsia="Consolas"/>
                <w:color w:val="606068"/>
                <w:sz w:val="17"/>
              </w:rPr>
              <w:t>finish_course</w:t>
            </w:r>
            <w:r>
              <w:rPr>
                <w:rFonts w:ascii="Times New Roman" w:hAnsi="Times New Roman" w:eastAsia="바탕"/>
                <w:color w:val="606068"/>
                <w:sz w:val="18"/>
              </w:rPr>
              <w:t xml:space="preserve">, </w:t>
            </w:r>
            <w:r>
              <w:rPr>
                <w:rFonts w:ascii="Consolas" w:hAnsi="Consolas" w:eastAsia="Consolas"/>
                <w:color w:val="606068"/>
                <w:sz w:val="17"/>
              </w:rPr>
              <w:t>qty_*</w:t>
            </w:r>
            <w:r>
              <w:rPr>
                <w:rFonts w:ascii="Times New Roman" w:hAnsi="Times New Roman" w:eastAsia="바탕"/>
                <w:color w:val="606068"/>
                <w:sz w:val="18"/>
              </w:rPr>
              <w:t xml:space="preserve"> and </w:t>
            </w:r>
            <w:r>
              <w:rPr>
                <w:rFonts w:ascii="Consolas" w:hAnsi="Consolas" w:eastAsia="Consolas"/>
                <w:color w:val="606068"/>
                <w:sz w:val="17"/>
              </w:rPr>
              <w:t>time_*</w:t>
            </w:r>
            <w:r>
              <w:rPr>
                <w:rFonts w:ascii="Times New Roman" w:hAnsi="Times New Roman" w:eastAsia="바탕"/>
                <w:color w:val="606068"/>
                <w:sz w:val="18"/>
              </w:rPr>
              <w:t xml:space="preserve"> correspond to them respectively.</w:t>
            </w:r>
          </w:p>
          <w:p>
            <w:pPr>
              <w:spacing w:before="120" w:after="20"/>
            </w:pPr>
            <w:r>
              <w:rPr>
                <w:rFonts w:ascii="Times New Roman" w:hAnsi="Times New Roman" w:eastAsia="바탕"/>
                <w:b/>
                <w:sz w:val="21"/>
              </w:rPr>
              <w:t>1.3.1 Misreading measured on the patient side</w:t>
            </w:r>
          </w:p>
          <w:p>
            <w:pPr>
              <w:spacing w:after="80" w:line="276" w:lineRule="auto"/>
              <w:jc w:val="both"/>
            </w:pPr>
            <w:r>
              <w:rPr>
                <w:rFonts w:ascii="Times New Roman" w:hAnsi="Times New Roman" w:eastAsia="바탕"/>
                <w:sz w:val="20"/>
              </w:rPr>
              <w:t>The distribution above is a record from the dispensing side. What happens on the patient side has been measured separately.</w:t>
            </w:r>
          </w:p>
          <w:p>
            <w:pPr>
              <w:spacing w:after="80" w:line="276" w:lineRule="auto"/>
              <w:jc w:val="both"/>
            </w:pPr>
            <w:r>
              <w:rPr>
                <w:rFonts w:ascii="Times New Roman" w:hAnsi="Times New Roman" w:eastAsia="바탕"/>
                <w:sz w:val="20"/>
              </w:rPr>
              <w:t xml:space="preserve">In a study at three primary care clinics in the United States in which 395 adults were shown five actual pill bottle labels and asked whether they understood the instruction, correct understanding ranged from </w:t>
            </w:r>
            <w:r>
              <w:rPr>
                <w:rFonts w:ascii="Times New Roman" w:hAnsi="Times New Roman" w:eastAsia="바탕"/>
                <w:b/>
                <w:sz w:val="20"/>
              </w:rPr>
              <w:t>67.1% to 91.1%</w:t>
            </w:r>
            <w:r>
              <w:rPr>
                <w:rFonts w:ascii="Times New Roman" w:hAnsi="Times New Roman" w:eastAsia="바탕"/>
                <w:sz w:val="20"/>
              </w:rPr>
              <w:t xml:space="preserve"> depending on the label. The sharpest result of that study lies elsewhere. Among low-literacy patients, </w:t>
            </w:r>
            <w:r>
              <w:rPr>
                <w:rFonts w:ascii="Times New Roman" w:hAnsi="Times New Roman" w:eastAsia="바탕"/>
                <w:b/>
                <w:sz w:val="20"/>
              </w:rPr>
              <w:t>70.7% correctly restated the instruction "take two tablets twice daily" in words, but only 34.7% could actually demonstrate how many tablets to take in a day</w:t>
            </w:r>
            <w:r>
              <w:rPr>
                <w:rFonts w:ascii="Times New Roman" w:hAnsi="Times New Roman" w:eastAsia="바탕"/>
                <w:sz w:val="20"/>
              </w:rPr>
              <w:t xml:space="preserve"> (Davis, T. C. et al., "Literacy and misunderstanding prescription drug labels," </w:t>
            </w:r>
            <w:r>
              <w:rPr>
                <w:rFonts w:ascii="Times New Roman" w:hAnsi="Times New Roman" w:eastAsia="바탕"/>
                <w:i/>
                <w:sz w:val="20"/>
              </w:rPr>
              <w:t>Annals of Internal Medicine</w:t>
            </w:r>
            <w:r>
              <w:rPr>
                <w:rFonts w:ascii="Times New Roman" w:hAnsi="Times New Roman" w:eastAsia="바탕"/>
                <w:sz w:val="20"/>
              </w:rPr>
              <w:t>, 145(12):887–894, 2006).</w:t>
            </w:r>
          </w:p>
          <w:p>
            <w:pPr>
              <w:spacing w:after="80" w:line="276" w:lineRule="auto"/>
              <w:jc w:val="both"/>
            </w:pPr>
            <w:r>
              <w:rPr>
                <w:rFonts w:ascii="Times New Roman" w:hAnsi="Times New Roman" w:eastAsia="바탕"/>
                <w:sz w:val="20"/>
              </w:rPr>
              <w:t>Restating an instruction and acting on it are separate abilities, and reading the text aloud does not by itself close that gap. This is why SnapCare sends a picture of the action alongside the speech.</w:t>
            </w:r>
          </w:p>
          <w:p>
            <w:pPr>
              <w:spacing w:after="80" w:line="276" w:lineRule="auto"/>
              <w:jc w:val="both"/>
            </w:pPr>
            <w:r>
              <w:rPr>
                <w:rFonts w:ascii="Times New Roman" w:hAnsi="Times New Roman" w:eastAsia="바탕"/>
                <w:sz w:val="20"/>
              </w:rPr>
              <w:t xml:space="preserve">With liquid medicines the error appears as a visible quantity. In a randomised trial of caregivers giving liquid medicine to young children, </w:t>
            </w:r>
            <w:r>
              <w:rPr>
                <w:rFonts w:ascii="Times New Roman" w:hAnsi="Times New Roman" w:eastAsia="바탕"/>
                <w:b/>
                <w:sz w:val="20"/>
              </w:rPr>
              <w:t>47.8% of the control group, who received standard counselling only, administered a dose more than 20% away from the one prescribed</w:t>
            </w:r>
            <w:r>
              <w:rPr>
                <w:rFonts w:ascii="Times New Roman" w:hAnsi="Times New Roman" w:eastAsia="바탕"/>
                <w:sz w:val="20"/>
              </w:rPr>
              <w:t xml:space="preserve"> (40.0% for as-needed medicines). Twenty percent is not a small number. For a medicine taken three times a day, three days is enough to be off by a full day's dose.</w:t>
            </w:r>
          </w:p>
          <w:p>
            <w:pPr>
              <w:spacing w:after="80" w:line="276" w:lineRule="auto"/>
              <w:jc w:val="both"/>
            </w:pPr>
            <w:r>
              <w:rPr>
                <w:rFonts w:ascii="Times New Roman" w:hAnsi="Times New Roman" w:eastAsia="바탕"/>
                <w:sz w:val="20"/>
              </w:rPr>
              <w:t xml:space="preserve">The worldwide annual cost associated with medication errors is about 42 billion US dollars, roughly 1% of total global health expenditure (World Health Organization, </w:t>
            </w:r>
            <w:r>
              <w:rPr>
                <w:rFonts w:ascii="Times New Roman" w:hAnsi="Times New Roman" w:eastAsia="바탕"/>
                <w:i/>
                <w:sz w:val="20"/>
              </w:rPr>
              <w:t>Medication Without Harm: WHO Global Patient Safety Challenge</w:t>
            </w:r>
            <w:r>
              <w:rPr>
                <w:rFonts w:ascii="Times New Roman" w:hAnsi="Times New Roman" w:eastAsia="바탕"/>
                <w:sz w:val="20"/>
              </w:rPr>
              <w:t xml:space="preserve">, WHO/HIS/SDS/2017.6, 2017). There are figures for the United States on its own. Avoidable health care costs arising from medication non-adherence are estimated at 100 to 300 billion dollars a year, which is 3% to 10% of total US health care spending. About 10% of hospitalisations among older adults may be attributed to non-adherence, and the majority of the costs attributed to non-adherence come from hospitalisations that could have been avoided (Iuga, A. O. &amp; McGuire, M. J., "Adherence and health care costs," </w:t>
            </w:r>
            <w:r>
              <w:rPr>
                <w:rFonts w:ascii="Times New Roman" w:hAnsi="Times New Roman" w:eastAsia="바탕"/>
                <w:i/>
                <w:sz w:val="20"/>
              </w:rPr>
              <w:t>Risk Management and Healthcare Policy</w:t>
            </w:r>
            <w:r>
              <w:rPr>
                <w:rFonts w:ascii="Times New Roman" w:hAnsi="Times New Roman" w:eastAsia="바탕"/>
                <w:sz w:val="20"/>
              </w:rPr>
              <w:t>, 7:35–44, 2014, doi:10.2147/RMHP.S19801).</w:t>
            </w:r>
          </w:p>
          <w:p>
            <w:pPr>
              <w:spacing w:after="80" w:line="276" w:lineRule="auto"/>
              <w:jc w:val="both"/>
            </w:pPr>
            <w:r>
              <w:rPr>
                <w:rFonts w:ascii="Times New Roman" w:hAnsi="Times New Roman" w:eastAsia="바탕"/>
                <w:sz w:val="20"/>
              </w:rPr>
              <w:t>Three corrections made while carrying these figures over are set down here. We had taken them from a hospital's public-information page and written "100 billion in direct costs and as much as 300 billion including indirect costs", whereas the source does not divide direct from indirect and gives a range of avoidable costs. What we wrote as "at least 10% of hospitalisations" is limited in the source to hospitalisations among older adults. And the "roughly 125,000 deaths a year" we had beside them is not in this paper's abstract, so it is removed: it is a widely quoted number, but we could not confirm it at a primary source.</w:t>
            </w:r>
          </w:p>
          <w:p>
            <w:pPr>
              <w:spacing w:after="80" w:line="276" w:lineRule="auto"/>
              <w:jc w:val="both"/>
            </w:pPr>
            <w:r>
              <w:rPr>
                <w:rFonts w:ascii="Times New Roman" w:hAnsi="Times New Roman" w:eastAsia="바탕"/>
                <w:sz w:val="20"/>
              </w:rPr>
              <w:t xml:space="preserve">The World Health Organization's first global patient safety report, issued in 2024, measured this scale again. One patient in twenty worldwide (5%) experiences preventable medication-related harm, and close to a quarter of that harm is severe or life threatening. By region, Africa and South-East Asia are highest at 9% each (World Health Organization, </w:t>
            </w:r>
            <w:r>
              <w:rPr>
                <w:rFonts w:ascii="Times New Roman" w:hAnsi="Times New Roman" w:eastAsia="바탕"/>
                <w:i/>
                <w:sz w:val="20"/>
              </w:rPr>
              <w:t>Global patient safety report 2024</w:t>
            </w:r>
            <w:r>
              <w:rPr>
                <w:rFonts w:ascii="Times New Roman" w:hAnsi="Times New Roman" w:eastAsia="바탕"/>
                <w:sz w:val="20"/>
              </w:rPr>
              <w:t>, ISBN 978-92-4-009545-8, 2024).</w:t>
            </w:r>
          </w:p>
          <w:p>
            <w:pPr>
              <w:spacing w:after="80" w:line="276" w:lineRule="auto"/>
              <w:jc w:val="both"/>
            </w:pPr>
            <w:r>
              <w:rPr>
                <w:rFonts w:ascii="Times New Roman" w:hAnsi="Times New Roman" w:eastAsia="바탕"/>
                <w:sz w:val="20"/>
              </w:rPr>
              <w:t xml:space="preserve">In low- and middle-income countries there are 134 million adverse events in hospitals each year, and about 2.6 million people die as a result (WHO, </w:t>
            </w:r>
            <w:r>
              <w:rPr>
                <w:rFonts w:ascii="Times New Roman" w:hAnsi="Times New Roman" w:eastAsia="바탕"/>
                <w:i/>
                <w:sz w:val="20"/>
              </w:rPr>
              <w:t>Global patient safety report 2024</w:t>
            </w:r>
            <w:r>
              <w:rPr>
                <w:rFonts w:ascii="Times New Roman" w:hAnsi="Times New Roman" w:eastAsia="바탕"/>
                <w:sz w:val="20"/>
              </w:rPr>
              <w:t>).</w:t>
            </w:r>
          </w:p>
          <w:p>
            <w:pPr>
              <w:spacing w:after="80" w:line="276" w:lineRule="auto"/>
              <w:jc w:val="both"/>
            </w:pPr>
            <w:r>
              <w:rPr>
                <w:rFonts w:ascii="Times New Roman" w:hAnsi="Times New Roman" w:eastAsia="바탕"/>
                <w:sz w:val="20"/>
              </w:rPr>
              <w:t xml:space="preserve">Where the harm occurs is what fixes the place of this work. The World Health Organization reports that more than half of the harm arising in the course of care (one patient in twenty) is preventable, and that half of that preventable harm is medication related. Medication-related harm affects one patient in thirty, and more than a quarter of it is severe or life threatening. This harm is also more common outside hospital than inside it. </w:t>
            </w:r>
            <w:r>
              <w:rPr>
                <w:rFonts w:ascii="Times New Roman" w:hAnsi="Times New Roman" w:eastAsia="바탕"/>
                <w:b/>
                <w:sz w:val="20"/>
              </w:rPr>
              <w:t>In primary and ambulatory care up to four patients in ten experience harm, and up to 80% of that harm (23.6% to 85%) is avoidable</w:t>
            </w:r>
            <w:r>
              <w:rPr>
                <w:rFonts w:ascii="Times New Roman" w:hAnsi="Times New Roman" w:eastAsia="바탕"/>
                <w:sz w:val="20"/>
              </w:rPr>
              <w:t xml:space="preserve"> (World Health Organization, </w:t>
            </w:r>
            <w:r>
              <w:rPr>
                <w:rFonts w:ascii="Times New Roman" w:hAnsi="Times New Roman" w:eastAsia="바탕"/>
                <w:i/>
                <w:sz w:val="20"/>
              </w:rPr>
              <w:t>Patient safety</w:t>
            </w:r>
            <w:r>
              <w:rPr>
                <w:rFonts w:ascii="Times New Roman" w:hAnsi="Times New Roman" w:eastAsia="바탕"/>
                <w:sz w:val="20"/>
              </w:rPr>
              <w:t xml:space="preserve"> fact sheet).</w:t>
            </w:r>
          </w:p>
          <w:p>
            <w:pPr>
              <w:spacing w:after="80" w:line="276" w:lineRule="auto"/>
              <w:jc w:val="both"/>
            </w:pPr>
            <w:r>
              <w:rPr>
                <w:rFonts w:ascii="Times New Roman" w:hAnsi="Times New Roman" w:eastAsia="바탕"/>
                <w:sz w:val="20"/>
              </w:rPr>
              <w:t xml:space="preserve">What these figures point to together is that medication-related harm occurs outside the consulting room and in an avoidable form. That is the part SnapCare sets out to address. In low- and middle-income countries, deaths from unsafe care reach 4 in every 100 (WHO, </w:t>
            </w:r>
            <w:r>
              <w:rPr>
                <w:rFonts w:ascii="Times New Roman" w:hAnsi="Times New Roman" w:eastAsia="바탕"/>
                <w:i/>
                <w:sz w:val="20"/>
              </w:rPr>
              <w:t>Patient safety</w:t>
            </w:r>
            <w:r>
              <w:rPr>
                <w:rFonts w:ascii="Times New Roman" w:hAnsi="Times New Roman" w:eastAsia="바탕"/>
                <w:sz w:val="20"/>
              </w:rPr>
              <w:t>).</w:t>
            </w:r>
          </w:p>
          <w:p>
            <w:pPr>
              <w:spacing w:after="80" w:line="276" w:lineRule="auto"/>
              <w:jc w:val="both"/>
            </w:pPr>
            <w:r>
              <w:rPr>
                <w:rFonts w:ascii="Times New Roman" w:hAnsi="Times New Roman" w:eastAsia="바탕"/>
                <w:sz w:val="20"/>
              </w:rPr>
              <w:t>The cost estimates span a wide range, and the basis of the 300 billion dollar upper figure is disputed. Our purpose in citing these numbers is to give a sense of scale rather than to argue for any particular value, and the indicator on which this work claims improvement is not cost but the delivery success rate in §5.1.</w:t>
            </w:r>
          </w:p>
          <w:p>
            <w:pPr>
              <w:spacing w:after="80" w:line="276" w:lineRule="auto"/>
              <w:jc w:val="both"/>
            </w:pPr>
            <w:r>
              <w:rPr>
                <w:rFonts w:ascii="Times New Roman" w:hAnsi="Times New Roman" w:eastAsia="바탕"/>
                <w:sz w:val="20"/>
              </w:rPr>
              <w:t>The misreading this section counted from the literature we observed in our own pictures too. Asked how the whole looked from a pharmacy standpoint, Sheron Sir Loon Goh, Pharmacy Lecturer at the Department of Clinical Pharmacy and Pharmacy Practice, pointed at two things:</w:t>
            </w:r>
          </w:p>
          <w:p>
            <w:pPr>
              <w:spacing w:after="40" w:line="276" w:lineRule="auto"/>
              <w:ind w:left="403"/>
            </w:pPr>
            <w:r>
              <w:rPr>
                <w:rFonts w:ascii="Times New Roman" w:hAnsi="Times New Roman" w:eastAsia="바탕"/>
                <w:i/>
                <w:color w:val="606068"/>
                <w:sz w:val="19"/>
              </w:rPr>
              <w:t>"Once a day dose, I dont see the relationship by just looking at the capsule symbol with 1 dot means once a day without hearing the audio for explanation. Putting a pregnant mother symbol does not explains that it is not safe for pregnant mother to consume the meds. Perhaps you will need to add a \"X\" symbol somewhere in the picture"</w:t>
            </w:r>
          </w:p>
          <w:p>
            <w:pPr>
              <w:spacing w:after="180" w:line="276" w:lineRule="auto"/>
              <w:ind w:left="403"/>
            </w:pPr>
            <w:r>
              <w:rPr>
                <w:rFonts w:ascii="Times New Roman" w:hAnsi="Times New Roman" w:eastAsia="바탕"/>
                <w:i w:val="0"/>
                <w:color w:val="606068"/>
                <w:sz w:val="19"/>
              </w:rPr>
              <w:t>(Sheron Sir Loon Goh, Pharmacy Lecturer, Department of Clinical Pharmacy and Pharmacy Practice)</w:t>
            </w:r>
          </w:p>
          <w:p>
            <w:pPr>
              <w:spacing w:after="80" w:line="276" w:lineRule="auto"/>
              <w:jc w:val="both"/>
            </w:pPr>
            <w:r>
              <w:rPr>
                <w:rFonts w:ascii="Times New Roman" w:hAnsi="Times New Roman" w:eastAsia="바탕"/>
                <w:sz w:val="20"/>
              </w:rPr>
              <w:t>The first is this section's "how much" error and the second its contraindication error. The top types in Table 4 reproduced themselves in our own pictures, which is where the distribution in the literature stopped being someone else's story.</w:t>
            </w:r>
          </w:p>
          <w:p>
            <w:pPr>
              <w:spacing w:after="80" w:line="276" w:lineRule="auto"/>
              <w:jc w:val="both"/>
            </w:pPr>
            <w:r>
              <w:rPr>
                <w:rFonts w:ascii="Times New Roman" w:hAnsi="Times New Roman" w:eastAsia="바탕"/>
                <w:sz w:val="20"/>
              </w:rPr>
              <w:t xml:space="preserve">The second is the heavier one. A pregnancy symbol with no prohibition mark can be read as "safe in pregnancy". That is not meaning going vague but meaning </w:t>
            </w:r>
            <w:r>
              <w:rPr>
                <w:rFonts w:ascii="Times New Roman" w:hAnsi="Times New Roman" w:eastAsia="바탕"/>
                <w:b/>
                <w:sz w:val="20"/>
              </w:rPr>
              <w:t>inverting</w:t>
            </w:r>
            <w:r>
              <w:rPr>
                <w:rFonts w:ascii="Times New Roman" w:hAnsi="Times New Roman" w:eastAsia="바탕"/>
                <w:sz w:val="20"/>
              </w:rPr>
              <w:t>, and it is why ANSI Z535.3 requires critical-confusion errors below 5%. Dividing the prohibition marking into three by the nature of the flag in §5.2 was the result of taking this point.</w:t>
            </w:r>
          </w:p>
          <w:p>
            <w:pPr>
              <w:spacing w:before="180" w:after="40"/>
            </w:pPr>
            <w:r>
              <w:rPr>
                <w:rFonts w:ascii="Times New Roman" w:hAnsi="Times New Roman" w:eastAsia="바탕"/>
                <w:b/>
                <w:sz w:val="23"/>
              </w:rPr>
              <w:t>1.4 International policy and its blind spot</w:t>
            </w:r>
          </w:p>
          <w:p>
            <w:pPr>
              <w:spacing w:after="80" w:line="276" w:lineRule="auto"/>
              <w:jc w:val="both"/>
            </w:pPr>
            <w:r>
              <w:rPr>
                <w:rFonts w:ascii="Times New Roman" w:hAnsi="Times New Roman" w:eastAsia="바탕"/>
                <w:sz w:val="20"/>
              </w:rPr>
              <w:t xml:space="preserve">In 2017 the World Health Organization declared Medication Without Harm as its third Global Patient Safety Challenge, setting a goal of reducing severe avoidable medication-related harm by 50% within five years (World Health Organization, </w:t>
            </w:r>
            <w:r>
              <w:rPr>
                <w:rFonts w:ascii="Times New Roman" w:hAnsi="Times New Roman" w:eastAsia="바탕"/>
                <w:i/>
                <w:sz w:val="20"/>
              </w:rPr>
              <w:t>Medication Without Harm: WHO Global Patient Safety Challenge</w:t>
            </w:r>
            <w:r>
              <w:rPr>
                <w:rFonts w:ascii="Times New Roman" w:hAnsi="Times New Roman" w:eastAsia="바탕"/>
                <w:sz w:val="20"/>
              </w:rPr>
              <w:t xml:space="preserve">, WHO/HIS/SDS/2017.6, 2017). It identified three priority areas: high-risk situations, polypharmacy and transitions of care (World Health Organization, </w:t>
            </w:r>
            <w:r>
              <w:rPr>
                <w:rFonts w:ascii="Times New Roman" w:hAnsi="Times New Roman" w:eastAsia="바탕"/>
                <w:i/>
                <w:sz w:val="20"/>
              </w:rPr>
              <w:t>Medication Without Harm: WHO Global Patient Safety Challenge</w:t>
            </w:r>
            <w:r>
              <w:rPr>
                <w:rFonts w:ascii="Times New Roman" w:hAnsi="Times New Roman" w:eastAsia="바탕"/>
                <w:sz w:val="20"/>
              </w:rPr>
              <w:t>, WHO/HIS/SDS/2017.6, 2017).</w:t>
            </w:r>
          </w:p>
          <w:p>
            <w:pPr>
              <w:spacing w:after="80" w:line="276" w:lineRule="auto"/>
              <w:jc w:val="both"/>
            </w:pPr>
            <w:r>
              <w:rPr>
                <w:rFonts w:ascii="Times New Roman" w:hAnsi="Times New Roman" w:eastAsia="바탕"/>
                <w:sz w:val="20"/>
              </w:rPr>
              <w:t xml:space="preserve">Seven years after that declaration, however, as of 2024 only </w:t>
            </w:r>
            <w:r>
              <w:rPr>
                <w:rFonts w:ascii="Times New Roman" w:hAnsi="Times New Roman" w:eastAsia="바탕"/>
                <w:b/>
                <w:sz w:val="20"/>
              </w:rPr>
              <w:t>18% of WHO member states</w:t>
            </w:r>
            <w:r>
              <w:rPr>
                <w:rFonts w:ascii="Times New Roman" w:hAnsi="Times New Roman" w:eastAsia="바탕"/>
                <w:sz w:val="20"/>
              </w:rPr>
              <w:t xml:space="preserve"> have established national targets for reducing medication-related harm (World Health Organization, </w:t>
            </w:r>
            <w:r>
              <w:rPr>
                <w:rFonts w:ascii="Times New Roman" w:hAnsi="Times New Roman" w:eastAsia="바탕"/>
                <w:i/>
                <w:sz w:val="20"/>
              </w:rPr>
              <w:t>Medication without harm: policy brief</w:t>
            </w:r>
            <w:r>
              <w:rPr>
                <w:rFonts w:ascii="Times New Roman" w:hAnsi="Times New Roman" w:eastAsia="바탕"/>
                <w:sz w:val="20"/>
              </w:rPr>
              <w:t>, ISBN 978-92-4-006276-4, 2024).</w:t>
            </w:r>
          </w:p>
          <w:p>
            <w:pPr>
              <w:spacing w:after="80" w:line="276" w:lineRule="auto"/>
              <w:jc w:val="both"/>
            </w:pPr>
            <w:r>
              <w:rPr>
                <w:rFonts w:ascii="Times New Roman" w:hAnsi="Times New Roman" w:eastAsia="바탕"/>
                <w:sz w:val="20"/>
              </w:rPr>
              <w:t xml:space="preserve">The global patient safety report of the same year records that 74% of member states have endorsed the challenge and are implementing it (WHO, </w:t>
            </w:r>
            <w:r>
              <w:rPr>
                <w:rFonts w:ascii="Times New Roman" w:hAnsi="Times New Roman" w:eastAsia="바탕"/>
                <w:i/>
                <w:sz w:val="20"/>
              </w:rPr>
              <w:t>Global patient safety report 2024</w:t>
            </w:r>
            <w:r>
              <w:rPr>
                <w:rFonts w:ascii="Times New Roman" w:hAnsi="Times New Roman" w:eastAsia="바탕"/>
                <w:sz w:val="20"/>
              </w:rPr>
              <w:t>). The two figures do not contradict each other. The first counts countries that have set a reduction target as a number; the second counts countries that have accepted the challenge. In the same report, 24% have a national expert body for the challenge. That the count falls as one moves from endorsement to target and from target to a standing body shows how far down this policy has actually travelled.</w:t>
            </w:r>
          </w:p>
          <w:p>
            <w:pPr>
              <w:spacing w:before="160" w:after="60"/>
              <w:jc w:val="center"/>
            </w:pPr>
            <w:r>
              <w:drawing>
                <wp:inline xmlns:a="http://schemas.openxmlformats.org/drawingml/2006/main" xmlns:pic="http://schemas.openxmlformats.org/drawingml/2006/picture">
                  <wp:extent cx="5486400" cy="2194560"/>
                  <wp:docPr id="5" name="Picture 5"/>
                  <wp:cNvGraphicFramePr>
                    <a:graphicFrameLocks noChangeAspect="1"/>
                  </wp:cNvGraphicFramePr>
                  <a:graphic>
                    <a:graphicData uri="http://schemas.openxmlformats.org/drawingml/2006/picture">
                      <pic:pic>
                        <pic:nvPicPr>
                          <pic:cNvPr id="0" name="chart12_policy_depth.png"/>
                          <pic:cNvPicPr/>
                        </pic:nvPicPr>
                        <pic:blipFill>
                          <a:blip r:embed="rId21"/>
                          <a:stretch>
                            <a:fillRect/>
                          </a:stretch>
                        </pic:blipFill>
                        <pic:spPr>
                          <a:xfrm>
                            <a:off x="0" y="0"/>
                            <a:ext cx="5486400" cy="219456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5]</w:t>
            </w:r>
            <w:r>
              <w:rPr>
                <w:rFonts w:ascii="Times New Roman" w:hAnsi="Times New Roman" w:eastAsia="바탕"/>
                <w:color w:val="606068"/>
                <w:sz w:val="18"/>
              </w:rPr>
              <w:t xml:space="preserve"> How far Medication Without Harm has reached inside national systems (World Health Organization, </w:t>
            </w:r>
            <w:r>
              <w:rPr>
                <w:rFonts w:ascii="Times New Roman" w:hAnsi="Times New Roman" w:eastAsia="바탕"/>
                <w:i/>
                <w:color w:val="606068"/>
                <w:sz w:val="18"/>
              </w:rPr>
              <w:t>Global patient safety report 2024</w:t>
            </w:r>
            <w:r>
              <w:rPr>
                <w:rFonts w:ascii="Times New Roman" w:hAnsi="Times New Roman" w:eastAsia="바탕"/>
                <w:color w:val="606068"/>
                <w:sz w:val="18"/>
              </w:rPr>
              <w:t>, ISBN 978-92-4-009545-8, 2024). Seventy-four percent of member states have accepted the challenge; 18% have set a numerical reduction target. What to read here is the distance between declaration and implementation. The blind spot §1.4 describes exists not because there is no policy but because the policy has not come down this far.</w:t>
            </w:r>
          </w:p>
          <w:p>
            <w:pPr>
              <w:spacing w:after="80" w:line="276" w:lineRule="auto"/>
              <w:jc w:val="both"/>
            </w:pPr>
            <w:r>
              <w:rPr>
                <w:rFonts w:ascii="Times New Roman" w:hAnsi="Times New Roman" w:eastAsia="바탕"/>
                <w:sz w:val="20"/>
              </w:rPr>
              <w:t xml:space="preserve">A gap remains even after the instruction has been delivered. Adherence among patients with chronic disease averages 50% in developed countries and is lower in developing ones (World Health Organization, </w:t>
            </w:r>
            <w:r>
              <w:rPr>
                <w:rFonts w:ascii="Times New Roman" w:hAnsi="Times New Roman" w:eastAsia="바탕"/>
                <w:i/>
                <w:sz w:val="20"/>
              </w:rPr>
              <w:t>Adherence to long-term therapies: evidence for action</w:t>
            </w:r>
            <w:r>
              <w:rPr>
                <w:rFonts w:ascii="Times New Roman" w:hAnsi="Times New Roman" w:eastAsia="바탕"/>
                <w:sz w:val="20"/>
              </w:rPr>
              <w:t>, 2003). That figure was measured over populations including people who can read and who have been diagnosed, which also means this is not a problem that literacy alone accounts for.</w:t>
            </w:r>
          </w:p>
          <w:p>
            <w:pPr>
              <w:spacing w:after="80" w:line="276" w:lineRule="auto"/>
              <w:jc w:val="both"/>
            </w:pPr>
            <w:r>
              <w:rPr>
                <w:rFonts w:ascii="Times New Roman" w:hAnsi="Times New Roman" w:eastAsia="바탕"/>
                <w:sz w:val="20"/>
              </w:rPr>
              <w:t xml:space="preserve">The relationship between literacy and adherence itself is not on our side either. A meta-analysis pooling studies that measured the direct relationship between health literacy and medication adherence found the association statistically significant but </w:t>
            </w:r>
            <w:r>
              <w:rPr>
                <w:rFonts w:ascii="Times New Roman" w:hAnsi="Times New Roman" w:eastAsia="바탕"/>
                <w:b/>
                <w:sz w:val="20"/>
              </w:rPr>
              <w:t>weak</w:t>
            </w:r>
            <w:r>
              <w:rPr>
                <w:rFonts w:ascii="Times New Roman" w:hAnsi="Times New Roman" w:eastAsia="바탕"/>
                <w:sz w:val="20"/>
              </w:rPr>
              <w:t xml:space="preserve">, with weighted correlation coefficients between 0.056 and 0.072 (Zhang, N. J., Terry, A. &amp; McHorney, C. A., "Impact of health literacy on medication adherence: a systematic review and meta-analysis," </w:t>
            </w:r>
            <w:r>
              <w:rPr>
                <w:rFonts w:ascii="Times New Roman" w:hAnsi="Times New Roman" w:eastAsia="바탕"/>
                <w:i/>
                <w:sz w:val="20"/>
              </w:rPr>
              <w:t>Annals of Pharmacotherapy</w:t>
            </w:r>
            <w:r>
              <w:rPr>
                <w:rFonts w:ascii="Times New Roman" w:hAnsi="Times New Roman" w:eastAsia="바탕"/>
                <w:sz w:val="20"/>
              </w:rPr>
              <w:t>, 48(6):741–751, 2014, doi:10.1177/1060028014526562). The authors suggest health literacy may mediate other determinants of adherence rather than setting adherence directly.</w:t>
            </w:r>
          </w:p>
          <w:p>
            <w:pPr>
              <w:spacing w:after="80" w:line="276" w:lineRule="auto"/>
              <w:jc w:val="both"/>
            </w:pPr>
            <w:r>
              <w:rPr>
                <w:rFonts w:ascii="Times New Roman" w:hAnsi="Times New Roman" w:eastAsia="바탕"/>
                <w:sz w:val="20"/>
              </w:rPr>
              <w:t xml:space="preserve">There is more direct evidence too. A multisite randomised controlled trial gave 315 adults with low health literacy the same chronic-disease self-management app, differing only in the reading difficulty of its text: third-grade level with audio narration, sixth-grade level, and eighth-grade level as the control. All three groups gained in activation, self-efficacy and health-related quality of life, but </w:t>
            </w:r>
            <w:r>
              <w:rPr>
                <w:rFonts w:ascii="Times New Roman" w:hAnsi="Times New Roman" w:eastAsia="바탕"/>
                <w:b/>
                <w:sz w:val="20"/>
              </w:rPr>
              <w:t>there were no between-group differences and medication adherence did not change in any group</w:t>
            </w:r>
            <w:r>
              <w:rPr>
                <w:rFonts w:ascii="Times New Roman" w:hAnsi="Times New Roman" w:eastAsia="바탕"/>
                <w:sz w:val="20"/>
              </w:rPr>
              <w:t xml:space="preserve"> (Ownby, R. L., Simonson, M., Caballero, J. et al., "A mobile app for chronic disease self-management for individuals with low health literacy: A multisite randomized controlled clinical trial," </w:t>
            </w:r>
            <w:r>
              <w:rPr>
                <w:rFonts w:ascii="Times New Roman" w:hAnsi="Times New Roman" w:eastAsia="바탕"/>
                <w:i/>
                <w:sz w:val="20"/>
              </w:rPr>
              <w:t>Journal of Ageing and Longevity</w:t>
            </w:r>
            <w:r>
              <w:rPr>
                <w:rFonts w:ascii="Times New Roman" w:hAnsi="Times New Roman" w:eastAsia="바탕"/>
                <w:sz w:val="20"/>
              </w:rPr>
              <w:t>, 4(2):51–71, 2024, doi:10.3390/jal4020005).</w:t>
            </w:r>
          </w:p>
          <w:p>
            <w:pPr>
              <w:spacing w:after="80" w:line="276" w:lineRule="auto"/>
              <w:jc w:val="both"/>
            </w:pPr>
            <w:r>
              <w:rPr>
                <w:rFonts w:ascii="Times New Roman" w:hAnsi="Times New Roman" w:eastAsia="바탕"/>
                <w:sz w:val="20"/>
              </w:rPr>
              <w:t>That result stings because the design is close to ours. It targeted low health literacy, it simplified the text, and it added audio. Doing all three moved nothing. What that trial varied, however, is the difficulty of the text rather than the medium. Eighth-grade text and third-grade text are both text, and to someone who cannot read they are the same thing. We change the medium rather than the difficulty, so we do not take the result as applying directly, but we have no grounds for saying it does not apply either.</w:t>
            </w:r>
          </w:p>
          <w:p>
            <w:pPr>
              <w:spacing w:after="80" w:line="276" w:lineRule="auto"/>
              <w:jc w:val="both"/>
            </w:pPr>
            <w:r>
              <w:rPr>
                <w:rFonts w:ascii="Times New Roman" w:hAnsi="Times New Roman" w:eastAsia="바탕"/>
                <w:sz w:val="20"/>
              </w:rPr>
              <w:t>Read plainly, that means solving literacy raises adherence only a little. We do not claim to improve adherence (§5.9), so this does not undo the argument of this work, but the figure shows the distance between making something readable and making someone take it. What §5.1 measures is the first of those. The second we did not measure.</w:t>
            </w:r>
          </w:p>
          <w:p>
            <w:pPr>
              <w:spacing w:after="80" w:line="276" w:lineRule="auto"/>
              <w:jc w:val="both"/>
            </w:pPr>
            <w:r>
              <w:rPr>
                <w:rFonts w:ascii="Times New Roman" w:hAnsi="Times New Roman" w:eastAsia="바탕"/>
                <w:sz w:val="20"/>
              </w:rPr>
              <w:t xml:space="preserve">There is evidence for low- and middle-income countries taken on their own. Pooling 22 studies and 92,443 subjects, non-adherence to antihypertensive medication ranged from 25.45% (95% CI 17.23–33.76) to 63.35% (38.78–87.91) depending on the measurement instrument, and most of the studies located the cause in what the World Health Organization classifies as socioeconomic factors (Nielsen, J. Ø., Shrestha, A. D., Neupane, D. &amp; Kallestrup, P., "Non-adherence to anti-hypertensive medication in low- and middle-income countries: a systematic review and meta-analysis of 92443 subjects," </w:t>
            </w:r>
            <w:r>
              <w:rPr>
                <w:rFonts w:ascii="Times New Roman" w:hAnsi="Times New Roman" w:eastAsia="바탕"/>
                <w:i/>
                <w:sz w:val="20"/>
              </w:rPr>
              <w:t>Journal of Human Hypertension</w:t>
            </w:r>
            <w:r>
              <w:rPr>
                <w:rFonts w:ascii="Times New Roman" w:hAnsi="Times New Roman" w:eastAsia="바탕"/>
                <w:sz w:val="20"/>
              </w:rPr>
              <w:t>, 31(1):14–21, 2017, doi:10.1038/jhh.2016.31).</w:t>
            </w:r>
          </w:p>
          <w:p>
            <w:pPr>
              <w:spacing w:after="80" w:line="276" w:lineRule="auto"/>
              <w:jc w:val="both"/>
            </w:pPr>
            <w:r>
              <w:rPr>
                <w:rFonts w:ascii="Times New Roman" w:hAnsi="Times New Roman" w:eastAsia="바탕"/>
                <w:sz w:val="20"/>
              </w:rPr>
              <w:t>That measuring the same phenomenon yields 25% with one instrument and 63% with another says something about the nature of this indicator. Any claim that this app improved adherence would have to state which instrument produced the number, and that is why the evaluation design in §5.10 fixes the instrument in advance.</w:t>
            </w:r>
          </w:p>
          <w:p>
            <w:pPr>
              <w:spacing w:after="80" w:line="276" w:lineRule="auto"/>
              <w:jc w:val="both"/>
            </w:pPr>
            <w:r>
              <w:rPr>
                <w:rFonts w:ascii="Times New Roman" w:hAnsi="Times New Roman" w:eastAsia="바탕"/>
                <w:sz w:val="20"/>
              </w:rPr>
              <w:t>This work does not claim to address that whole half. Many factors depress adherence, and several of them, such as the price of medicines and side effects, are beyond anything an app can touch. Among those factors, though, "could not read the instruction" is the kind an app can touch, and for someone who cannot read it is the first factor in the sequence. It has to be resolved before the remaining factors can even be weighed.</w:t>
            </w:r>
          </w:p>
          <w:p>
            <w:pPr>
              <w:spacing w:after="80" w:line="276" w:lineRule="auto"/>
              <w:jc w:val="both"/>
            </w:pPr>
            <w:r>
              <w:rPr>
                <w:rFonts w:ascii="Times New Roman" w:hAnsi="Times New Roman" w:eastAsia="바탕"/>
                <w:sz w:val="20"/>
              </w:rPr>
              <w:t>What happens inside the consulting room and the pharmacy we asked about directly in §5.7. The answers to what they do now when they meet a patient who cannot read show what this section is arguing.</w:t>
            </w:r>
          </w:p>
          <w:p>
            <w:pPr>
              <w:spacing w:after="40" w:line="276" w:lineRule="auto"/>
              <w:ind w:left="403"/>
            </w:pPr>
            <w:r>
              <w:rPr>
                <w:rFonts w:ascii="Times New Roman" w:hAnsi="Times New Roman" w:eastAsia="바탕"/>
                <w:i/>
                <w:color w:val="606068"/>
                <w:sz w:val="19"/>
              </w:rPr>
              <w:t>"Carefully explain to the patient, and have them repeat after me. Also talk to some other relative/caregiver of the patient."</w:t>
            </w:r>
          </w:p>
          <w:p>
            <w:pPr>
              <w:spacing w:after="180" w:line="276" w:lineRule="auto"/>
              <w:ind w:left="403"/>
            </w:pPr>
            <w:r>
              <w:rPr>
                <w:rFonts w:ascii="Times New Roman" w:hAnsi="Times New Roman" w:eastAsia="바탕"/>
                <w:i w:val="0"/>
                <w:color w:val="606068"/>
                <w:sz w:val="19"/>
              </w:rPr>
              <w:t>(Professor Samirah Abdu-Aguye, Ahmadu Bello University, Zaria)</w:t>
            </w:r>
          </w:p>
          <w:p>
            <w:pPr>
              <w:spacing w:after="40" w:line="276" w:lineRule="auto"/>
              <w:ind w:left="403"/>
            </w:pPr>
            <w:r>
              <w:rPr>
                <w:rFonts w:ascii="Times New Roman" w:hAnsi="Times New Roman" w:eastAsia="바탕"/>
                <w:i/>
                <w:color w:val="606068"/>
                <w:sz w:val="19"/>
              </w:rPr>
              <w:t>"Draw pictures. Show them pictures from internet at dispensing counter."</w:t>
            </w:r>
          </w:p>
          <w:p>
            <w:pPr>
              <w:spacing w:after="180" w:line="276" w:lineRule="auto"/>
              <w:ind w:left="403"/>
            </w:pPr>
            <w:r>
              <w:rPr>
                <w:rFonts w:ascii="Times New Roman" w:hAnsi="Times New Roman" w:eastAsia="바탕"/>
                <w:i w:val="0"/>
                <w:color w:val="606068"/>
                <w:sz w:val="19"/>
              </w:rPr>
              <w:t>(Sheron Sir Loon Goh, Pharmacy Lecturer, Department of Clinical Pharmacy and Pharmacy Practice)</w:t>
            </w:r>
          </w:p>
          <w:p>
            <w:pPr>
              <w:spacing w:after="80" w:line="276" w:lineRule="auto"/>
              <w:jc w:val="both"/>
            </w:pPr>
            <w:r>
              <w:rPr>
                <w:rFonts w:ascii="Times New Roman" w:hAnsi="Times New Roman" w:eastAsia="바탕"/>
                <w:sz w:val="20"/>
              </w:rPr>
              <w:t>Teach-back, telling the carer as well, finding pictures on the internet. None of the three was instructed by any system; each was invented by the person standing there. Professor Eun-Kyoung Kim of Kongju National University recorded the same scene from the patient's side.</w:t>
            </w:r>
          </w:p>
          <w:p>
            <w:pPr>
              <w:spacing w:after="40" w:line="276" w:lineRule="auto"/>
              <w:ind w:left="403"/>
            </w:pPr>
            <w:r>
              <w:rPr>
                <w:rFonts w:ascii="Times New Roman" w:hAnsi="Times New Roman" w:eastAsia="바탕"/>
                <w:i/>
                <w:color w:val="606068"/>
                <w:sz w:val="19"/>
              </w:rPr>
              <w:t>"The person concerned relies on the explanation of the pharmacist or of the family member who collected the medicine."</w:t>
            </w:r>
          </w:p>
          <w:p>
            <w:pPr>
              <w:spacing w:after="180" w:line="276" w:lineRule="auto"/>
              <w:ind w:left="403"/>
            </w:pPr>
            <w:r>
              <w:rPr>
                <w:rFonts w:ascii="Times New Roman" w:hAnsi="Times New Roman" w:eastAsia="바탕"/>
                <w:i w:val="0"/>
                <w:color w:val="606068"/>
                <w:sz w:val="19"/>
              </w:rPr>
              <w:t>(Professor Eun-Kyoung Kim, Kongju National University)</w:t>
            </w:r>
          </w:p>
          <w:p>
            <w:pPr>
              <w:spacing w:after="80" w:line="276" w:lineRule="auto"/>
              <w:jc w:val="both"/>
            </w:pPr>
            <w:r>
              <w:rPr>
                <w:rFonts w:ascii="Times New Roman" w:hAnsi="Times New Roman" w:eastAsia="바탕"/>
                <w:sz w:val="20"/>
              </w:rPr>
              <w:t>Why that place is the last one, Professor Katarina Vučićević of the University of Belgrade in Serbia set down in a single sentence.</w:t>
            </w:r>
          </w:p>
          <w:p>
            <w:pPr>
              <w:spacing w:after="40" w:line="276" w:lineRule="auto"/>
              <w:ind w:left="403"/>
            </w:pPr>
            <w:r>
              <w:rPr>
                <w:rFonts w:ascii="Times New Roman" w:hAnsi="Times New Roman" w:eastAsia="바탕"/>
                <w:i/>
                <w:color w:val="606068"/>
                <w:sz w:val="19"/>
              </w:rPr>
              <w:t>"The pharmacist is the last healthcare professional to interact with the patient before the medication reaches their hands and therefore has a crucial responsibility to ensure that appropriate information is given."</w:t>
            </w:r>
          </w:p>
          <w:p>
            <w:pPr>
              <w:spacing w:after="180" w:line="276" w:lineRule="auto"/>
              <w:ind w:left="403"/>
            </w:pPr>
            <w:r>
              <w:rPr>
                <w:rFonts w:ascii="Times New Roman" w:hAnsi="Times New Roman" w:eastAsia="바탕"/>
                <w:i w:val="0"/>
                <w:color w:val="606068"/>
                <w:sz w:val="19"/>
              </w:rPr>
              <w:t>(Professor Katarina Vučićević, University of Belgrade, Faculty of Pharmacy)</w:t>
            </w:r>
          </w:p>
          <w:p>
            <w:pPr>
              <w:spacing w:after="80" w:line="276" w:lineRule="auto"/>
              <w:jc w:val="both"/>
            </w:pPr>
            <w:r>
              <w:rPr>
                <w:rFonts w:ascii="Times New Roman" w:hAnsi="Times New Roman" w:eastAsia="바탕"/>
                <w:sz w:val="20"/>
              </w:rPr>
              <w:t>The pharmacist is the last clinician the patient meets before the medicine is in their hands. After that there is no one. What §1.4 calls "the last step" is what lies after that sentence.</w:t>
            </w:r>
          </w:p>
          <w:p>
            <w:pPr>
              <w:spacing w:after="80" w:line="276" w:lineRule="auto"/>
              <w:jc w:val="both"/>
            </w:pPr>
            <w:r>
              <w:rPr>
                <w:rFonts w:ascii="Times New Roman" w:hAnsi="Times New Roman" w:eastAsia="바탕"/>
                <w:sz w:val="20"/>
              </w:rPr>
              <w:t>This is what the blind spot of this section actually looks like. As far as the system reaches, people are filling it in, and what is empty begins where those people are not. The picture a pharmacist drew exists only inside the pharmacy; by the time the patient is home it is gone.</w:t>
            </w:r>
          </w:p>
          <w:p>
            <w:pPr>
              <w:spacing w:after="80" w:line="276" w:lineRule="auto"/>
              <w:jc w:val="both"/>
            </w:pPr>
            <w:r>
              <w:rPr>
                <w:rFonts w:ascii="Times New Roman" w:hAnsi="Times New Roman" w:eastAsia="바탕"/>
                <w:sz w:val="20"/>
              </w:rPr>
              <w:t>This gap does not exist because the problem has gone unrecognised. National policy and health systems reach as far as the clinic and the pharmacy, and the moment a patient opens the medicine packet at home lies outside that reach. The point at which SnapCare intervenes is exactly that last step.</w:t>
            </w:r>
          </w:p>
          <w:p>
            <w:pPr>
              <w:spacing w:after="80" w:line="276" w:lineRule="auto"/>
              <w:jc w:val="both"/>
            </w:pPr>
            <w:r>
              <w:rPr>
                <w:rFonts w:ascii="Times New Roman" w:hAnsi="Times New Roman" w:eastAsia="바탕"/>
                <w:sz w:val="20"/>
              </w:rPr>
              <w:t xml:space="preserve">The size of that last step has been measured. In a study following ambulatory patients aged 65 and over for 30,397 person-years, 1,523 adverse drug events occurred, of which 27.6% were preventable. Looking at which stage the errors attached to those 421 preventable events arose in, prescribing is 58.4%, monitoring 60.8%, and </w:t>
            </w:r>
            <w:r>
              <w:rPr>
                <w:rFonts w:ascii="Times New Roman" w:hAnsi="Times New Roman" w:eastAsia="바탕"/>
                <w:b/>
                <w:sz w:val="20"/>
              </w:rPr>
              <w:t>the patient adherence stage 21.1%</w:t>
            </w:r>
            <w:r>
              <w:rPr>
                <w:rFonts w:ascii="Times New Roman" w:hAnsi="Times New Roman" w:eastAsia="바탕"/>
                <w:sz w:val="20"/>
              </w:rPr>
              <w:t xml:space="preserve">. The three add to more than 100% because a single event can involve errors at several stages. They should be read as how often each stage was implicated, not as shares of a whole (Gurwitz, J. H. et al., "Incidence and preventability of adverse drug events among older persons in the ambulatory setting," </w:t>
            </w:r>
            <w:r>
              <w:rPr>
                <w:rFonts w:ascii="Times New Roman" w:hAnsi="Times New Roman" w:eastAsia="바탕"/>
                <w:i/>
                <w:sz w:val="20"/>
              </w:rPr>
              <w:t>JAMA</w:t>
            </w:r>
            <w:r>
              <w:rPr>
                <w:rFonts w:ascii="Times New Roman" w:hAnsi="Times New Roman" w:eastAsia="바탕"/>
                <w:sz w:val="20"/>
              </w:rPr>
              <w:t>, 289(9):1107–1116, 2003).</w:t>
            </w:r>
          </w:p>
          <w:p>
            <w:pPr>
              <w:spacing w:after="80" w:line="276" w:lineRule="auto"/>
              <w:jc w:val="both"/>
            </w:pPr>
            <w:r>
              <w:rPr>
                <w:rFonts w:ascii="Times New Roman" w:hAnsi="Times New Roman" w:eastAsia="바탕"/>
                <w:sz w:val="20"/>
              </w:rPr>
              <w:t xml:space="preserve">Here we set down, alongside it, evidence that cuts against our own argument. According to the same WHO 2024 report, about half of preventable medication harm (53%) arises at the prescribing stage and about a third (36%) at the monitoring stage. And in low- and middle-income countries the prescribing share approaches 80% (WHO, </w:t>
            </w:r>
            <w:r>
              <w:rPr>
                <w:rFonts w:ascii="Times New Roman" w:hAnsi="Times New Roman" w:eastAsia="바탕"/>
                <w:i/>
                <w:sz w:val="20"/>
              </w:rPr>
              <w:t>Global patient safety report 2024</w:t>
            </w:r>
            <w:r>
              <w:rPr>
                <w:rFonts w:ascii="Times New Roman" w:hAnsi="Times New Roman" w:eastAsia="바탕"/>
                <w:sz w:val="20"/>
              </w:rPr>
              <w:t>).</w:t>
            </w:r>
          </w:p>
          <w:p>
            <w:pPr>
              <w:spacing w:before="160" w:after="60"/>
              <w:jc w:val="center"/>
            </w:pPr>
            <w:r>
              <w:drawing>
                <wp:inline xmlns:a="http://schemas.openxmlformats.org/drawingml/2006/main" xmlns:pic="http://schemas.openxmlformats.org/drawingml/2006/picture">
                  <wp:extent cx="5486400" cy="2468880"/>
                  <wp:docPr id="6" name="Picture 6"/>
                  <wp:cNvGraphicFramePr>
                    <a:graphicFrameLocks noChangeAspect="1"/>
                  </wp:cNvGraphicFramePr>
                  <a:graphic>
                    <a:graphicData uri="http://schemas.openxmlformats.org/drawingml/2006/picture">
                      <pic:pic>
                        <pic:nvPicPr>
                          <pic:cNvPr id="0" name="chart11_harm_stage.png"/>
                          <pic:cNvPicPr/>
                        </pic:nvPicPr>
                        <pic:blipFill>
                          <a:blip r:embed="rId22"/>
                          <a:stretch>
                            <a:fillRect/>
                          </a:stretch>
                        </pic:blipFill>
                        <pic:spPr>
                          <a:xfrm>
                            <a:off x="0" y="0"/>
                            <a:ext cx="5486400" cy="24688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6]</w:t>
            </w:r>
            <w:r>
              <w:rPr>
                <w:rFonts w:ascii="Times New Roman" w:hAnsi="Times New Roman" w:eastAsia="바탕"/>
                <w:color w:val="606068"/>
                <w:sz w:val="18"/>
              </w:rPr>
              <w:t xml:space="preserve"> The stage at which preventable medication harm arises (World Health Organization, </w:t>
            </w:r>
            <w:r>
              <w:rPr>
                <w:rFonts w:ascii="Times New Roman" w:hAnsi="Times New Roman" w:eastAsia="바탕"/>
                <w:i/>
                <w:color w:val="606068"/>
                <w:sz w:val="18"/>
              </w:rPr>
              <w:t>Global patient safety report 2024</w:t>
            </w:r>
            <w:r>
              <w:rPr>
                <w:rFonts w:ascii="Times New Roman" w:hAnsi="Times New Roman" w:eastAsia="바탕"/>
                <w:color w:val="606068"/>
                <w:sz w:val="18"/>
              </w:rPr>
              <w:t>, ISBN 978-92-4-009545-8, 2024). Grey is the world, red is low- and middle-income countries. We include it because it is not a figure that favours us.</w:t>
            </w:r>
          </w:p>
          <w:p>
            <w:pPr>
              <w:spacing w:after="80" w:line="276" w:lineRule="auto"/>
              <w:jc w:val="both"/>
            </w:pPr>
            <w:r>
              <w:rPr>
                <w:rFonts w:ascii="Times New Roman" w:hAnsi="Times New Roman" w:eastAsia="바탕"/>
                <w:sz w:val="20"/>
              </w:rPr>
              <w:t>The centre of gravity of this harm therefore lies with the prescriber rather than the patient, and that skew is more pronounced in the regions we target. This app does not intervene at the prescribing stage.</w:t>
            </w:r>
          </w:p>
          <w:p>
            <w:pPr>
              <w:spacing w:after="80" w:line="276" w:lineRule="auto"/>
              <w:jc w:val="both"/>
            </w:pPr>
            <w:r>
              <w:rPr>
                <w:rFonts w:ascii="Times New Roman" w:hAnsi="Times New Roman" w:eastAsia="바탕"/>
                <w:sz w:val="20"/>
              </w:rPr>
              <w:t>Two reasons nonetheless led this work to the patient stage. First, harm at the prescribing stage occurs where clinicians are present, so it can be reduced through prescription-review systems and training, and that is in fact what the international policy cited earlier in §1.4 does. Second, the patient stage is the one place that policy does not reach. Being a smaller share and having someone able to act on it are different statements, and what we chose was not the larger share but the place where no one is standing.</w:t>
            </w:r>
          </w:p>
          <w:p>
            <w:pPr>
              <w:spacing w:after="80" w:line="276" w:lineRule="auto"/>
              <w:jc w:val="both"/>
            </w:pPr>
            <w:r>
              <w:rPr>
                <w:rFonts w:ascii="Times New Roman" w:hAnsi="Times New Roman" w:eastAsia="바탕"/>
                <w:sz w:val="20"/>
              </w:rPr>
              <w:t>That choice carries a cost. If the prescription is already wrong, this app delivers a wrong prescription accurately. In §5.7, nine of the twelve pharmacy respondents answering that a pharmacist must review every time is pointing at exactly this.</w:t>
            </w:r>
          </w:p>
          <w:p>
            <w:pPr>
              <w:spacing w:after="80" w:line="276" w:lineRule="auto"/>
              <w:jc w:val="both"/>
            </w:pPr>
            <w:r>
              <w:rPr>
                <w:rFonts w:ascii="Times New Roman" w:hAnsi="Times New Roman" w:eastAsia="바탕"/>
                <w:sz w:val="20"/>
              </w:rPr>
              <w:t>Returning to Gurwitz et al.'s three stages: prescribing and monitoring occur where clinicians are present, so there is room to fix them through systems. One of the remaining five occurs at the moment the patient takes out their medicine at home, and there is no one there to put the mistake right. Read alongside the finding in the same study that 42.2% of the 578 events classified as serious, life threatening or fatal were preventable, it is also clear that what is missed at this stage is not of a trivial kind.</w:t>
            </w:r>
          </w:p>
          <w:p>
            <w:pPr>
              <w:spacing w:after="80" w:line="276" w:lineRule="auto"/>
              <w:jc w:val="both"/>
            </w:pPr>
            <w:r>
              <w:rPr>
                <w:rFonts w:ascii="Times New Roman" w:hAnsi="Times New Roman" w:eastAsia="바탕"/>
                <w:sz w:val="20"/>
              </w:rPr>
              <w:t xml:space="preserve">Where that reach ends also shows up in staffing. Physician density is 2.9 per 10,000 population in sub-Saharan Africa against 38.3 in Central and Eastern Europe and Central Asia, a gap of more than thirteenfold (GBD 2019 Human Resources for Health Collaborators, "Measuring the availability of human resources for health," </w:t>
            </w:r>
            <w:r>
              <w:rPr>
                <w:rFonts w:ascii="Times New Roman" w:hAnsi="Times New Roman" w:eastAsia="바탕"/>
                <w:i/>
                <w:sz w:val="20"/>
              </w:rPr>
              <w:t>The Lancet</w:t>
            </w:r>
            <w:r>
              <w:rPr>
                <w:rFonts w:ascii="Times New Roman" w:hAnsi="Times New Roman" w:eastAsia="바탕"/>
                <w:sz w:val="20"/>
              </w:rPr>
              <w:t>, 399(10341):2129–2154, 2022). When consultation time shortens, the first thing cut is the explanation of how to take the medicine, and the share thus cut has to be made up by the patient reading the paper alone. That the regions with the lowest literacy and the regions with the least health workforce coincide is the structure of this problem.</w:t>
            </w:r>
          </w:p>
          <w:p>
            <w:pPr>
              <w:spacing w:before="180" w:after="40"/>
            </w:pPr>
            <w:r>
              <w:rPr>
                <w:rFonts w:ascii="Times New Roman" w:hAnsi="Times New Roman" w:eastAsia="바탕"/>
                <w:b/>
                <w:sz w:val="23"/>
              </w:rPr>
              <w:t>1.5 The undiagnosed population as a precondition</w:t>
            </w:r>
          </w:p>
          <w:p>
            <w:pPr>
              <w:spacing w:after="80" w:line="276" w:lineRule="auto"/>
              <w:jc w:val="both"/>
            </w:pPr>
            <w:r>
              <w:rPr>
                <w:rFonts w:ascii="Times New Roman" w:hAnsi="Times New Roman" w:eastAsia="바탕"/>
                <w:sz w:val="20"/>
              </w:rPr>
              <w:t>Existing personalised health apps assume the user knows their own condition. That assumption does not hold.</w:t>
            </w:r>
          </w:p>
          <w:p>
            <w:pPr>
              <w:spacing w:after="80" w:line="276" w:lineRule="auto"/>
              <w:jc w:val="both"/>
            </w:pPr>
            <w:r>
              <w:rPr>
                <w:rFonts w:ascii="Times New Roman" w:hAnsi="Times New Roman" w:eastAsia="바탕"/>
                <w:sz w:val="20"/>
              </w:rPr>
              <w:t xml:space="preserve">Diabetes prevalence among adults aged 20 to 79 is 11.1%, reaching 589 million people, and of these </w:t>
            </w:r>
            <w:r>
              <w:rPr>
                <w:rFonts w:ascii="Times New Roman" w:hAnsi="Times New Roman" w:eastAsia="바탕"/>
                <w:b/>
                <w:sz w:val="20"/>
              </w:rPr>
              <w:t>252 million, about 43%, do not know they have diabetes</w:t>
            </w:r>
            <w:r>
              <w:rPr>
                <w:rFonts w:ascii="Times New Roman" w:hAnsi="Times New Roman" w:eastAsia="바탕"/>
                <w:sz w:val="20"/>
              </w:rPr>
              <w:t xml:space="preserve"> (International Diabetes Federation, </w:t>
            </w:r>
            <w:r>
              <w:rPr>
                <w:rFonts w:ascii="Times New Roman" w:hAnsi="Times New Roman" w:eastAsia="바탕"/>
                <w:i/>
                <w:sz w:val="20"/>
              </w:rPr>
              <w:t>IDF Diabetes Atlas</w:t>
            </w:r>
            <w:r>
              <w:rPr>
                <w:rFonts w:ascii="Times New Roman" w:hAnsi="Times New Roman" w:eastAsia="바탕"/>
                <w:sz w:val="20"/>
              </w:rPr>
              <w:t xml:space="preserve">, 11th ed., 2025). Three in four adults with diabetes live in low- and middle-income countries. The figure is projected to reach 853 million (13%) by 2050, and in 2024 alone diabetes caused 3.4 million deaths, one every nine seconds (International Diabetes Federation, </w:t>
            </w:r>
            <w:r>
              <w:rPr>
                <w:rFonts w:ascii="Times New Roman" w:hAnsi="Times New Roman" w:eastAsia="바탕"/>
                <w:i/>
                <w:sz w:val="20"/>
              </w:rPr>
              <w:t>IDF Diabetes Atlas</w:t>
            </w:r>
            <w:r>
              <w:rPr>
                <w:rFonts w:ascii="Times New Roman" w:hAnsi="Times New Roman" w:eastAsia="바탕"/>
                <w:sz w:val="20"/>
              </w:rPr>
              <w:t>, 11th ed., 2025).</w:t>
            </w:r>
          </w:p>
          <w:p>
            <w:pPr>
              <w:spacing w:after="80" w:line="276" w:lineRule="auto"/>
              <w:jc w:val="both"/>
            </w:pPr>
            <w:r>
              <w:rPr>
                <w:rFonts w:ascii="Times New Roman" w:hAnsi="Times New Roman" w:eastAsia="바탕"/>
                <w:sz w:val="20"/>
              </w:rPr>
              <w:t xml:space="preserve">The number that matters to us here is not the prevalence but the </w:t>
            </w:r>
            <w:r>
              <w:rPr>
                <w:rFonts w:ascii="Times New Roman" w:hAnsi="Times New Roman" w:eastAsia="바탕"/>
                <w:b/>
                <w:sz w:val="20"/>
              </w:rPr>
              <w:t>43%</w:t>
            </w:r>
            <w:r>
              <w:rPr>
                <w:rFonts w:ascii="Times New Roman" w:hAnsi="Times New Roman" w:eastAsia="바탕"/>
                <w:sz w:val="20"/>
              </w:rPr>
              <w:t>. These people have never been to a hospital and received the name, so they answer no to the question "do you have diabetes." The app that receives that answer then gives them a verdict computed without regard to diabetes.</w:t>
            </w:r>
          </w:p>
          <w:p>
            <w:pPr>
              <w:spacing w:after="80" w:line="276" w:lineRule="auto"/>
              <w:jc w:val="both"/>
            </w:pPr>
            <w:r>
              <w:rPr>
                <w:rFonts w:ascii="Times New Roman" w:hAnsi="Times New Roman" w:eastAsia="바탕"/>
                <w:sz w:val="20"/>
              </w:rPr>
              <w:t xml:space="preserve">The same value appears again in hypertension. As of 2024, 1.4 billion adults aged 30 to 79 have hypertension (33% of that age range), and 600 million of them, 44%, are unaware that they have the condition. Those both diagnosed and treated number 630 million (44%), and only 320 million (23%) have their blood pressure actually under control (World Health Organization, </w:t>
            </w:r>
            <w:r>
              <w:rPr>
                <w:rFonts w:ascii="Times New Roman" w:hAnsi="Times New Roman" w:eastAsia="바탕"/>
                <w:i/>
                <w:sz w:val="20"/>
              </w:rPr>
              <w:t>Hypertension</w:t>
            </w:r>
            <w:r>
              <w:rPr>
                <w:rFonts w:ascii="Times New Roman" w:hAnsi="Times New Roman" w:eastAsia="바탕"/>
                <w:sz w:val="20"/>
              </w:rPr>
              <w:t xml:space="preserve"> fact sheet, 2024 estimates).</w:t>
            </w:r>
          </w:p>
          <w:p>
            <w:pPr>
              <w:spacing w:after="80" w:line="276" w:lineRule="auto"/>
              <w:jc w:val="both"/>
            </w:pPr>
            <w:r>
              <w:rPr>
                <w:rFonts w:ascii="Times New Roman" w:hAnsi="Times New Roman" w:eastAsia="바탕"/>
                <w:sz w:val="20"/>
              </w:rPr>
              <w:t>That both conditions land on 43% and 44% is no coincidence. A diagnosis is a name attached only to people who can reach testing, and the conditions that keep people from testing largely overlap with the conditions of low literacy. A screen that asks about conditions by diagnostic name misses both of these groups in the same way.</w:t>
            </w:r>
          </w:p>
          <w:p>
            <w:pPr>
              <w:spacing w:after="80" w:line="276" w:lineRule="auto"/>
              <w:jc w:val="both"/>
            </w:pPr>
            <w:r>
              <w:rPr>
                <w:rFonts w:ascii="Times New Roman" w:hAnsi="Times New Roman" w:eastAsia="바탕"/>
                <w:sz w:val="20"/>
              </w:rPr>
              <w:t xml:space="preserve">Food allergy shows the same structure. Self-reported prevalence is consistently higher than clinically confirmed prevalence, which suggests a substantial number of people without access to diagnostic means. In the United States about 18 million adults, 7 in every 100, have a food allergy (Food Allergy Research &amp; Education, </w:t>
            </w:r>
            <w:r>
              <w:rPr>
                <w:rFonts w:ascii="Times New Roman" w:hAnsi="Times New Roman" w:eastAsia="바탕"/>
                <w:i/>
                <w:sz w:val="20"/>
              </w:rPr>
              <w:t>Food Allergy Facts and Statistics</w:t>
            </w:r>
            <w:r>
              <w:rPr>
                <w:rFonts w:ascii="Times New Roman" w:hAnsi="Times New Roman" w:eastAsia="바탕"/>
                <w:sz w:val="20"/>
              </w:rPr>
              <w:t>, 2024).</w:t>
            </w:r>
          </w:p>
          <w:p>
            <w:pPr>
              <w:spacing w:after="80" w:line="276" w:lineRule="auto"/>
              <w:jc w:val="both"/>
            </w:pPr>
            <w:r>
              <w:rPr>
                <w:rFonts w:ascii="Times New Roman" w:hAnsi="Times New Roman" w:eastAsia="바탕"/>
                <w:sz w:val="20"/>
              </w:rPr>
              <w:t>The question "what are you allergic to" is therefore a question only someone who has been tested can answer. Leaving that assumption in place filters out, at the very first screen, the people who most need the help.</w:t>
            </w:r>
          </w:p>
          <w:p>
            <w:pPr>
              <w:spacing w:after="80" w:line="276" w:lineRule="auto"/>
              <w:jc w:val="both"/>
            </w:pPr>
            <w:r>
              <w:rPr>
                <w:rFonts w:ascii="Times New Roman" w:hAnsi="Times New Roman" w:eastAsia="바탕"/>
                <w:sz w:val="20"/>
              </w:rPr>
              <w:t xml:space="preserve">There is one further assumption. Even someone who can read, in their own language, has no guarantee that they can see the letters at all. At least 2.2 billion people worldwide have near or distance vision impairment, and in at least 1 billion of them it could have been prevented or has yet to be addressed. The prevalence of distance vision impairment in low- and middle-income regions is estimated at four times that of high-income regions, and the majority of people with vision impairment and blindness are over the age of 50 (World Health Organization, </w:t>
            </w:r>
            <w:r>
              <w:rPr>
                <w:rFonts w:ascii="Times New Roman" w:hAnsi="Times New Roman" w:eastAsia="바탕"/>
                <w:i/>
                <w:sz w:val="20"/>
              </w:rPr>
              <w:t>Blindness and vision impairment</w:t>
            </w:r>
            <w:r>
              <w:rPr>
                <w:rFonts w:ascii="Times New Roman" w:hAnsi="Times New Roman" w:eastAsia="바탕"/>
                <w:sz w:val="20"/>
              </w:rPr>
              <w:t xml:space="preserve"> fact sheet).</w:t>
            </w:r>
          </w:p>
          <w:p>
            <w:pPr>
              <w:spacing w:after="80" w:line="276" w:lineRule="auto"/>
              <w:jc w:val="both"/>
            </w:pPr>
            <w:r>
              <w:rPr>
                <w:rFonts w:ascii="Times New Roman" w:hAnsi="Times New Roman" w:eastAsia="바탕"/>
                <w:sz w:val="20"/>
              </w:rPr>
              <w:t>That figure is three times the 739 million non-literate adults of §1.1. In the expert survey of §5.7, five respondents remarked that the largest group of people who cannot read is likely to be blind and partially sighted people rather than non-literate people, and this figure supports that remark. How far the two groups overlap, and how many of those with vision impairment actually cannot read a medication instruction, cannot be established from this source.</w:t>
            </w:r>
          </w:p>
          <w:p>
            <w:pPr>
              <w:spacing w:before="160" w:after="60"/>
              <w:jc w:val="center"/>
            </w:pPr>
            <w:r>
              <w:drawing>
                <wp:inline xmlns:a="http://schemas.openxmlformats.org/drawingml/2006/main" xmlns:pic="http://schemas.openxmlformats.org/drawingml/2006/picture">
                  <wp:extent cx="5486400" cy="2286000"/>
                  <wp:docPr id="7" name="Picture 7"/>
                  <wp:cNvGraphicFramePr>
                    <a:graphicFrameLocks noChangeAspect="1"/>
                  </wp:cNvGraphicFramePr>
                  <a:graphic>
                    <a:graphicData uri="http://schemas.openxmlformats.org/drawingml/2006/picture">
                      <pic:pic>
                        <pic:nvPicPr>
                          <pic:cNvPr id="0" name="chart13_three_layers.png"/>
                          <pic:cNvPicPr/>
                        </pic:nvPicPr>
                        <pic:blipFill>
                          <a:blip r:embed="rId23"/>
                          <a:stretch>
                            <a:fillRect/>
                          </a:stretch>
                        </pic:blipFill>
                        <pic:spPr>
                          <a:xfrm>
                            <a:off x="0" y="0"/>
                            <a:ext cx="5486400" cy="228600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7]</w:t>
            </w:r>
            <w:r>
              <w:rPr>
                <w:rFonts w:ascii="Times New Roman" w:hAnsi="Times New Roman" w:eastAsia="바탕"/>
                <w:color w:val="606068"/>
                <w:sz w:val="18"/>
              </w:rPr>
              <w:t xml:space="preserve"> Three ways of not being able to read a prescription. The three overlap, and they come from different sources with different denominators, so they are not placed here to be compared in size. What this document has addressed since §1.1 is the middle bar; the bar above is a layer we have not addressed. The bottom line is not drawn as a bar because its denominator differs.</w:t>
            </w:r>
          </w:p>
          <w:p>
            <w:pPr>
              <w:spacing w:after="80" w:line="276" w:lineRule="auto"/>
              <w:jc w:val="both"/>
            </w:pPr>
            <w:r>
              <w:rPr>
                <w:rFonts w:ascii="Times New Roman" w:hAnsi="Times New Roman" w:eastAsia="바탕"/>
                <w:sz w:val="20"/>
              </w:rPr>
              <w:t xml:space="preserve">What that layer lacks has been measured as well. More than 2.5 billion people worldwide need one or more assistive products, and the figure is projected to reach 3.5 billion by 2050 as populations age and noncommunicable disease rises. Access is uneven. </w:t>
            </w:r>
            <w:r>
              <w:rPr>
                <w:rFonts w:ascii="Times New Roman" w:hAnsi="Times New Roman" w:eastAsia="바탕"/>
                <w:b/>
                <w:sz w:val="20"/>
              </w:rPr>
              <w:t>In some low-income countries as few as 3% of people have access to the assistive products they need, against 90% in some high-income countries</w:t>
            </w:r>
            <w:r>
              <w:rPr>
                <w:rFonts w:ascii="Times New Roman" w:hAnsi="Times New Roman" w:eastAsia="바탕"/>
                <w:sz w:val="20"/>
              </w:rPr>
              <w:t xml:space="preserve"> (World Health Organization, </w:t>
            </w:r>
            <w:r>
              <w:rPr>
                <w:rFonts w:ascii="Times New Roman" w:hAnsi="Times New Roman" w:eastAsia="바탕"/>
                <w:i/>
                <w:sz w:val="20"/>
              </w:rPr>
              <w:t>Assistive technology</w:t>
            </w:r>
            <w:r>
              <w:rPr>
                <w:rFonts w:ascii="Times New Roman" w:hAnsi="Times New Roman" w:eastAsia="바탕"/>
                <w:sz w:val="20"/>
              </w:rPr>
              <w:t xml:space="preserve"> fact sheet; WHO and UNICEF, </w:t>
            </w:r>
            <w:r>
              <w:rPr>
                <w:rFonts w:ascii="Times New Roman" w:hAnsi="Times New Roman" w:eastAsia="바탕"/>
                <w:i/>
                <w:sz w:val="20"/>
              </w:rPr>
              <w:t>Global report on assistive technology</w:t>
            </w:r>
            <w:r>
              <w:rPr>
                <w:rFonts w:ascii="Times New Roman" w:hAnsi="Times New Roman" w:eastAsia="바탕"/>
                <w:sz w:val="20"/>
              </w:rPr>
              <w:t>, 2022).</w:t>
            </w:r>
          </w:p>
          <w:p>
            <w:pPr>
              <w:spacing w:after="80" w:line="276" w:lineRule="auto"/>
              <w:jc w:val="both"/>
            </w:pPr>
            <w:r>
              <w:rPr>
                <w:rFonts w:ascii="Times New Roman" w:hAnsi="Times New Roman" w:eastAsia="바탕"/>
                <w:sz w:val="20"/>
              </w:rPr>
              <w:t>That gap overlaps with the regions we target. Smartphones have already spread, as §1.6 showed, and assistive devices have not, so there is a real difference between something that runs on the device already in someone's hand and something that needs separate equipment.</w:t>
            </w:r>
          </w:p>
          <w:p>
            <w:pPr>
              <w:spacing w:after="80" w:line="276" w:lineRule="auto"/>
              <w:jc w:val="both"/>
            </w:pPr>
            <w:r>
              <w:rPr>
                <w:rFonts w:ascii="Times New Roman" w:hAnsi="Times New Roman" w:eastAsia="바탕"/>
                <w:sz w:val="20"/>
              </w:rPr>
              <w:t>This app was not designed for blindness. The pictures are drawn large and speech is attached, but two responses in §5.7 noted that the act of taking a photograph is itself a barrier for someone who cannot see. It is a layer we have not addressed and it belongs to the unverified items in §5.10.</w:t>
            </w:r>
          </w:p>
          <w:p>
            <w:pPr>
              <w:spacing w:after="80" w:line="276" w:lineRule="auto"/>
              <w:jc w:val="both"/>
            </w:pPr>
            <w:r>
              <w:rPr>
                <w:rFonts w:ascii="Times New Roman" w:hAnsi="Times New Roman" w:eastAsia="바탕"/>
                <w:sz w:val="20"/>
              </w:rPr>
              <w:t xml:space="preserve">There is a further assumption still. Even someone who can read has no guarantee that the text in front of them is in their own language. Forty percent of the world's population does not have access to education in a language they understand, and most literacy surveys themselves measure in a single language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 Prescriptions and nutrition labels are printed in a country's official language or in English, so among those counted as "able to read" in literacy statistics there are people who cannot read the paper in front of them. Pictures and speech step over both layers at once. After the survey of §5.7 the speech acquired the languages of the six countries the respondents work in; the account and its limits are in §5.7.</w:t>
            </w:r>
          </w:p>
          <w:p>
            <w:pPr>
              <w:spacing w:after="80" w:line="276" w:lineRule="auto"/>
              <w:jc w:val="both"/>
            </w:pPr>
            <w:r>
              <w:rPr>
                <w:rFonts w:ascii="Times New Roman" w:hAnsi="Times New Roman" w:eastAsia="바탕"/>
                <w:sz w:val="20"/>
              </w:rPr>
              <w:t>This section doubted one premise: that the user knows their own condition. The survey handed us a premise we had not doubted. Asked whether a patient who cannot read could take their medicine correctly with only these screens, Yonghan Lee, Senior Manager at the Korea Craft and Design Foundation, answered:</w:t>
            </w:r>
          </w:p>
          <w:p>
            <w:pPr>
              <w:spacing w:after="40" w:line="276" w:lineRule="auto"/>
              <w:ind w:left="403"/>
            </w:pPr>
            <w:r>
              <w:rPr>
                <w:rFonts w:ascii="Times New Roman" w:hAnsi="Times New Roman" w:eastAsia="바탕"/>
                <w:i/>
                <w:color w:val="606068"/>
                <w:sz w:val="19"/>
              </w:rPr>
              <w:t>"As noted above, there are several types of people who cannot read, and in fact the largest group is likely to be blind people rather than the 'illiterate'. I do not know whether blind users were considered from the outset, but if you want to include them, for a blind person the very act of taking a photograph can be a barrier."</w:t>
            </w:r>
          </w:p>
          <w:p>
            <w:pPr>
              <w:spacing w:after="180" w:line="276" w:lineRule="auto"/>
              <w:ind w:left="403"/>
            </w:pPr>
            <w:r>
              <w:rPr>
                <w:rFonts w:ascii="Times New Roman" w:hAnsi="Times New Roman" w:eastAsia="바탕"/>
                <w:i w:val="0"/>
                <w:color w:val="606068"/>
                <w:sz w:val="19"/>
              </w:rPr>
              <w:t>(Yonghan Lee, Senior Manager, Korea Craft and Design Foundation)</w:t>
            </w:r>
          </w:p>
          <w:p>
            <w:pPr>
              <w:spacing w:after="80" w:line="276" w:lineRule="auto"/>
              <w:jc w:val="both"/>
            </w:pPr>
            <w:r>
              <w:rPr>
                <w:rFonts w:ascii="Times New Roman" w:hAnsi="Times New Roman" w:eastAsia="바탕"/>
                <w:sz w:val="20"/>
              </w:rPr>
              <w:t>This app begins with one photograph. That premise, that taking it is possible for anyone, we never tested anywhere in this document. If the 43% above are people who do not know their illness, this point is about people who cannot see the screen, and both are premises we built into the design without counting them.</w:t>
            </w:r>
          </w:p>
          <w:p>
            <w:pPr>
              <w:spacing w:after="80" w:line="276" w:lineRule="auto"/>
              <w:jc w:val="both"/>
            </w:pPr>
            <w:r>
              <w:rPr>
                <w:rFonts w:ascii="Times New Roman" w:hAnsi="Times New Roman" w:eastAsia="바탕"/>
                <w:sz w:val="20"/>
              </w:rPr>
              <w:t>This app did not take blind users as its target. The premise of §1.5 is being undiagnosed rather than being visually impaired, and of the three layers §2.1 overlays, picture and colour both require sight. Speech alone still carries the verdict, but the photographing remains. We have recorded that gap as the twelfth item in §5.9, and how far a screen reader and assisted capture can be joined to this is left to §5.10.</w:t>
            </w:r>
          </w:p>
          <w:p>
            <w:pPr>
              <w:spacing w:before="180" w:after="40"/>
            </w:pPr>
            <w:r>
              <w:rPr>
                <w:rFonts w:ascii="Times New Roman" w:hAnsi="Times New Roman" w:eastAsia="바탕"/>
                <w:b/>
                <w:sz w:val="23"/>
              </w:rPr>
              <w:t>1.6 How widely the delivery medium has spread</w:t>
            </w:r>
          </w:p>
          <w:p>
            <w:pPr>
              <w:spacing w:after="80" w:line="276" w:lineRule="auto"/>
              <w:jc w:val="both"/>
            </w:pPr>
            <w:r>
              <w:rPr>
                <w:rFonts w:ascii="Times New Roman" w:hAnsi="Times New Roman" w:eastAsia="바탕"/>
                <w:sz w:val="20"/>
              </w:rPr>
              <w:t xml:space="preserve">The medium for solving the problem has already spread. In a 2025 survey, smartphone ownership among United States adults aged 65 and over was 78%. In the same survey it was 97% for those under 50 and 90% for those aged 50 to 64, with 91% across all adults, up from 35% in the first survey in 2011 (Pew Research Center, </w:t>
            </w:r>
            <w:r>
              <w:rPr>
                <w:rFonts w:ascii="Times New Roman" w:hAnsi="Times New Roman" w:eastAsia="바탕"/>
                <w:i/>
                <w:sz w:val="20"/>
              </w:rPr>
              <w:t>Mobile Fact Sheet: Demographics of Mobile Device Ownership and Adoption in the United States</w:t>
            </w:r>
            <w:r>
              <w:rPr>
                <w:rFonts w:ascii="Times New Roman" w:hAnsi="Times New Roman" w:eastAsia="바탕"/>
                <w:sz w:val="20"/>
              </w:rPr>
              <w:t xml:space="preserve">, fieldwork 5 February to 18 June 2025, 2025). Mobile internet users in sub-Saharan Africa are projected to grow from about 287 million in 2022 to 438 million in 2030, with smartphone adoption rising from 51% to 88% (GSM Association, </w:t>
            </w:r>
            <w:r>
              <w:rPr>
                <w:rFonts w:ascii="Times New Roman" w:hAnsi="Times New Roman" w:eastAsia="바탕"/>
                <w:i/>
                <w:sz w:val="20"/>
              </w:rPr>
              <w:t>The Mobile Economy Sub-Saharan Africa 2023</w:t>
            </w:r>
            <w:r>
              <w:rPr>
                <w:rFonts w:ascii="Times New Roman" w:hAnsi="Times New Roman" w:eastAsia="바탕"/>
                <w:sz w:val="20"/>
              </w:rPr>
              <w:t>, GSMA Intelligence, 2023).</w:t>
            </w:r>
          </w:p>
          <w:p>
            <w:pPr>
              <w:spacing w:after="80" w:line="276" w:lineRule="auto"/>
              <w:jc w:val="both"/>
            </w:pPr>
            <w:r>
              <w:rPr>
                <w:rFonts w:ascii="Times New Roman" w:hAnsi="Times New Roman" w:eastAsia="바탕"/>
                <w:sz w:val="20"/>
              </w:rPr>
              <w:t xml:space="preserve">[Table 5] Smartphone ownership by age group (United States; Pew Research Center, </w:t>
            </w:r>
            <w:r>
              <w:rPr>
                <w:rFonts w:ascii="Times New Roman" w:hAnsi="Times New Roman" w:eastAsia="바탕"/>
                <w:i/>
                <w:sz w:val="20"/>
              </w:rPr>
              <w:t>Mobile Fact Sheet</w:t>
            </w:r>
            <w:r>
              <w:rPr>
                <w:rFonts w:ascii="Times New Roman" w:hAnsi="Times New Roman" w:eastAsia="바탕"/>
                <w:sz w:val="20"/>
              </w:rPr>
              <w:t>, 2025)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82"/>
              <w:gridCol w:w="4882"/>
            </w:tblGrid>
            <w:tr>
              <w:tc>
                <w:tcPr>
                  <w:tcW w:type="dxa" w:w="4882"/>
                  <w:shd w:val="clear" w:fill="F2F2F2"/>
                </w:tcPr>
                <w:p>
                  <w:r>
                    <w:rPr>
                      <w:rFonts w:ascii="Times New Roman" w:hAnsi="Times New Roman" w:eastAsia="바탕"/>
                      <w:b/>
                      <w:sz w:val="18"/>
                    </w:rPr>
                    <w:t>Age group</w:t>
                  </w:r>
                </w:p>
              </w:tc>
              <w:tc>
                <w:tcPr>
                  <w:tcW w:type="dxa" w:w="4882"/>
                  <w:shd w:val="clear" w:fill="F2F2F2"/>
                </w:tcPr>
                <w:p>
                  <w:r>
                    <w:rPr>
                      <w:rFonts w:ascii="Times New Roman" w:hAnsi="Times New Roman" w:eastAsia="바탕"/>
                      <w:b/>
                      <w:sz w:val="18"/>
                    </w:rPr>
                    <w:t>Ownership</w:t>
                  </w:r>
                </w:p>
              </w:tc>
            </w:tr>
            <w:tr>
              <w:tc>
                <w:tcPr>
                  <w:tcW w:type="dxa" w:w="4882"/>
                </w:tcPr>
                <w:p>
                  <w:r>
                    <w:rPr>
                      <w:rFonts w:ascii="Times New Roman" w:hAnsi="Times New Roman" w:eastAsia="바탕"/>
                      <w:sz w:val="18"/>
                    </w:rPr>
                    <w:t>Under 50</w:t>
                  </w:r>
                </w:p>
              </w:tc>
              <w:tc>
                <w:tcPr>
                  <w:tcW w:type="dxa" w:w="4882"/>
                </w:tcPr>
                <w:p>
                  <w:r>
                    <w:rPr>
                      <w:rFonts w:ascii="Times New Roman" w:hAnsi="Times New Roman" w:eastAsia="바탕"/>
                      <w:sz w:val="18"/>
                    </w:rPr>
                    <w:t>97%</w:t>
                  </w:r>
                </w:p>
              </w:tc>
            </w:tr>
            <w:tr>
              <w:tc>
                <w:tcPr>
                  <w:tcW w:type="dxa" w:w="4882"/>
                </w:tcPr>
                <w:p>
                  <w:r>
                    <w:rPr>
                      <w:rFonts w:ascii="Times New Roman" w:hAnsi="Times New Roman" w:eastAsia="바탕"/>
                      <w:sz w:val="18"/>
                    </w:rPr>
                    <w:t>50–64</w:t>
                  </w:r>
                </w:p>
              </w:tc>
              <w:tc>
                <w:tcPr>
                  <w:tcW w:type="dxa" w:w="4882"/>
                </w:tcPr>
                <w:p>
                  <w:r>
                    <w:rPr>
                      <w:rFonts w:ascii="Times New Roman" w:hAnsi="Times New Roman" w:eastAsia="바탕"/>
                      <w:sz w:val="18"/>
                    </w:rPr>
                    <w:t>90%</w:t>
                  </w:r>
                </w:p>
              </w:tc>
            </w:tr>
            <w:tr>
              <w:tc>
                <w:tcPr>
                  <w:tcW w:type="dxa" w:w="4882"/>
                </w:tcPr>
                <w:p>
                  <w:r>
                    <w:rPr>
                      <w:rFonts w:ascii="Times New Roman" w:hAnsi="Times New Roman" w:eastAsia="바탕"/>
                      <w:sz w:val="18"/>
                    </w:rPr>
                    <w:t>65 and over</w:t>
                  </w:r>
                </w:p>
              </w:tc>
              <w:tc>
                <w:tcPr>
                  <w:tcW w:type="dxa" w:w="4882"/>
                </w:tcPr>
                <w:p>
                  <w:r>
                    <w:rPr>
                      <w:rFonts w:ascii="Times New Roman" w:hAnsi="Times New Roman" w:eastAsia="바탕"/>
                      <w:sz w:val="18"/>
                    </w:rPr>
                    <w:t>78%</w:t>
                  </w:r>
                </w:p>
              </w:tc>
            </w:tr>
          </w:tbl>
          <w:p/>
          <w:p>
            <w:pPr>
              <w:spacing w:after="120"/>
            </w:pPr>
          </w:p>
          <w:p>
            <w:pPr>
              <w:spacing w:after="80" w:line="276" w:lineRule="auto"/>
              <w:jc w:val="both"/>
            </w:pPr>
            <w:r>
              <w:rPr>
                <w:rFonts w:ascii="Times New Roman" w:hAnsi="Times New Roman" w:eastAsia="바탕"/>
                <w:sz w:val="20"/>
              </w:rPr>
              <w:t>What Table 5 says is that people are not failing to use these tools for want of a device. Three in four older adults already own a smartphone. What blocks access is that the screen demands reading.</w:t>
            </w:r>
          </w:p>
          <w:p>
            <w:pPr>
              <w:spacing w:before="160" w:after="60"/>
              <w:jc w:val="center"/>
            </w:pPr>
            <w:r>
              <w:drawing>
                <wp:inline xmlns:a="http://schemas.openxmlformats.org/drawingml/2006/main" xmlns:pic="http://schemas.openxmlformats.org/drawingml/2006/picture">
                  <wp:extent cx="5486400" cy="2560320"/>
                  <wp:docPr id="8" name="Picture 8"/>
                  <wp:cNvGraphicFramePr>
                    <a:graphicFrameLocks noChangeAspect="1"/>
                  </wp:cNvGraphicFramePr>
                  <a:graphic>
                    <a:graphicData uri="http://schemas.openxmlformats.org/drawingml/2006/picture">
                      <pic:pic>
                        <pic:nvPicPr>
                          <pic:cNvPr id="0" name="chart04_smartphone.png"/>
                          <pic:cNvPicPr/>
                        </pic:nvPicPr>
                        <pic:blipFill>
                          <a:blip r:embed="rId24"/>
                          <a:stretch>
                            <a:fillRect/>
                          </a:stretch>
                        </pic:blipFill>
                        <pic:spPr>
                          <a:xfrm>
                            <a:off x="0" y="0"/>
                            <a:ext cx="5486400" cy="256032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8]</w:t>
            </w:r>
            <w:r>
              <w:rPr>
                <w:rFonts w:ascii="Times New Roman" w:hAnsi="Times New Roman" w:eastAsia="바탕"/>
                <w:color w:val="606068"/>
                <w:sz w:val="18"/>
              </w:rPr>
              <w:t xml:space="preserve"> Smartphone ownership by age group (United States; Pew Research Center, </w:t>
            </w:r>
            <w:r>
              <w:rPr>
                <w:rFonts w:ascii="Times New Roman" w:hAnsi="Times New Roman" w:eastAsia="바탕"/>
                <w:i/>
                <w:color w:val="606068"/>
                <w:sz w:val="18"/>
              </w:rPr>
              <w:t>Mobile Fact Sheet</w:t>
            </w:r>
            <w:r>
              <w:rPr>
                <w:rFonts w:ascii="Times New Roman" w:hAnsi="Times New Roman" w:eastAsia="바탕"/>
                <w:color w:val="606068"/>
                <w:sz w:val="18"/>
              </w:rPr>
              <w:t>, 2025). The gap between those 65 and over and those under 50 is 19 percentage points, already too narrow for "device availability" to explain the problem. The remaining gap lies on the side of the screen.</w:t>
            </w:r>
          </w:p>
          <w:p>
            <w:pPr>
              <w:spacing w:after="80" w:line="276" w:lineRule="auto"/>
              <w:jc w:val="both"/>
            </w:pPr>
            <w:r>
              <w:rPr>
                <w:rFonts w:ascii="Times New Roman" w:hAnsi="Times New Roman" w:eastAsia="바탕"/>
                <w:sz w:val="20"/>
              </w:rPr>
              <w:t xml:space="preserve">Having a device and reaching the internet are different things, however. As of 2024, 5.5 billion people use the internet (68% of the world population), while 2.6 billion still do not. That is 32% of the world population, one person in three (International Telecommunication Union, </w:t>
            </w:r>
            <w:r>
              <w:rPr>
                <w:rFonts w:ascii="Times New Roman" w:hAnsi="Times New Roman" w:eastAsia="바탕"/>
                <w:i/>
                <w:sz w:val="20"/>
              </w:rPr>
              <w:t>Measuring digital development: Facts and Figures 2024</w:t>
            </w:r>
            <w:r>
              <w:rPr>
                <w:rFonts w:ascii="Times New Roman" w:hAnsi="Times New Roman" w:eastAsia="바탕"/>
                <w:sz w:val="20"/>
              </w:rPr>
              <w:t>, 2024).</w:t>
            </w:r>
          </w:p>
          <w:p>
            <w:pPr>
              <w:spacing w:after="80" w:line="276" w:lineRule="auto"/>
              <w:jc w:val="both"/>
            </w:pPr>
            <w:r>
              <w:rPr>
                <w:rFonts w:ascii="Times New Roman" w:hAnsi="Times New Roman" w:eastAsia="바탕"/>
                <w:sz w:val="20"/>
              </w:rPr>
              <w:t>Owning a device and being able to keep using it are also different things. Asked in §5.7 where this app would fail first for an older patient living alone, the nine nursing and public health respondents split between not being able to operate the screen (4) and not being able to manage the device (4). The latter is charging and loss, and lies outside our design. Professor Namsoo Park of Hyupsung University objected to the single-choice design of the question itself and wrote that the three arrive together.</w:t>
            </w:r>
          </w:p>
          <w:p>
            <w:pPr>
              <w:spacing w:after="40" w:line="276" w:lineRule="auto"/>
              <w:ind w:left="403"/>
            </w:pPr>
            <w:r>
              <w:rPr>
                <w:rFonts w:ascii="Times New Roman" w:hAnsi="Times New Roman" w:eastAsia="바탕"/>
                <w:i/>
                <w:color w:val="606068"/>
                <w:sz w:val="19"/>
              </w:rPr>
              <w:t>"Only one answer is allowed, but I think operating the screen, managing the device and trust in the app (given the characteristics of older people) can all be causes."</w:t>
            </w:r>
          </w:p>
          <w:p>
            <w:pPr>
              <w:spacing w:after="180" w:line="276" w:lineRule="auto"/>
              <w:ind w:left="403"/>
            </w:pPr>
            <w:r>
              <w:rPr>
                <w:rFonts w:ascii="Times New Roman" w:hAnsi="Times New Roman" w:eastAsia="바탕"/>
                <w:i w:val="0"/>
                <w:color w:val="606068"/>
                <w:sz w:val="19"/>
              </w:rPr>
              <w:t>(Professor Namsoo Park, Hyupsung University)</w:t>
            </w:r>
          </w:p>
          <w:p>
            <w:pPr>
              <w:spacing w:after="80" w:line="276" w:lineRule="auto"/>
              <w:jc w:val="both"/>
            </w:pPr>
            <w:r>
              <w:rPr>
                <w:rFonts w:ascii="Times New Roman" w:hAnsi="Times New Roman" w:eastAsia="바탕"/>
                <w:sz w:val="20"/>
              </w:rPr>
              <w:t>The offline operation of §4.5 handles a connection being cut; it does not handle the device being off. The ownership rates in Table 5 are the ceiling on who this app can reach, not the number it actually reaches.</w:t>
            </w:r>
          </w:p>
          <w:p>
            <w:pPr>
              <w:spacing w:after="80" w:line="276" w:lineRule="auto"/>
              <w:jc w:val="both"/>
            </w:pPr>
            <w:r>
              <w:rPr>
                <w:rFonts w:ascii="Times New Roman" w:hAnsi="Times New Roman" w:eastAsia="바탕"/>
                <w:sz w:val="20"/>
              </w:rPr>
              <w:t>Those 2.6 billion split SnapCare's design at one point. The verdict has to be produced on the device in the user's hand, because a structure that yields an answer only by asking a server is, for these people, the same as no app at all. The offline operation described in §4.5 and §5.6 is therefore not a convenience but a premise. Regions with low literacy and regions where people do not use the internet are largely the same places, so this app has to work where the two conditions overlap.</w:t>
            </w:r>
          </w:p>
          <w:p>
            <w:pPr>
              <w:spacing w:before="180" w:after="40"/>
            </w:pPr>
            <w:r>
              <w:rPr>
                <w:rFonts w:ascii="Times New Roman" w:hAnsi="Times New Roman" w:eastAsia="바탕"/>
                <w:b/>
                <w:sz w:val="23"/>
              </w:rPr>
              <w:t>1.7 The scale of population ageing and its geographic shift</w:t>
            </w:r>
          </w:p>
          <w:p>
            <w:pPr>
              <w:spacing w:after="80" w:line="276" w:lineRule="auto"/>
              <w:jc w:val="both"/>
            </w:pPr>
            <w:r>
              <w:rPr>
                <w:rFonts w:ascii="Times New Roman" w:hAnsi="Times New Roman" w:eastAsia="바탕"/>
                <w:sz w:val="20"/>
              </w:rPr>
              <w:t xml:space="preserve">The population aged 60 and over will grow from 1 billion in 2020 to 1.4 billion in 2030, at which point one person in six worldwide will be 60 or older. By 2050 it doubles again to 2.1 billion, and its share of the world population rises from 12% in 2015 to 22% in 2050. More important is the distribution. </w:t>
            </w:r>
            <w:r>
              <w:rPr>
                <w:rFonts w:ascii="Times New Roman" w:hAnsi="Times New Roman" w:eastAsia="바탕"/>
                <w:b/>
                <w:sz w:val="20"/>
              </w:rPr>
              <w:t>By 2050 two thirds of the population aged 60 and over will live in low- and middle-income countries</w:t>
            </w:r>
            <w:r>
              <w:rPr>
                <w:rFonts w:ascii="Times New Roman" w:hAnsi="Times New Roman" w:eastAsia="바탕"/>
                <w:sz w:val="20"/>
              </w:rPr>
              <w:t xml:space="preserve"> (World Health Organization, </w:t>
            </w:r>
            <w:r>
              <w:rPr>
                <w:rFonts w:ascii="Times New Roman" w:hAnsi="Times New Roman" w:eastAsia="바탕"/>
                <w:i/>
                <w:sz w:val="20"/>
              </w:rPr>
              <w:t>Ageing and health</w:t>
            </w:r>
            <w:r>
              <w:rPr>
                <w:rFonts w:ascii="Times New Roman" w:hAnsi="Times New Roman" w:eastAsia="바탕"/>
                <w:sz w:val="20"/>
              </w:rPr>
              <w:t xml:space="preserve"> fact sheet).</w:t>
            </w:r>
          </w:p>
          <w:p>
            <w:pPr>
              <w:spacing w:before="160" w:after="60"/>
              <w:jc w:val="center"/>
            </w:pPr>
            <w:r>
              <w:drawing>
                <wp:inline xmlns:a="http://schemas.openxmlformats.org/drawingml/2006/main" xmlns:pic="http://schemas.openxmlformats.org/drawingml/2006/picture">
                  <wp:extent cx="5486400" cy="2377440"/>
                  <wp:docPr id="9" name="Picture 9"/>
                  <wp:cNvGraphicFramePr>
                    <a:graphicFrameLocks noChangeAspect="1"/>
                  </wp:cNvGraphicFramePr>
                  <a:graphic>
                    <a:graphicData uri="http://schemas.openxmlformats.org/drawingml/2006/picture">
                      <pic:pic>
                        <pic:nvPicPr>
                          <pic:cNvPr id="0" name="chart20_ageing.png"/>
                          <pic:cNvPicPr/>
                        </pic:nvPicPr>
                        <pic:blipFill>
                          <a:blip r:embed="rId25"/>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9]</w:t>
            </w:r>
            <w:r>
              <w:rPr>
                <w:rFonts w:ascii="Times New Roman" w:hAnsi="Times New Roman" w:eastAsia="바탕"/>
                <w:color w:val="606068"/>
                <w:sz w:val="18"/>
              </w:rPr>
              <w:t xml:space="preserve"> The scale and geographic shift of the older population, and the position those people are in. Only the 2050 bar on the left is split in two, because the source gives the distribution for that year alone. Splitting the two earlier years in the same proportion would mean drawing something the data does not contain. The three on the right are measured among Korean adults aged 65 and over, and the distance between the top bar and the bottom one is where this proposal sits.</w:t>
            </w:r>
          </w:p>
          <w:p>
            <w:pPr>
              <w:spacing w:after="80" w:line="276" w:lineRule="auto"/>
              <w:jc w:val="both"/>
            </w:pPr>
            <w:r>
              <w:rPr>
                <w:rFonts w:ascii="Times New Roman" w:hAnsi="Times New Roman" w:eastAsia="바탕"/>
                <w:sz w:val="20"/>
              </w:rPr>
              <w:t>Ageing is commonly perceived as a problem of wealthy countries, but it is in fact moving in the opposite direction. And older adults in low- and middle-income countries are a group in which three conditions overlap: a higher likelihood of low literacy, taking several medicines at once, and difficulty accessing care.</w:t>
            </w:r>
          </w:p>
          <w:p>
            <w:pPr>
              <w:spacing w:after="80" w:line="276" w:lineRule="auto"/>
              <w:jc w:val="both"/>
            </w:pPr>
            <w:r>
              <w:rPr>
                <w:rFonts w:ascii="Times New Roman" w:hAnsi="Times New Roman" w:eastAsia="바탕"/>
                <w:sz w:val="20"/>
              </w:rPr>
              <w:t xml:space="preserve">The middle condition is confirmed numerically. Synthesising 545 studies covering 16.62 million people in 56 countries, the prevalence of polypharmacy among older adults is 50.4% (95% CI 48.2–52.7%), and each additional medicine raises the hazard ratio for mortality by 1.05 (1.03–1.06), for emergency care by 1.02 (1.02–1.03) and for hospitalisation by 1.04 (1.02–1.07) (Tian, F., Chen, Z., Zhang, Y. et al., "Global prevalence, trends, and dose-response associations of polypharmacy in older adults," </w:t>
            </w:r>
            <w:r>
              <w:rPr>
                <w:rFonts w:ascii="Times New Roman" w:hAnsi="Times New Roman" w:eastAsia="바탕"/>
                <w:i/>
                <w:sz w:val="20"/>
              </w:rPr>
              <w:t>The Journals of Gerontology: Series A</w:t>
            </w:r>
            <w:r>
              <w:rPr>
                <w:rFonts w:ascii="Times New Roman" w:hAnsi="Times New Roman" w:eastAsia="바탕"/>
                <w:sz w:val="20"/>
              </w:rPr>
              <w:t>, 81(8):glag176, doi:10.1093/gerona/glag176).</w:t>
            </w:r>
          </w:p>
          <w:p>
            <w:pPr>
              <w:spacing w:after="80" w:line="276" w:lineRule="auto"/>
              <w:jc w:val="both"/>
            </w:pPr>
            <w:r>
              <w:rPr>
                <w:rFonts w:ascii="Times New Roman" w:hAnsi="Times New Roman" w:eastAsia="바탕"/>
                <w:sz w:val="20"/>
              </w:rPr>
              <w:t>That half of older adults take five or more medicines together also means that several medicines arrive on one screen of this app at once. In §5.7, Niken Nur Widyakusuma, a pharmacist at Universitas Gadjah Mada in Indonesia, noting that "when several medicines are handed over at once it is hard to tell which one is three times a day" comes out of this condition.</w:t>
            </w:r>
          </w:p>
          <w:p>
            <w:pPr>
              <w:spacing w:after="80" w:line="276" w:lineRule="auto"/>
              <w:jc w:val="both"/>
            </w:pPr>
            <w:r>
              <w:rPr>
                <w:rFonts w:ascii="Times New Roman" w:hAnsi="Times New Roman" w:eastAsia="바탕"/>
                <w:sz w:val="20"/>
              </w:rPr>
              <w:t xml:space="preserve">Korean data show this overlap concretely. In a study surveying 131 people aged 65 and over, </w:t>
            </w:r>
            <w:r>
              <w:rPr>
                <w:rFonts w:ascii="Times New Roman" w:hAnsi="Times New Roman" w:eastAsia="바탕"/>
                <w:b/>
                <w:sz w:val="20"/>
              </w:rPr>
              <w:t>79.4% took their medicines themselves</w:t>
            </w:r>
            <w:r>
              <w:rPr>
                <w:rFonts w:ascii="Times New Roman" w:hAnsi="Times New Roman" w:eastAsia="바탕"/>
                <w:sz w:val="20"/>
              </w:rPr>
              <w:t xml:space="preserve"> while only </w:t>
            </w:r>
            <w:r>
              <w:rPr>
                <w:rFonts w:ascii="Times New Roman" w:hAnsi="Times New Roman" w:eastAsia="바탕"/>
                <w:b/>
                <w:sz w:val="20"/>
              </w:rPr>
              <w:t>28.2%</w:t>
            </w:r>
            <w:r>
              <w:rPr>
                <w:rFonts w:ascii="Times New Roman" w:hAnsi="Times New Roman" w:eastAsia="바탕"/>
                <w:sz w:val="20"/>
              </w:rPr>
              <w:t xml:space="preserve"> had received medication safety education (Lee, M., Kim, K., Rhew, K. &amp; Choi, K.-H., "A knowledge, attitude, and practice survey on medication safety in Korean older adults," </w:t>
            </w:r>
            <w:r>
              <w:rPr>
                <w:rFonts w:ascii="Times New Roman" w:hAnsi="Times New Roman" w:eastAsia="바탕"/>
                <w:i/>
                <w:sz w:val="20"/>
              </w:rPr>
              <w:t>Healthcare</w:t>
            </w:r>
            <w:r>
              <w:rPr>
                <w:rFonts w:ascii="Times New Roman" w:hAnsi="Times New Roman" w:eastAsia="바탕"/>
                <w:sz w:val="20"/>
              </w:rPr>
              <w:t xml:space="preserve">, 9(10):1365, 2021, doi:10.3390/healthcare9101365). And the share of that age group with adequate health literacy is 40.3% (Korea Disease Control and Prevention Agency, </w:t>
            </w:r>
            <w:r>
              <w:rPr>
                <w:rFonts w:ascii="Times New Roman" w:hAnsi="Times New Roman" w:eastAsia="바탕"/>
                <w:i/>
                <w:sz w:val="20"/>
              </w:rPr>
              <w:t>Korea National Health and Nutrition Examination Survey, 9th cycle, year 2</w:t>
            </w:r>
            <w:r>
              <w:rPr>
                <w:rFonts w:ascii="Times New Roman" w:hAnsi="Times New Roman" w:eastAsia="바탕"/>
                <w:sz w:val="20"/>
              </w:rPr>
              <w:t>, 2023). Most of them have to manage on their own, while only a minority are equipped to read what they are given.</w:t>
            </w:r>
          </w:p>
          <w:p>
            <w:pPr>
              <w:spacing w:after="80" w:line="276" w:lineRule="auto"/>
              <w:jc w:val="both"/>
            </w:pPr>
            <w:r>
              <w:rPr>
                <w:rFonts w:ascii="Times New Roman" w:hAnsi="Times New Roman" w:eastAsia="바탕"/>
                <w:sz w:val="20"/>
              </w:rPr>
              <w:t>The same study also measures what that education is worth. Those who had received medication safety education came out safer in their actual medication practice than those who had not (</w:t>
            </w:r>
            <w:r>
              <w:rPr>
                <w:rFonts w:ascii="Times New Roman" w:hAnsi="Times New Roman" w:eastAsia="바탕"/>
                <w:i/>
                <w:sz w:val="20"/>
              </w:rPr>
              <w:t>p</w:t>
            </w:r>
            <w:r>
              <w:rPr>
                <w:rFonts w:ascii="Times New Roman" w:hAnsi="Times New Roman" w:eastAsia="바탕"/>
                <w:sz w:val="20"/>
              </w:rPr>
              <w:t xml:space="preserve"> &lt; 0.05). What helps was confirmed to help, and 28.2% had received it. The participants were 131 people gathered at senior welfare centres and pharmacies in the capital and in urban and rural regions, and the authors record as a limitation that their survey stayed on paper and could not use newer tools such as multimedia. What this app sets out to do stands in the place of that limitation.</w:t>
            </w:r>
          </w:p>
          <w:p>
            <w:pPr>
              <w:spacing w:after="80" w:line="276" w:lineRule="auto"/>
              <w:jc w:val="both"/>
            </w:pPr>
            <w:r>
              <w:rPr>
                <w:rFonts w:ascii="Times New Roman" w:hAnsi="Times New Roman" w:eastAsia="바탕"/>
                <w:sz w:val="20"/>
              </w:rPr>
              <w:t>The sample of 131 is small and the survey was conducted in 2017, which should be stated. Using this value as an estimate for Korean older adults as a whole would be a stretch, and what is used here is the direction of the ratio: that those managing on their own far outnumber those who have been taught how.</w:t>
            </w:r>
          </w:p>
          <w:p>
            <w:pPr>
              <w:spacing w:after="80" w:line="276" w:lineRule="auto"/>
              <w:jc w:val="both"/>
            </w:pPr>
            <w:r>
              <w:rPr>
                <w:rFonts w:ascii="Times New Roman" w:hAnsi="Times New Roman" w:eastAsia="바탕"/>
                <w:sz w:val="20"/>
              </w:rPr>
              <w:t xml:space="preserve">The same structure is observed in Moldova. Between 2015 and 2060 the population is projected to fall by 31% and the median age to rise from 38 to 47, while </w:t>
            </w:r>
            <w:r>
              <w:rPr>
                <w:rFonts w:ascii="Times New Roman" w:hAnsi="Times New Roman" w:eastAsia="바탕"/>
                <w:b/>
                <w:sz w:val="20"/>
              </w:rPr>
              <w:t>the share of older people more than doubles to 27%.</w:t>
            </w:r>
            <w:r>
              <w:rPr>
                <w:rFonts w:ascii="Times New Roman" w:hAnsi="Times New Roman" w:eastAsia="바탕"/>
                <w:sz w:val="20"/>
              </w:rPr>
              <w:t xml:space="preserve"> The disease burden is overwhelmingly concentrated in noncommunicable diseases, and between 2008 and 2015 diabetes prevalence rose by 75% and circulatory disease by 41% (Voncina, L., Dozol, A., Volovei, I. &amp; Cetinkaya, V., </w:t>
            </w:r>
            <w:r>
              <w:rPr>
                <w:rFonts w:ascii="Times New Roman" w:hAnsi="Times New Roman" w:eastAsia="바탕"/>
                <w:i/>
                <w:sz w:val="20"/>
              </w:rPr>
              <w:t>Human Development Assessment for Moldova: Background Paper on Health</w:t>
            </w:r>
            <w:r>
              <w:rPr>
                <w:rFonts w:ascii="Times New Roman" w:hAnsi="Times New Roman" w:eastAsia="바탕"/>
                <w:sz w:val="20"/>
              </w:rPr>
              <w:t>, World Bank, 2022).</w:t>
            </w:r>
          </w:p>
          <w:p>
            <w:pPr>
              <w:spacing w:after="80" w:line="276" w:lineRule="auto"/>
              <w:jc w:val="both"/>
            </w:pPr>
            <w:r>
              <w:rPr>
                <w:rFonts w:ascii="Times New Roman" w:hAnsi="Times New Roman" w:eastAsia="바탕"/>
                <w:sz w:val="20"/>
              </w:rPr>
              <w:t xml:space="preserve">There is also research addressing the relationship between health literacy and primary care use directly in a Moldovan population. The subjects of that study, however, are not residents of Moldova but </w:t>
            </w:r>
            <w:r>
              <w:rPr>
                <w:rFonts w:ascii="Times New Roman" w:hAnsi="Times New Roman" w:eastAsia="바탕"/>
                <w:b/>
                <w:sz w:val="20"/>
              </w:rPr>
              <w:t>170 Moldovan migrant women living in Padua, Italy</w:t>
            </w:r>
            <w:r>
              <w:rPr>
                <w:rFonts w:ascii="Times New Roman" w:hAnsi="Times New Roman" w:eastAsia="바탕"/>
                <w:sz w:val="20"/>
              </w:rPr>
              <w:t xml:space="preserve">, and it reports higher smoking rates (33.3% against 14.3%) and fewer visits to a general practitioner among those with lower literacy (Vianello, F. A. et al., "Health status of female Moldovan migrants to Italy by health literacy level and age group," </w:t>
            </w:r>
            <w:r>
              <w:rPr>
                <w:rFonts w:ascii="Times New Roman" w:hAnsi="Times New Roman" w:eastAsia="바탕"/>
                <w:i/>
                <w:sz w:val="20"/>
              </w:rPr>
              <w:t>BMC Public Health</w:t>
            </w:r>
            <w:r>
              <w:rPr>
                <w:rFonts w:ascii="Times New Roman" w:hAnsi="Times New Roman" w:eastAsia="바탕"/>
                <w:sz w:val="20"/>
              </w:rPr>
              <w:t>, 20:1502, 2020, doi:10.1186/s12889-020-09582-9). The two figures do not carry the same weight, and that should be stated. The smoking difference is a reported value, whereas for visits to a general practitioner the multivariate odds ratio is 0.4 (95% CI 0.2–1.07), a confidence interval that crosses 1. The authors themselves write only that it approaches significance. That people with lower literacy use primary care less is therefore not a fact established by this study but an observation pointing that way. Since this is precisely the relationship we say we will examine in §5.9, there is no reason to write it now as settled.</w:t>
            </w:r>
          </w:p>
          <w:p>
            <w:pPr>
              <w:spacing w:after="80" w:line="276" w:lineRule="auto"/>
              <w:jc w:val="both"/>
            </w:pPr>
            <w:r>
              <w:rPr>
                <w:rFonts w:ascii="Times New Roman" w:hAnsi="Times New Roman" w:eastAsia="바탕"/>
                <w:sz w:val="20"/>
              </w:rPr>
              <w:t>How the sample was gathered belongs here too. A convenience sample was obtained by time-space sampling at places where Moldovan women gather: the Moldovan consulate, two Orthodox churches, a car park and a park. That is a standard way of reaching a hard-to-reach population, but it is not a random sample. Add that these are migrants and it cannot be carried across to the population inside Moldova. What we take from this study is neither the figures nor a settled cause, but grounds for measuring health literacy together with primary care use, and the confirming of it belongs to the field evaluation in §5.9.</w:t>
            </w:r>
          </w:p>
          <w:p>
            <w:pPr>
              <w:spacing w:after="80" w:line="276" w:lineRule="auto"/>
              <w:jc w:val="both"/>
            </w:pPr>
            <w:r>
              <w:rPr>
                <w:rFonts w:ascii="Times New Roman" w:hAnsi="Times New Roman" w:eastAsia="바탕"/>
                <w:sz w:val="20"/>
              </w:rPr>
              <w:t>Whether this section is right to treat old age as a single layer we put back to the survey. Kyungseo Park, Assistant Manager at the Korea Disabled People's Development Institute, wrote in the "anything you would add" box:</w:t>
            </w:r>
          </w:p>
          <w:p>
            <w:pPr>
              <w:spacing w:after="40" w:line="276" w:lineRule="auto"/>
              <w:ind w:left="403"/>
            </w:pPr>
            <w:r>
              <w:rPr>
                <w:rFonts w:ascii="Times New Roman" w:hAnsi="Times New Roman" w:eastAsia="바탕"/>
                <w:i/>
                <w:color w:val="606068"/>
                <w:sz w:val="19"/>
              </w:rPr>
              <w:t>"Being in a position of not being able to read comes from a range of individual circumstances: old age, childhood, blindness, low vision. It is certainly needed, and our own institute has run projects such as typeface development for legibility."</w:t>
            </w:r>
          </w:p>
          <w:p>
            <w:pPr>
              <w:spacing w:after="180" w:line="276" w:lineRule="auto"/>
              <w:ind w:left="403"/>
            </w:pPr>
            <w:r>
              <w:rPr>
                <w:rFonts w:ascii="Times New Roman" w:hAnsi="Times New Roman" w:eastAsia="바탕"/>
                <w:i w:val="0"/>
                <w:color w:val="606068"/>
                <w:sz w:val="19"/>
              </w:rPr>
              <w:t>(Kyungseo Park, Assistant Manager, Korea Disabled People's Development Institute)</w:t>
            </w:r>
          </w:p>
          <w:p>
            <w:pPr>
              <w:spacing w:after="80" w:line="276" w:lineRule="auto"/>
              <w:jc w:val="both"/>
            </w:pPr>
            <w:r>
              <w:rPr>
                <w:rFonts w:ascii="Times New Roman" w:hAnsi="Times New Roman" w:eastAsia="바탕"/>
                <w:sz w:val="20"/>
              </w:rPr>
              <w:t>That answer joins this section to §1.1. §1.1 counted non-literacy as a matter of educational opportunity and this section counts ageing as a matter of population structure, but in the field the two meet in one person. Eyes that have weakened with age and never having been taught come to the same thing in front of a screen, and that is why this app does not separate them. The same answer told us one thing more: an institution in Korea has already approached this problem from the typeface side, which means making letters easier to read and not using letters at all are two answers to one problem. We chose the second and do not claim the first is wrong.</w:t>
            </w:r>
          </w:p>
          <w:p>
            <w:pPr>
              <w:spacing w:before="180" w:after="40"/>
            </w:pPr>
            <w:r>
              <w:rPr>
                <w:rFonts w:ascii="Times New Roman" w:hAnsi="Times New Roman" w:eastAsia="바탕"/>
                <w:b/>
                <w:sz w:val="23"/>
              </w:rPr>
              <w:t>1.8 The effect and the limits of visual delivery</w:t>
            </w:r>
          </w:p>
          <w:p>
            <w:pPr>
              <w:spacing w:after="80" w:line="276" w:lineRule="auto"/>
              <w:jc w:val="both"/>
            </w:pPr>
            <w:r>
              <w:rPr>
                <w:rFonts w:ascii="Times New Roman" w:hAnsi="Times New Roman" w:eastAsia="바탕"/>
                <w:sz w:val="20"/>
              </w:rPr>
              <w:t xml:space="preserve">That pictures are remembered better than text is a repeatedly verified finding in cognitive psychology. The picture superiority effect refers to pictures being recalled at higher rates than words and persisting longer, and dual coding theory explains this by holding that visual information is encoded along both a visual and a verbal route, giving two paths to recall, whereas text is not readily encoded visually (Paivio, A., </w:t>
            </w:r>
            <w:r>
              <w:rPr>
                <w:rFonts w:ascii="Times New Roman" w:hAnsi="Times New Roman" w:eastAsia="바탕"/>
                <w:i/>
                <w:sz w:val="20"/>
              </w:rPr>
              <w:t>Imagery and Verbal Processes</w:t>
            </w:r>
            <w:r>
              <w:rPr>
                <w:rFonts w:ascii="Times New Roman" w:hAnsi="Times New Roman" w:eastAsia="바탕"/>
                <w:sz w:val="20"/>
              </w:rPr>
              <w:t xml:space="preserve">, Holt, Rinehart &amp; Winston, 1971; </w:t>
            </w:r>
            <w:r>
              <w:rPr>
                <w:rFonts w:ascii="Times New Roman" w:hAnsi="Times New Roman" w:eastAsia="바탕"/>
                <w:i/>
                <w:sz w:val="20"/>
              </w:rPr>
              <w:t>Mental Representations: A Dual Coding Approach</w:t>
            </w:r>
            <w:r>
              <w:rPr>
                <w:rFonts w:ascii="Times New Roman" w:hAnsi="Times New Roman" w:eastAsia="바탕"/>
                <w:sz w:val="20"/>
              </w:rPr>
              <w:t xml:space="preserve">, Oxford University Press, 1986). In health communication as well, pictures closely tied to text markedly increase attention and recall relative to text alone (Houts, P. S., Doak, C. C., Doak, L. G. &amp; Loscalzo, M. J., "The role of pictures in improving health communication," </w:t>
            </w:r>
            <w:r>
              <w:rPr>
                <w:rFonts w:ascii="Times New Roman" w:hAnsi="Times New Roman" w:eastAsia="바탕"/>
                <w:i/>
                <w:sz w:val="20"/>
              </w:rPr>
              <w:t>Patient Education and Counseling</w:t>
            </w:r>
            <w:r>
              <w:rPr>
                <w:rFonts w:ascii="Times New Roman" w:hAnsi="Times New Roman" w:eastAsia="바탕"/>
                <w:sz w:val="20"/>
              </w:rPr>
              <w:t>, 61(2):173–190, 2006).</w:t>
            </w:r>
          </w:p>
          <w:p>
            <w:pPr>
              <w:spacing w:after="80" w:line="276" w:lineRule="auto"/>
              <w:jc w:val="both"/>
            </w:pPr>
            <w:r>
              <w:rPr>
                <w:rFonts w:ascii="Times New Roman" w:hAnsi="Times New Roman" w:eastAsia="바탕"/>
                <w:sz w:val="20"/>
              </w:rPr>
              <w:t>Two distinctions have to be drawn here, however.</w:t>
            </w:r>
          </w:p>
          <w:p>
            <w:pPr>
              <w:spacing w:after="80" w:line="276" w:lineRule="auto"/>
              <w:jc w:val="both"/>
            </w:pPr>
            <w:r>
              <w:rPr>
                <w:rFonts w:ascii="Times New Roman" w:hAnsi="Times New Roman" w:eastAsia="바탕"/>
                <w:sz w:val="20"/>
              </w:rPr>
              <w:t>First, the result of Houts et al. holds for pictures closely combined with text or with speech. The original writes "written or spoken text." This distinction bears directly on the present design. SnapCare pairs pictures with speech rather than with text, so it corresponds to the latter of the two conditions Houts et al. covered. We were unable to confirm whether the studies included in that review addressed the spoken condition as extensively as the written one, and the effect on a screen with text removed entirely still needs separate verification.</w:t>
            </w:r>
          </w:p>
          <w:p>
            <w:pPr>
              <w:spacing w:after="80" w:line="276" w:lineRule="auto"/>
              <w:jc w:val="both"/>
            </w:pPr>
            <w:r>
              <w:rPr>
                <w:rFonts w:ascii="Times New Roman" w:hAnsi="Times New Roman" w:eastAsia="바탕"/>
                <w:sz w:val="20"/>
              </w:rPr>
              <w:t xml:space="preserve">Second, drawing a picture and having it read correctly are different things. ISO 9186-1, the international standard for graphical symbols, requires that at least 67% of users understand a symbol correctly (ISO 9186-1:2014, </w:t>
            </w:r>
            <w:r>
              <w:rPr>
                <w:rFonts w:ascii="Times New Roman" w:hAnsi="Times New Roman" w:eastAsia="바탕"/>
                <w:i/>
                <w:sz w:val="20"/>
              </w:rPr>
              <w:t>Graphical symbols — Test methods — Part 1: Method for testing comprehensibility</w:t>
            </w:r>
            <w:r>
              <w:rPr>
                <w:rFonts w:ascii="Times New Roman" w:hAnsi="Times New Roman" w:eastAsia="바탕"/>
                <w:sz w:val="20"/>
              </w:rPr>
              <w:t xml:space="preserve">), while ANSI Z535.3, the United States safety sign standard, requires both a correct-response rate of 85% or higher in a sample of at least 50 people and </w:t>
            </w:r>
            <w:r>
              <w:rPr>
                <w:rFonts w:ascii="Times New Roman" w:hAnsi="Times New Roman" w:eastAsia="바탕"/>
                <w:b/>
                <w:sz w:val="20"/>
              </w:rPr>
              <w:t>critical confusion of 5% or less</w:t>
            </w:r>
            <w:r>
              <w:rPr>
                <w:rFonts w:ascii="Times New Roman" w:hAnsi="Times New Roman" w:eastAsia="바탕"/>
                <w:sz w:val="20"/>
              </w:rPr>
              <w:t xml:space="preserve"> (ANSI Z535.3-2022, </w:t>
            </w:r>
            <w:r>
              <w:rPr>
                <w:rFonts w:ascii="Times New Roman" w:hAnsi="Times New Roman" w:eastAsia="바탕"/>
                <w:i/>
                <w:sz w:val="20"/>
              </w:rPr>
              <w:t>Criteria for Safety Symbols</w:t>
            </w:r>
            <w:r>
              <w:rPr>
                <w:rFonts w:ascii="Times New Roman" w:hAnsi="Times New Roman" w:eastAsia="바탕"/>
                <w:sz w:val="20"/>
              </w:rPr>
              <w:t>).</w:t>
            </w:r>
          </w:p>
          <w:p>
            <w:pPr>
              <w:spacing w:after="80" w:line="276" w:lineRule="auto"/>
              <w:jc w:val="both"/>
            </w:pPr>
            <w:r>
              <w:rPr>
                <w:rFonts w:ascii="Times New Roman" w:hAnsi="Times New Roman" w:eastAsia="바탕"/>
                <w:sz w:val="20"/>
              </w:rPr>
              <w:t>How far the pharmaceutical pictograms actually produced pass these criteria is the crux of the problem.</w:t>
            </w:r>
          </w:p>
          <w:p>
            <w:pPr>
              <w:spacing w:after="80" w:line="276" w:lineRule="auto"/>
              <w:jc w:val="both"/>
            </w:pPr>
            <w:r>
              <w:rPr>
                <w:rFonts w:ascii="Times New Roman" w:hAnsi="Times New Roman" w:eastAsia="바탕"/>
                <w:sz w:val="20"/>
              </w:rPr>
              <w:t>[Table 6] Pass rates of pharmaceutical pictograms against comprehension criteria</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Study</w:t>
                  </w:r>
                </w:p>
              </w:tc>
              <w:tc>
                <w:tcPr>
                  <w:tcW w:type="dxa" w:w="2441"/>
                  <w:shd w:val="clear" w:fill="F2F2F2"/>
                </w:tcPr>
                <w:p>
                  <w:r>
                    <w:rPr>
                      <w:rFonts w:ascii="Times New Roman" w:hAnsi="Times New Roman" w:eastAsia="바탕"/>
                      <w:b/>
                      <w:sz w:val="18"/>
                    </w:rPr>
                    <w:t>Subjects</w:t>
                  </w:r>
                </w:p>
              </w:tc>
              <w:tc>
                <w:tcPr>
                  <w:tcW w:type="dxa" w:w="2441"/>
                  <w:shd w:val="clear" w:fill="F2F2F2"/>
                </w:tcPr>
                <w:p>
                  <w:r>
                    <w:rPr>
                      <w:rFonts w:ascii="Times New Roman" w:hAnsi="Times New Roman" w:eastAsia="바탕"/>
                      <w:b/>
                      <w:sz w:val="18"/>
                    </w:rPr>
                    <w:t>Criterion</w:t>
                  </w:r>
                </w:p>
              </w:tc>
              <w:tc>
                <w:tcPr>
                  <w:tcW w:type="dxa" w:w="2441"/>
                  <w:shd w:val="clear" w:fill="F2F2F2"/>
                </w:tcPr>
                <w:p>
                  <w:r>
                    <w:rPr>
                      <w:rFonts w:ascii="Times New Roman" w:hAnsi="Times New Roman" w:eastAsia="바탕"/>
                      <w:b/>
                      <w:sz w:val="18"/>
                    </w:rPr>
                    <w:t>Result</w:t>
                  </w:r>
                </w:p>
              </w:tc>
            </w:tr>
            <w:tr>
              <w:tc>
                <w:tcPr>
                  <w:tcW w:type="dxa" w:w="2441"/>
                </w:tcPr>
                <w:p>
                  <w:r>
                    <w:rPr>
                      <w:rFonts w:ascii="Times New Roman" w:hAnsi="Times New Roman" w:eastAsia="바탕"/>
                      <w:sz w:val="18"/>
                    </w:rPr>
                    <w:t>Gutierrez et al. (2022)</w:t>
                  </w:r>
                </w:p>
              </w:tc>
              <w:tc>
                <w:tcPr>
                  <w:tcW w:type="dxa" w:w="2441"/>
                </w:tcPr>
                <w:p>
                  <w:r>
                    <w:rPr>
                      <w:rFonts w:ascii="Times New Roman" w:hAnsi="Times New Roman" w:eastAsia="바탕"/>
                      <w:sz w:val="18"/>
                    </w:rPr>
                    <w:t>52 Filipino adults, capital region · 82 USP + 26 FIP symbols</w:t>
                  </w:r>
                </w:p>
              </w:tc>
              <w:tc>
                <w:tcPr>
                  <w:tcW w:type="dxa" w:w="2441"/>
                </w:tcPr>
                <w:p>
                  <w:r>
                    <w:rPr>
                      <w:rFonts w:ascii="Times New Roman" w:hAnsi="Times New Roman" w:eastAsia="바탕"/>
                      <w:sz w:val="18"/>
                    </w:rPr>
                    <w:t>ANSI 85%</w:t>
                  </w:r>
                </w:p>
              </w:tc>
              <w:tc>
                <w:tcPr>
                  <w:tcW w:type="dxa" w:w="2441"/>
                </w:tcPr>
                <w:p>
                  <w:r>
                    <w:rPr>
                      <w:rFonts w:ascii="Times New Roman" w:hAnsi="Times New Roman" w:eastAsia="바탕"/>
                      <w:sz w:val="18"/>
                    </w:rPr>
                    <w:t xml:space="preserve">Passed </w:t>
                  </w:r>
                  <w:r>
                    <w:rPr>
                      <w:rFonts w:ascii="Times New Roman" w:hAnsi="Times New Roman" w:eastAsia="바탕"/>
                      <w:b/>
                      <w:sz w:val="18"/>
                    </w:rPr>
                    <w:t>17 of 108 (15.7%)</w:t>
                  </w:r>
                </w:p>
              </w:tc>
            </w:tr>
            <w:tr>
              <w:tc>
                <w:tcPr>
                  <w:tcW w:type="dxa" w:w="2441"/>
                </w:tcPr>
                <w:p>
                  <w:r>
                    <w:rPr>
                      <w:rFonts w:ascii="Times New Roman" w:hAnsi="Times New Roman" w:eastAsia="바탕"/>
                      <w:sz w:val="18"/>
                    </w:rPr>
                    <w:t>Dowse, R., Okeyo, S., Sikhondze, S. &amp; Khumalo, N. (2023)</w:t>
                  </w:r>
                </w:p>
              </w:tc>
              <w:tc>
                <w:tcPr>
                  <w:tcW w:type="dxa" w:w="2441"/>
                </w:tcPr>
                <w:p>
                  <w:r>
                    <w:rPr>
                      <w:rFonts w:ascii="Times New Roman" w:hAnsi="Times New Roman" w:eastAsia="바탕"/>
                      <w:sz w:val="18"/>
                    </w:rPr>
                    <w:t>Low-literate South African adults · 10 locally made</w:t>
                  </w:r>
                </w:p>
              </w:tc>
              <w:tc>
                <w:tcPr>
                  <w:tcW w:type="dxa" w:w="2441"/>
                </w:tcPr>
                <w:p>
                  <w:r>
                    <w:rPr>
                      <w:rFonts w:ascii="Times New Roman" w:hAnsi="Times New Roman" w:eastAsia="바탕"/>
                      <w:sz w:val="18"/>
                    </w:rPr>
                    <w:t>ISO 66.7%</w:t>
                  </w:r>
                </w:p>
              </w:tc>
              <w:tc>
                <w:tcPr>
                  <w:tcW w:type="dxa" w:w="2441"/>
                </w:tcPr>
                <w:p>
                  <w:r>
                    <w:rPr>
                      <w:rFonts w:ascii="Times New Roman" w:hAnsi="Times New Roman" w:eastAsia="바탕"/>
                      <w:sz w:val="18"/>
                    </w:rPr>
                    <w:t xml:space="preserve">Passed </w:t>
                  </w:r>
                  <w:r>
                    <w:rPr>
                      <w:rFonts w:ascii="Times New Roman" w:hAnsi="Times New Roman" w:eastAsia="바탕"/>
                      <w:b/>
                      <w:sz w:val="18"/>
                    </w:rPr>
                    <w:t>8 of 10 (80%)</w:t>
                  </w:r>
                  <w:r>
                    <w:rPr>
                      <w:rFonts w:ascii="Times New Roman" w:hAnsi="Times New Roman" w:eastAsia="바탕"/>
                      <w:sz w:val="18"/>
                    </w:rPr>
                    <w:t xml:space="preserve"> · mean comprehension 7.9 ± 1.8 / 10</w:t>
                  </w:r>
                </w:p>
              </w:tc>
            </w:tr>
            <w:tr>
              <w:tc>
                <w:tcPr>
                  <w:tcW w:type="dxa" w:w="2441"/>
                </w:tcPr>
                <w:p>
                  <w:r>
                    <w:rPr>
                      <w:rFonts w:ascii="Times New Roman" w:hAnsi="Times New Roman" w:eastAsia="바탕"/>
                      <w:sz w:val="18"/>
                    </w:rPr>
                    <w:t>Dowse &amp; Ehlers (2001)</w:t>
                  </w:r>
                </w:p>
              </w:tc>
              <w:tc>
                <w:tcPr>
                  <w:tcW w:type="dxa" w:w="2441"/>
                </w:tcPr>
                <w:p>
                  <w:r>
                    <w:rPr>
                      <w:rFonts w:ascii="Times New Roman" w:hAnsi="Times New Roman" w:eastAsia="바탕"/>
                      <w:sz w:val="18"/>
                    </w:rPr>
                    <w:t>46 South African Xhosa speakers (≤7 years schooling) · 23 symbols each</w:t>
                  </w:r>
                </w:p>
              </w:tc>
              <w:tc>
                <w:tcPr>
                  <w:tcW w:type="dxa" w:w="2441"/>
                </w:tcPr>
                <w:p>
                  <w:r>
                    <w:rPr>
                      <w:rFonts w:ascii="Times New Roman" w:hAnsi="Times New Roman" w:eastAsia="바탕"/>
                      <w:sz w:val="18"/>
                    </w:rPr>
                    <w:t>ANSI 85%</w:t>
                  </w:r>
                </w:p>
              </w:tc>
              <w:tc>
                <w:tcPr>
                  <w:tcW w:type="dxa" w:w="2441"/>
                </w:tcPr>
                <w:p>
                  <w:r>
                    <w:rPr>
                      <w:rFonts w:ascii="Times New Roman" w:hAnsi="Times New Roman" w:eastAsia="바탕"/>
                      <w:sz w:val="18"/>
                    </w:rPr>
                    <w:t xml:space="preserve">Locally made </w:t>
                  </w:r>
                  <w:r>
                    <w:rPr>
                      <w:rFonts w:ascii="Times New Roman" w:hAnsi="Times New Roman" w:eastAsia="바탕"/>
                      <w:b/>
                      <w:sz w:val="18"/>
                    </w:rPr>
                    <w:t>20 of 23 (87%)</w:t>
                  </w:r>
                  <w:r>
                    <w:rPr>
                      <w:rFonts w:ascii="Times New Roman" w:hAnsi="Times New Roman" w:eastAsia="바탕"/>
                      <w:sz w:val="18"/>
                    </w:rPr>
                    <w:t xml:space="preserve"> vs. USP-DI </w:t>
                  </w:r>
                  <w:r>
                    <w:rPr>
                      <w:rFonts w:ascii="Times New Roman" w:hAnsi="Times New Roman" w:eastAsia="바탕"/>
                      <w:b/>
                      <w:sz w:val="18"/>
                    </w:rPr>
                    <w:t>11 of 23 (48%)</w:t>
                  </w:r>
                </w:p>
              </w:tc>
            </w:tr>
          </w:tbl>
          <w:p/>
          <w:p>
            <w:pPr>
              <w:spacing w:after="120"/>
            </w:pPr>
          </w:p>
          <w:p>
            <w:pPr>
              <w:spacing w:after="80" w:line="276" w:lineRule="auto"/>
              <w:jc w:val="both"/>
            </w:pPr>
            <w:r>
              <w:rPr>
                <w:rFonts w:ascii="Times New Roman" w:hAnsi="Times New Roman" w:eastAsia="바탕"/>
                <w:sz w:val="20"/>
              </w:rPr>
              <w:t xml:space="preserve">What Table 6 shows is that making a pictogram does not mean it will be read. When 108 internationally used USP and FIP pictograms were tested on Filipino adults, 17 passed the ANSI 85% criterion, roughly one in six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15:30, 2022, doi:10.1186/s40545-022-00426-y).</w:t>
            </w:r>
          </w:p>
          <w:p>
            <w:pPr>
              <w:spacing w:after="80" w:line="276" w:lineRule="auto"/>
              <w:jc w:val="both"/>
            </w:pPr>
            <w:r>
              <w:rPr>
                <w:rFonts w:ascii="Times New Roman" w:hAnsi="Times New Roman" w:eastAsia="바탕"/>
                <w:sz w:val="20"/>
              </w:rPr>
              <w:t xml:space="preserve">Placing the three studies side by side shows what separates the pass rates. The highest belongs to the set made locally and tested on local people (Dowse, R., Okeyo, S., Sikhondze, S. &amp; Khumalo, N., "Pharmaceutical indication pictograms for low literacy viewers: Health literacy and comprehension," </w:t>
            </w:r>
            <w:r>
              <w:rPr>
                <w:rFonts w:ascii="Times New Roman" w:hAnsi="Times New Roman" w:eastAsia="바탕"/>
                <w:i/>
                <w:sz w:val="20"/>
              </w:rPr>
              <w:t>Health SA Gesondheid</w:t>
            </w:r>
            <w:r>
              <w:rPr>
                <w:rFonts w:ascii="Times New Roman" w:hAnsi="Times New Roman" w:eastAsia="바탕"/>
                <w:sz w:val="20"/>
              </w:rPr>
              <w:t xml:space="preserve">, 28:2192, 2023: 8 of 10). The most direct evidence is the controlled comparison by Dowse &amp; Ehlers. When the same 46 people were shown two sets carrying the same instructions, 20 of the 23 locally made symbols (87%) passed the ANSI 85% criterion while only 11 of the 23 USP-DI symbols (48%) did (Dowse, R. &amp; Ehlers, M. S., "The evaluation of pharmaceutical pictograms in a low-literate South African population," </w:t>
            </w:r>
            <w:r>
              <w:rPr>
                <w:rFonts w:ascii="Times New Roman" w:hAnsi="Times New Roman" w:eastAsia="바탕"/>
                <w:i/>
                <w:sz w:val="20"/>
              </w:rPr>
              <w:t>Patient Education and Counseling</w:t>
            </w:r>
            <w:r>
              <w:rPr>
                <w:rFonts w:ascii="Times New Roman" w:hAnsi="Times New Roman" w:eastAsia="바탕"/>
                <w:sz w:val="20"/>
              </w:rPr>
              <w:t>, 45(2):87–99, 2001). The same people were asked about the same meanings, and the answers split almost twofold according to where the pictures came from.</w:t>
            </w:r>
          </w:p>
          <w:p>
            <w:pPr>
              <w:spacing w:after="80" w:line="276" w:lineRule="auto"/>
              <w:jc w:val="both"/>
            </w:pPr>
            <w:r>
              <w:rPr>
                <w:rFonts w:ascii="Times New Roman" w:hAnsi="Times New Roman" w:eastAsia="바탕"/>
                <w:sz w:val="20"/>
              </w:rPr>
              <w:t>The first row of Table 6 has to be read together with its scope. The figure of 17 out of 108 comes from 52 adults in the capital region of the Philippines gathered by quota sampling, and the authors record the small sample and the single region as limitations, recommending that the measurement be repeated on 168 participants sampled randomly across regions. It therefore does not mean that those pictograms are inherently unreadable, but that they were read that way by those people. That is also why Table 6 sets values from three countries side by side: no single value tells us the property of a pictogram.</w:t>
            </w:r>
          </w:p>
          <w:p>
            <w:pPr>
              <w:spacing w:after="80" w:line="276" w:lineRule="auto"/>
              <w:jc w:val="both"/>
            </w:pPr>
            <w:r>
              <w:rPr>
                <w:rFonts w:ascii="Times New Roman" w:hAnsi="Times New Roman" w:eastAsia="바탕"/>
                <w:sz w:val="20"/>
              </w:rPr>
              <w:t>What separated comprehension in the same study is worth setting down as well. Out of 108 points, scores were 21.58 points lower where education was below Grade 12, 5.85 points lower for women, and 1.20 points lower above the age of 46. The only statistically significant predictor was education. Those conditions overlap exactly with the people this app is aimed at.</w:t>
            </w:r>
          </w:p>
          <w:p>
            <w:pPr>
              <w:spacing w:after="80" w:line="276" w:lineRule="auto"/>
              <w:jc w:val="both"/>
            </w:pPr>
            <w:r>
              <w:rPr>
                <w:rFonts w:ascii="Times New Roman" w:hAnsi="Times New Roman" w:eastAsia="바탕"/>
                <w:sz w:val="20"/>
              </w:rPr>
              <w:t>The authors' conclusion points at the same place as our architecture. Since only 17 passed, they recommend that pictograms not be used as a stand-alone tool but be complemented with verbal and written instructions. That is why this app sends out picture and speech together (§3.5). We deliberately dropped half of that recommendation, though: the written half, because the people this app is for cannot read, so writing cannot complement anything. We put that much more weight on the half that remains, which is speech.</w:t>
            </w:r>
          </w:p>
          <w:p>
            <w:pPr>
              <w:spacing w:after="80" w:line="276" w:lineRule="auto"/>
              <w:jc w:val="both"/>
            </w:pPr>
            <w:r>
              <w:rPr>
                <w:rFonts w:ascii="Times New Roman" w:hAnsi="Times New Roman" w:eastAsia="바탕"/>
                <w:sz w:val="20"/>
              </w:rPr>
              <w:t xml:space="preserve">The same thing is observed outside pharmaceutical pictograms. In a study testing 18 internationally standardised in-vitro diagnostic symbols on 293 health workers in four countries, the number of symbols exceeding the ISO criterion was six in Belgium and Cuba, two in the Democratic Republic of the Congo and one in Cambodia. The widest gap was the biological-hazard symbol, answered correctly by 94.1% in Cuba and by 8.0% in the Democratic Republic of the Congo (Hermans, V., Monzote, L., Van den Sande, B. et al., "Assessment of the knowledge of graphical symbols labelled on malaria rapid diagnostic tests in four international settings," </w:t>
            </w:r>
            <w:r>
              <w:rPr>
                <w:rFonts w:ascii="Times New Roman" w:hAnsi="Times New Roman" w:eastAsia="바탕"/>
                <w:i/>
                <w:sz w:val="20"/>
              </w:rPr>
              <w:t>Malaria Journal</w:t>
            </w:r>
            <w:r>
              <w:rPr>
                <w:rFonts w:ascii="Times New Roman" w:hAnsi="Times New Roman" w:eastAsia="바탕"/>
                <w:sz w:val="20"/>
              </w:rPr>
              <w:t>, 10:331, 2011).</w:t>
            </w:r>
          </w:p>
          <w:p>
            <w:pPr>
              <w:spacing w:before="160" w:after="60"/>
              <w:jc w:val="center"/>
            </w:pPr>
            <w:r>
              <w:drawing>
                <wp:inline xmlns:a="http://schemas.openxmlformats.org/drawingml/2006/main" xmlns:pic="http://schemas.openxmlformats.org/drawingml/2006/picture">
                  <wp:extent cx="5486400" cy="2286000"/>
                  <wp:docPr id="10" name="Picture 10"/>
                  <wp:cNvGraphicFramePr>
                    <a:graphicFrameLocks noChangeAspect="1"/>
                  </wp:cNvGraphicFramePr>
                  <a:graphic>
                    <a:graphicData uri="http://schemas.openxmlformats.org/drawingml/2006/picture">
                      <pic:pic>
                        <pic:nvPicPr>
                          <pic:cNvPr id="0" name="chart16_symbol_country.png"/>
                          <pic:cNvPicPr/>
                        </pic:nvPicPr>
                        <pic:blipFill>
                          <a:blip r:embed="rId26"/>
                          <a:stretch>
                            <a:fillRect/>
                          </a:stretch>
                        </pic:blipFill>
                        <pic:spPr>
                          <a:xfrm>
                            <a:off x="0" y="0"/>
                            <a:ext cx="5486400" cy="228600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10]</w:t>
            </w:r>
            <w:r>
              <w:rPr>
                <w:rFonts w:ascii="Times New Roman" w:hAnsi="Times New Roman" w:eastAsia="바탕"/>
                <w:color w:val="606068"/>
                <w:sz w:val="18"/>
              </w:rPr>
              <w:t xml:space="preserve"> The same internationally standardised symbols tested in four countries (Hermans, V., Monzote, L., Van den Sande, B. et al., "Assessment of the knowledge of graphical symbols labelled on malaria rapid diagnostic tests in four international settings," </w:t>
            </w:r>
            <w:r>
              <w:rPr>
                <w:rFonts w:ascii="Times New Roman" w:hAnsi="Times New Roman" w:eastAsia="바탕"/>
                <w:i/>
                <w:color w:val="606068"/>
                <w:sz w:val="18"/>
              </w:rPr>
              <w:t>Malaria Journal</w:t>
            </w:r>
            <w:r>
              <w:rPr>
                <w:rFonts w:ascii="Times New Roman" w:hAnsi="Times New Roman" w:eastAsia="바탕"/>
                <w:color w:val="606068"/>
                <w:sz w:val="18"/>
              </w:rPr>
              <w:t>, 10:331, 2011). On the left, how many of the 18 exceeded the ISO criterion; on the right, the correct-answer rate for the biological-hazard symbol alone. The symbols are the same; only the country differs.</w:t>
            </w:r>
          </w:p>
          <w:p>
            <w:pPr>
              <w:spacing w:after="80" w:line="276" w:lineRule="auto"/>
              <w:jc w:val="both"/>
            </w:pPr>
            <w:r>
              <w:rPr>
                <w:rFonts w:ascii="Times New Roman" w:hAnsi="Times New Roman" w:eastAsia="바탕"/>
                <w:sz w:val="20"/>
              </w:rPr>
              <w:t>One and the same picture becomes 94% in one country and 8% in another. The paper names the biological risk symbol as the most striking difference: 94.1% of participants in Cuba scored it correctly against 8.0% in the Democratic Republic of the Congo. One thing more belongs here: these participants are laboratory staff, not patients. The weight of the finding is that trained people diverge this far, not that the figures carry over to patients unchanged. This is the sharpest available demonstration that pictogram comprehension is not settled by the quality of the drawing alone, and it also means that the name "international standard" does not guarantee comprehension.</w:t>
            </w:r>
          </w:p>
          <w:p>
            <w:pPr>
              <w:spacing w:after="80" w:line="276" w:lineRule="auto"/>
              <w:jc w:val="both"/>
            </w:pPr>
            <w:r>
              <w:rPr>
                <w:rFonts w:ascii="Times New Roman" w:hAnsi="Times New Roman" w:eastAsia="바탕"/>
                <w:sz w:val="20"/>
              </w:rPr>
              <w:t>That taking something built as an international standard directly into another culture lowers the pass rate is what this field has observed repeatedly. This is why field evaluation in Moldova is part of our plan (§5.9), and at the same time why the machine-scored results for our own set must be read as values from before cultural adaptation.</w:t>
            </w:r>
          </w:p>
          <w:p>
            <w:pPr>
              <w:spacing w:after="80" w:line="276" w:lineRule="auto"/>
              <w:jc w:val="both"/>
            </w:pPr>
            <w:r>
              <w:rPr>
                <w:rFonts w:ascii="Times New Roman" w:hAnsi="Times New Roman" w:eastAsia="바탕"/>
                <w:sz w:val="20"/>
              </w:rPr>
              <w:t xml:space="preserve">Beyond that, a statistically significant positive correlation between health literacy and pictogram comprehension has been confirmed. The study tested 10 pictograms on 90 people in South Africa; mean comprehension was 7.9 ± 1.8 out of 10, the correlation </w:t>
            </w:r>
            <w:r>
              <w:rPr>
                <w:rFonts w:ascii="Times New Roman" w:hAnsi="Times New Roman" w:eastAsia="바탕"/>
                <w:i/>
                <w:sz w:val="20"/>
              </w:rPr>
              <w:t>r</w:t>
            </w:r>
            <w:r>
              <w:rPr>
                <w:rFonts w:ascii="Times New Roman" w:hAnsi="Times New Roman" w:eastAsia="바탕"/>
                <w:sz w:val="20"/>
              </w:rPr>
              <w:t xml:space="preserve"> = 0.34 (</w:t>
            </w:r>
            <w:r>
              <w:rPr>
                <w:rFonts w:ascii="Times New Roman" w:hAnsi="Times New Roman" w:eastAsia="바탕"/>
                <w:i/>
                <w:sz w:val="20"/>
              </w:rPr>
              <w:t>p</w:t>
            </w:r>
            <w:r>
              <w:rPr>
                <w:rFonts w:ascii="Times New Roman" w:hAnsi="Times New Roman" w:eastAsia="바탕"/>
                <w:sz w:val="20"/>
              </w:rPr>
              <w:t xml:space="preserve"> = 0.001), and the association with health literacy </w:t>
            </w:r>
            <w:r>
              <w:rPr>
                <w:rFonts w:ascii="Times New Roman" w:hAnsi="Times New Roman" w:eastAsia="바탕"/>
                <w:i/>
                <w:sz w:val="20"/>
              </w:rPr>
              <w:t>p</w:t>
            </w:r>
            <w:r>
              <w:rPr>
                <w:rFonts w:ascii="Times New Roman" w:hAnsi="Times New Roman" w:eastAsia="바탕"/>
                <w:sz w:val="20"/>
              </w:rPr>
              <w:t xml:space="preserve"> = 0.002 (Dowse, R., Okeyo, S., Sikhondze, S. &amp; Khumalo, N., "Pharmaceutical indication pictograms for low literacy viewers: Health literacy and comprehension," </w:t>
            </w:r>
            <w:r>
              <w:rPr>
                <w:rFonts w:ascii="Times New Roman" w:hAnsi="Times New Roman" w:eastAsia="바탕"/>
                <w:i/>
                <w:sz w:val="20"/>
              </w:rPr>
              <w:t>Health SA Gesondheid</w:t>
            </w:r>
            <w:r>
              <w:rPr>
                <w:rFonts w:ascii="Times New Roman" w:hAnsi="Times New Roman" w:eastAsia="바탕"/>
                <w:sz w:val="20"/>
              </w:rPr>
              <w:t xml:space="preserve">, 28:2192, 2023, doi:10.4102/hsag.v28i0.2192). There was more misreading among low-literacy participants. This means pictures work least well for the people who need them most, which leads to the design in §2.1, where delivery is not entrusted to a picture alone but layered with speech and colour. There is one further report in the same direction. In a study testing 10 pictograms on 197 pharmacy visitors in the Netherlands, half exceeded the 67% comprehension criterion (individual range 31.0% to 98.5%), but </w:t>
            </w:r>
            <w:r>
              <w:rPr>
                <w:rFonts w:ascii="Times New Roman" w:hAnsi="Times New Roman" w:eastAsia="바탕"/>
                <w:b/>
                <w:sz w:val="20"/>
              </w:rPr>
              <w:t>in the low-literacy group only 2 of the 10 exceeded it.</w:t>
            </w:r>
            <w:r>
              <w:rPr>
                <w:rFonts w:ascii="Times New Roman" w:hAnsi="Times New Roman" w:eastAsia="바탕"/>
                <w:sz w:val="20"/>
              </w:rPr>
              <w:t xml:space="preserve"> In 3 symbols a risk of false confidence, believing one understands while not recognising the symbol, was observed (van Beusekom, M. M. et al., "Pharmaceutical pictograms for low-literate patients: Understanding, risk of false confidence, and evidence-based design strategies," </w:t>
            </w:r>
            <w:r>
              <w:rPr>
                <w:rFonts w:ascii="Times New Roman" w:hAnsi="Times New Roman" w:eastAsia="바탕"/>
                <w:i/>
                <w:sz w:val="20"/>
              </w:rPr>
              <w:t>Patient Education and Counseling</w:t>
            </w:r>
            <w:r>
              <w:rPr>
                <w:rFonts w:ascii="Times New Roman" w:hAnsi="Times New Roman" w:eastAsia="바탕"/>
                <w:sz w:val="20"/>
              </w:rPr>
              <w:t>, 100(5):966–973, 2017).</w:t>
            </w:r>
          </w:p>
          <w:p>
            <w:pPr>
              <w:spacing w:after="80" w:line="276" w:lineRule="auto"/>
              <w:jc w:val="both"/>
            </w:pPr>
            <w:r>
              <w:rPr>
                <w:rFonts w:ascii="Times New Roman" w:hAnsi="Times New Roman" w:eastAsia="바탕"/>
                <w:sz w:val="20"/>
              </w:rPr>
              <w:t xml:space="preserve">One line from that paper's conclusion matches our own judgement. </w:t>
            </w:r>
            <w:r>
              <w:rPr>
                <w:rFonts w:ascii="Times New Roman" w:hAnsi="Times New Roman" w:eastAsia="바탕"/>
                <w:b/>
                <w:sz w:val="20"/>
              </w:rPr>
              <w:t>For safety-related information, 67% comprehension may not be enough.</w:t>
            </w:r>
            <w:r>
              <w:rPr>
                <w:rFonts w:ascii="Times New Roman" w:hAnsi="Times New Roman" w:eastAsia="바탕"/>
                <w:sz w:val="20"/>
              </w:rPr>
              <w:t xml:space="preserve"> Passing a criterion and being safe to rely on are different things, which is why SnapCare keeps speech and colour alongside a picture even when the picture passes.</w:t>
            </w:r>
          </w:p>
          <w:p>
            <w:pPr>
              <w:spacing w:after="80" w:line="276" w:lineRule="auto"/>
              <w:jc w:val="both"/>
            </w:pPr>
            <w:r>
              <w:rPr>
                <w:rFonts w:ascii="Times New Roman" w:hAnsi="Times New Roman" w:eastAsia="바탕"/>
                <w:sz w:val="20"/>
              </w:rPr>
              <w:t xml:space="preserve">Evidence in the opposite direction is equally clear at the same spot, however. The liquid-medicine trial cited earlier (§1.3) was a randomised controlled trial, and what separated it from the control arm was instructions containing pictograms. Among caregivers who received pictograms, dosing errors greater than 20% fell from 47.8% to </w:t>
            </w:r>
            <w:r>
              <w:rPr>
                <w:rFonts w:ascii="Times New Roman" w:hAnsi="Times New Roman" w:eastAsia="바탕"/>
                <w:b/>
                <w:sz w:val="20"/>
              </w:rPr>
              <w:t>5.4%</w:t>
            </w:r>
            <w:r>
              <w:rPr>
                <w:rFonts w:ascii="Times New Roman" w:hAnsi="Times New Roman" w:eastAsia="바탕"/>
                <w:sz w:val="20"/>
              </w:rPr>
              <w:t xml:space="preserve"> (absolute risk reduction 42.4 percentage points). That figure covers only the 99 caregivers given a daily medicine. For the 158 given an as-needed medicine it was 40.0% to 15.6%, an absolute risk reduction of 24.4 percentage points. Quoting only the larger of the two would inflate the effect, so both are given. Non-adherence fell from 38.0% to 9.3% across everyone followed up (Yin, H. S. et al., "Randomized controlled trial of a pictogram-based intervention to reduce liquid medication dosing errors and improve adherence among caregivers of young children," </w:t>
            </w:r>
            <w:r>
              <w:rPr>
                <w:rFonts w:ascii="Times New Roman" w:hAnsi="Times New Roman" w:eastAsia="바탕"/>
                <w:i/>
                <w:sz w:val="20"/>
              </w:rPr>
              <w:t>Archives of Pediatrics &amp; Adolescent Medicine</w:t>
            </w:r>
            <w:r>
              <w:rPr>
                <w:rFonts w:ascii="Times New Roman" w:hAnsi="Times New Roman" w:eastAsia="바탕"/>
                <w:sz w:val="20"/>
              </w:rPr>
              <w:t>, 162(9):814–822, 2008).</w:t>
            </w:r>
          </w:p>
          <w:p>
            <w:pPr>
              <w:spacing w:after="80" w:line="276" w:lineRule="auto"/>
              <w:jc w:val="both"/>
            </w:pPr>
            <w:r>
              <w:rPr>
                <w:rFonts w:ascii="Times New Roman" w:hAnsi="Times New Roman" w:eastAsia="바탕"/>
                <w:sz w:val="20"/>
              </w:rPr>
              <w:t xml:space="preserve">In a South African trial randomly allocating 60 low-literate adults, with seven years of schooling or less and English as a second language, to a control and an experimental group, </w:t>
            </w:r>
            <w:r>
              <w:rPr>
                <w:rFonts w:ascii="Times New Roman" w:hAnsi="Times New Roman" w:eastAsia="바탕"/>
                <w:b/>
                <w:sz w:val="20"/>
              </w:rPr>
              <w:t>significantly more participants exceeded 80% comprehension on both the medicine label and the patient information leaflet</w:t>
            </w:r>
            <w:r>
              <w:rPr>
                <w:rFonts w:ascii="Times New Roman" w:hAnsi="Times New Roman" w:eastAsia="바탕"/>
                <w:sz w:val="20"/>
              </w:rPr>
              <w:t xml:space="preserve"> in the group that also received pictures (Mansoor, L. E. &amp; Dowse, R., "Effect of pictograms on readability of patient information materials," </w:t>
            </w:r>
            <w:r>
              <w:rPr>
                <w:rFonts w:ascii="Times New Roman" w:hAnsi="Times New Roman" w:eastAsia="바탕"/>
                <w:i/>
                <w:sz w:val="20"/>
              </w:rPr>
              <w:t>Annals of Pharmacotherapy</w:t>
            </w:r>
            <w:r>
              <w:rPr>
                <w:rFonts w:ascii="Times New Roman" w:hAnsi="Times New Roman" w:eastAsia="바탕"/>
                <w:sz w:val="20"/>
              </w:rPr>
              <w:t>, 37:1003–1009, 2003).</w:t>
            </w:r>
          </w:p>
          <w:p>
            <w:pPr>
              <w:spacing w:after="80" w:line="276" w:lineRule="auto"/>
              <w:jc w:val="both"/>
            </w:pPr>
            <w:r>
              <w:rPr>
                <w:rFonts w:ascii="Times New Roman" w:hAnsi="Times New Roman" w:eastAsia="바탕"/>
                <w:sz w:val="20"/>
              </w:rPr>
              <w:t xml:space="preserve">Two things have to be stated when this trial is used as our evidence. First, what the experimental group received was </w:t>
            </w:r>
            <w:r>
              <w:rPr>
                <w:rFonts w:ascii="Times New Roman" w:hAnsi="Times New Roman" w:eastAsia="바탕"/>
                <w:b/>
                <w:sz w:val="20"/>
              </w:rPr>
              <w:t>text with pictograms added</w:t>
            </w:r>
            <w:r>
              <w:rPr>
                <w:rFonts w:ascii="Times New Roman" w:hAnsi="Times New Roman" w:eastAsia="바탕"/>
                <w:sz w:val="20"/>
              </w:rPr>
              <w:t xml:space="preserve">, not pictograms alone. This app removed the text, so what the trial supports is adding pictures, not removing words. It should be read alongside the Qatar trial cited later in §1.8, which measured pictogram-only separately and found it last. Second, the paper records that both sets of materials were generally well understood and that the pictogram effect appeared on </w:t>
            </w:r>
            <w:r>
              <w:rPr>
                <w:rFonts w:ascii="Times New Roman" w:hAnsi="Times New Roman" w:eastAsia="바탕"/>
                <w:b/>
                <w:sz w:val="20"/>
              </w:rPr>
              <w:t>more complex information</w:t>
            </w:r>
            <w:r>
              <w:rPr>
                <w:rFonts w:ascii="Times New Roman" w:hAnsi="Times New Roman" w:eastAsia="바탕"/>
                <w:sz w:val="20"/>
              </w:rPr>
              <w:t>. On simple instructions the difference was not large, and what brings the result to our ground is that the compound instructions we aim at (§1.9) fall on the complex side.</w:t>
            </w:r>
          </w:p>
          <w:p>
            <w:pPr>
              <w:spacing w:after="80" w:line="276" w:lineRule="auto"/>
              <w:jc w:val="both"/>
            </w:pPr>
            <w:r>
              <w:rPr>
                <w:rFonts w:ascii="Times New Roman" w:hAnsi="Times New Roman" w:eastAsia="바탕"/>
                <w:sz w:val="20"/>
              </w:rPr>
              <w:t xml:space="preserve">One trial separated directly what has to be layered with what. In Qatar, 123 migrant workers who read neither Arabic nor English were randomised into three arms: text with verbal instruction, a pictogram-only label, and a pictogram with verbal instruction. </w:t>
            </w:r>
            <w:r>
              <w:rPr>
                <w:rFonts w:ascii="Times New Roman" w:hAnsi="Times New Roman" w:eastAsia="바탕"/>
                <w:b/>
                <w:sz w:val="20"/>
              </w:rPr>
              <w:t>The pictogram with verbal instruction did best on most of the instructions</w:t>
            </w:r>
            <w:r>
              <w:rPr>
                <w:rFonts w:ascii="Times New Roman" w:hAnsi="Times New Roman" w:eastAsia="바탕"/>
                <w:sz w:val="20"/>
              </w:rPr>
              <w:t xml:space="preserve"> (</w:t>
            </w:r>
            <w:r>
              <w:rPr>
                <w:rFonts w:ascii="Times New Roman" w:hAnsi="Times New Roman" w:eastAsia="바탕"/>
                <w:i/>
                <w:sz w:val="20"/>
              </w:rPr>
              <w:t>p</w:t>
            </w:r>
            <w:r>
              <w:rPr>
                <w:rFonts w:ascii="Times New Roman" w:hAnsi="Times New Roman" w:eastAsia="바탕"/>
                <w:sz w:val="20"/>
              </w:rPr>
              <w:t xml:space="preserve"> ≤ 0.05) (Kheir, N., Awaisu, A., Radoui, A., El Badawi, A., Jean, L. &amp; Dowse, R., "Development and evaluation of pictograms on medication labels for patients with limited literacy skills in a culturally diverse multiethnic population," </w:t>
            </w:r>
            <w:r>
              <w:rPr>
                <w:rFonts w:ascii="Times New Roman" w:hAnsi="Times New Roman" w:eastAsia="바탕"/>
                <w:i/>
                <w:sz w:val="20"/>
              </w:rPr>
              <w:t>Research in Social and Administrative Pharmacy</w:t>
            </w:r>
            <w:r>
              <w:rPr>
                <w:rFonts w:ascii="Times New Roman" w:hAnsi="Times New Roman" w:eastAsia="바탕"/>
                <w:sz w:val="20"/>
              </w:rPr>
              <w:t>, 10(5):720–730, 2014, doi:10.1016/j.sapharm.2013.11.003).</w:t>
            </w:r>
          </w:p>
          <w:p>
            <w:pPr>
              <w:spacing w:after="80" w:line="276" w:lineRule="auto"/>
              <w:jc w:val="both"/>
            </w:pPr>
            <w:r>
              <w:rPr>
                <w:rFonts w:ascii="Times New Roman" w:hAnsi="Times New Roman" w:eastAsia="바탕"/>
                <w:sz w:val="20"/>
              </w:rPr>
              <w:t>The arm that won is the same combination SnapCare uses. Not text with speech, and not pictures alone, but pictures with speech. The decision in §2.1 to overlay three layers is supported directly by this trial.</w:t>
            </w:r>
          </w:p>
          <w:p>
            <w:pPr>
              <w:spacing w:after="80" w:line="276" w:lineRule="auto"/>
              <w:jc w:val="both"/>
            </w:pPr>
            <w:r>
              <w:rPr>
                <w:rFonts w:ascii="Times New Roman" w:hAnsi="Times New Roman" w:eastAsia="바탕"/>
                <w:sz w:val="20"/>
              </w:rPr>
              <w:t xml:space="preserve">The heavier finding from that trial is which arm came last. The paper concludes that </w:t>
            </w:r>
            <w:r>
              <w:rPr>
                <w:rFonts w:ascii="Times New Roman" w:hAnsi="Times New Roman" w:eastAsia="바탕"/>
                <w:b/>
                <w:sz w:val="20"/>
              </w:rPr>
              <w:t>pictogram-only labels were the least comprehended of the three</w:t>
            </w:r>
            <w:r>
              <w:rPr>
                <w:rFonts w:ascii="Times New Roman" w:hAnsi="Times New Roman" w:eastAsia="바탕"/>
                <w:sz w:val="20"/>
              </w:rPr>
              <w:t>, worse even than text carrying verbal support in a language the participant could not read. That does not say pictures beat text; it says pictures beat text once speech is attached, and that a picture with the speech removed can do worse than letters the reader cannot read. It is why this app does not let the speech be switched off and plays it once automatically on the verdict screen (§3.5).</w:t>
            </w:r>
          </w:p>
          <w:p>
            <w:pPr>
              <w:spacing w:after="80" w:line="276" w:lineRule="auto"/>
              <w:jc w:val="both"/>
            </w:pPr>
            <w:r>
              <w:rPr>
                <w:rFonts w:ascii="Times New Roman" w:hAnsi="Times New Roman" w:eastAsia="바탕"/>
                <w:sz w:val="20"/>
              </w:rPr>
              <w:t>The caution the paper leaves belongs here too. Some pictograms were difficult to interpret even with verbal instructions, and the authors write that they therefore need thorough piloting with users before implementation. What §5.9 records as the absence of testing with people lands on exactly that sentence.</w:t>
            </w:r>
          </w:p>
          <w:p>
            <w:pPr>
              <w:spacing w:after="80" w:line="276" w:lineRule="auto"/>
              <w:jc w:val="both"/>
            </w:pPr>
            <w:r>
              <w:rPr>
                <w:rFonts w:ascii="Times New Roman" w:hAnsi="Times New Roman" w:eastAsia="바탕"/>
                <w:sz w:val="20"/>
              </w:rPr>
              <w:t xml:space="preserve">The result running the other way in the same study should be recorded too. "Take two tablets three times a day" and "Instill one drop in the eye" came across well, but </w:t>
            </w:r>
            <w:r>
              <w:rPr>
                <w:rFonts w:ascii="Times New Roman" w:hAnsi="Times New Roman" w:eastAsia="바탕"/>
                <w:b/>
                <w:sz w:val="20"/>
              </w:rPr>
              <w:t>"Do not take with dairy products" remained difficult even with a picture and an explanation.</w:t>
            </w:r>
            <w:r>
              <w:rPr>
                <w:rFonts w:ascii="Times New Roman" w:hAnsi="Times New Roman" w:eastAsia="바탕"/>
                <w:sz w:val="20"/>
              </w:rPr>
              <w:t xml:space="preserve"> Abstract and negative instructions are what is left over. It is the same place as the AAC respondent in §5.7 predicting that abstract concepts such as empty stomach and interaction would fail first, and as all five of the morphemes we could not improve in §5.3 being problems of concept.</w:t>
            </w:r>
          </w:p>
          <w:p>
            <w:pPr>
              <w:spacing w:after="80" w:line="276" w:lineRule="auto"/>
              <w:jc w:val="both"/>
            </w:pPr>
            <w:r>
              <w:rPr>
                <w:rFonts w:ascii="Times New Roman" w:hAnsi="Times New Roman" w:eastAsia="바탕"/>
                <w:sz w:val="20"/>
              </w:rPr>
              <w:t xml:space="preserve">There is work with a large sample as well, though large is not the same as representative, and that belongs first. This is a cross-sectional study recruited by snowball sampling, so the sample was not drawn to represent Lebanese adults, and both forms were shown to the same people rather than to separate arms. Showing 1,848 Lebanese adults the same prescription instructions in text alone and then with pictograms raised the comprehension score from 9.36 (±1.60) to 10.88 (±0.89), a difference of 1.52 (95% CI 1.45–1.60, </w:t>
            </w:r>
            <w:r>
              <w:rPr>
                <w:rFonts w:ascii="Times New Roman" w:hAnsi="Times New Roman" w:eastAsia="바탕"/>
                <w:i/>
                <w:sz w:val="20"/>
              </w:rPr>
              <w:t>p</w:t>
            </w:r>
            <w:r>
              <w:rPr>
                <w:rFonts w:ascii="Times New Roman" w:hAnsi="Times New Roman" w:eastAsia="바탕"/>
                <w:sz w:val="20"/>
              </w:rPr>
              <w:t xml:space="preserve"> &lt; 0.001) (Mourad, N., Younes, S., Mourad, L. et al., "Comprehension of prescription orders with and without pictograms," </w:t>
            </w:r>
            <w:r>
              <w:rPr>
                <w:rFonts w:ascii="Times New Roman" w:hAnsi="Times New Roman" w:eastAsia="바탕"/>
                <w:i/>
                <w:sz w:val="20"/>
              </w:rPr>
              <w:t>BMC Public Health</w:t>
            </w:r>
            <w:r>
              <w:rPr>
                <w:rFonts w:ascii="Times New Roman" w:hAnsi="Times New Roman" w:eastAsia="바탕"/>
                <w:sz w:val="20"/>
              </w:rPr>
              <w:t>, 23:1926, 2023, doi:10.1186/s12889-023-16856-5).</w:t>
            </w:r>
          </w:p>
          <w:p>
            <w:pPr>
              <w:spacing w:after="80" w:line="276" w:lineRule="auto"/>
              <w:jc w:val="both"/>
            </w:pPr>
            <w:r>
              <w:rPr>
                <w:rFonts w:ascii="Times New Roman" w:hAnsi="Times New Roman" w:eastAsia="바탕"/>
                <w:sz w:val="20"/>
              </w:rPr>
              <w:t xml:space="preserve">That study also carries a result against us. </w:t>
            </w:r>
            <w:r>
              <w:rPr>
                <w:rFonts w:ascii="Times New Roman" w:hAnsi="Times New Roman" w:eastAsia="바탕"/>
                <w:b/>
                <w:sz w:val="20"/>
              </w:rPr>
              <w:t>The older the participant, the smaller the gain from the pictures</w:t>
            </w:r>
            <w:r>
              <w:rPr>
                <w:rFonts w:ascii="Times New Roman" w:hAnsi="Times New Roman" w:eastAsia="바탕"/>
                <w:sz w:val="20"/>
              </w:rPr>
              <w:t xml:space="preserve"> (Beta = −0.019, 95% CI −0.028 to −0.009, standardised coefficient −0.148, </w:t>
            </w:r>
            <w:r>
              <w:rPr>
                <w:rFonts w:ascii="Times New Roman" w:hAnsi="Times New Roman" w:eastAsia="바탕"/>
                <w:i/>
                <w:sz w:val="20"/>
              </w:rPr>
              <w:t>p</w:t>
            </w:r>
            <w:r>
              <w:rPr>
                <w:rFonts w:ascii="Times New Roman" w:hAnsi="Times New Roman" w:eastAsia="바탕"/>
                <w:sz w:val="20"/>
              </w:rPr>
              <w:t xml:space="preserve"> &lt; 0.001). The coefficient itself is small: the score difference falls by 0.019 for each additional year, so wiping out the overall gain of 1.52 points seen above would take eighty years. Given that this app takes older adults as a main target (§1.7), that is not a figure to pass over. Professor Eun-Kyoung Kim of Kongju National University writing in §5.7 that "older people unfamiliar with images of this kind would find it harder still" is an observation in the same direction.</w:t>
            </w:r>
          </w:p>
          <w:p>
            <w:pPr>
              <w:spacing w:after="80" w:line="276" w:lineRule="auto"/>
              <w:jc w:val="both"/>
            </w:pPr>
            <w:r>
              <w:rPr>
                <w:rFonts w:ascii="Times New Roman" w:hAnsi="Times New Roman" w:eastAsia="바탕"/>
                <w:sz w:val="20"/>
              </w:rPr>
              <w:t xml:space="preserve">There is also work that pools the individual trials. Screening 4,160 records produced 54 randomised controlled trials, 42 of which were meta-analysed: pictorial health information moderately improved knowledge, understanding and recall overall, and </w:t>
            </w:r>
            <w:r>
              <w:rPr>
                <w:rFonts w:ascii="Times New Roman" w:hAnsi="Times New Roman" w:eastAsia="바탕"/>
                <w:b/>
                <w:sz w:val="20"/>
              </w:rPr>
              <w:t>largely increased knowledge and understanding in lower health literacy populations (13 studies)</w:t>
            </w:r>
            <w:r>
              <w:rPr>
                <w:rFonts w:ascii="Times New Roman" w:hAnsi="Times New Roman" w:eastAsia="바탕"/>
                <w:sz w:val="20"/>
              </w:rPr>
              <w:t xml:space="preserve"> (Schubbe, D., Scalia, P., Yen, R. W., Saunders, C. H., Cohen, S., Elwyn, G., van den Muijsenbergh, M. &amp; Durand, M.-A., "Using pictures to convey health information: A systematic review and meta-analysis of the effects on patient and consumer health behaviors and outcomes," </w:t>
            </w:r>
            <w:r>
              <w:rPr>
                <w:rFonts w:ascii="Times New Roman" w:hAnsi="Times New Roman" w:eastAsia="바탕"/>
                <w:i/>
                <w:sz w:val="20"/>
              </w:rPr>
              <w:t>Patient Education and Counseling</w:t>
            </w:r>
            <w:r>
              <w:rPr>
                <w:rFonts w:ascii="Times New Roman" w:hAnsi="Times New Roman" w:eastAsia="바탕"/>
                <w:sz w:val="20"/>
              </w:rPr>
              <w:t>, 103(10):1935–1960, 2020, doi:10.1016/j.pec.2020.04.010).</w:t>
            </w:r>
          </w:p>
          <w:p>
            <w:pPr>
              <w:spacing w:after="80" w:line="276" w:lineRule="auto"/>
              <w:jc w:val="both"/>
            </w:pPr>
            <w:r>
              <w:rPr>
                <w:rFonts w:ascii="Times New Roman" w:hAnsi="Times New Roman" w:eastAsia="바탕"/>
                <w:sz w:val="20"/>
              </w:rPr>
              <w:t xml:space="preserve">The same paper left one sentence that bears directly on our design: </w:t>
            </w:r>
            <w:r>
              <w:rPr>
                <w:rFonts w:ascii="Times New Roman" w:hAnsi="Times New Roman" w:eastAsia="바탕"/>
                <w:b/>
                <w:sz w:val="20"/>
              </w:rPr>
              <w:t>icons with few words may be most helpful</w:t>
            </w:r>
            <w:r>
              <w:rPr>
                <w:rFonts w:ascii="Times New Roman" w:hAnsi="Times New Roman" w:eastAsia="바탕"/>
                <w:sz w:val="20"/>
              </w:rPr>
              <w:t xml:space="preserve"> in conveying health information. It points the same way, independently, as the respondents in three countries who said in §5.7 that there are too many elements in one image. The authors note that heterogeneity across the outcomes was substantial and that the results should be read with caution, and we read them that way here. These figures are grounds for using pictures, not grounds for thinking any picture will do.</w:t>
            </w:r>
          </w:p>
          <w:p>
            <w:pPr>
              <w:spacing w:after="80" w:line="276" w:lineRule="auto"/>
              <w:jc w:val="both"/>
            </w:pPr>
            <w:r>
              <w:rPr>
                <w:rFonts w:ascii="Times New Roman" w:hAnsi="Times New Roman" w:eastAsia="바탕"/>
                <w:sz w:val="20"/>
              </w:rPr>
              <w:t xml:space="preserve">To summarise, this field has observed three things together. Well-made pictures do in fact reduce errors (Yin, H. S. et al., "Randomized controlled trial of a pictogram-based intervention to reduce liquid medication dosing errors and improve adherence among caregivers of young children," </w:t>
            </w:r>
            <w:r>
              <w:rPr>
                <w:rFonts w:ascii="Times New Roman" w:hAnsi="Times New Roman" w:eastAsia="바탕"/>
                <w:i/>
                <w:sz w:val="20"/>
              </w:rPr>
              <w:t>Archives of Pediatrics &amp; Adolescent Medicine</w:t>
            </w:r>
            <w:r>
              <w:rPr>
                <w:rFonts w:ascii="Times New Roman" w:hAnsi="Times New Roman" w:eastAsia="바탕"/>
                <w:sz w:val="20"/>
              </w:rPr>
              <w:t xml:space="preserve">, 162(9):814–822, 2008: 47.8% to 5.4%). Pictures work better with speech than alone (Kheir, N., Awaisu, A., Radoui, A., El Badawi, A., Jean, L. &amp; Dowse, R., "Development and evaluation of pictograms on medication labels for patients with limited literacy skills in a culturally diverse multiethnic population," </w:t>
            </w:r>
            <w:r>
              <w:rPr>
                <w:rFonts w:ascii="Times New Roman" w:hAnsi="Times New Roman" w:eastAsia="바탕"/>
                <w:i/>
                <w:sz w:val="20"/>
              </w:rPr>
              <w:t>Research in Social and Administrative Pharmacy</w:t>
            </w:r>
            <w:r>
              <w:rPr>
                <w:rFonts w:ascii="Times New Roman" w:hAnsi="Times New Roman" w:eastAsia="바탕"/>
                <w:sz w:val="20"/>
              </w:rPr>
              <w:t xml:space="preserve">, 10(5):720–730, 2014). And making them does not mean making them well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15:30, 2022: 17 of 108). The first two are the reason to take this approach, and the third is the reason to measure afterwards.</w:t>
            </w:r>
          </w:p>
          <w:p>
            <w:pPr>
              <w:spacing w:after="80" w:line="276" w:lineRule="auto"/>
              <w:jc w:val="both"/>
            </w:pPr>
            <w:r>
              <w:rPr>
                <w:rFonts w:ascii="Times New Roman" w:hAnsi="Times New Roman" w:eastAsia="바탕"/>
                <w:sz w:val="20"/>
              </w:rPr>
              <w:t>One thing the field has not answered attaches to that. Mourad et al. finding that the gain from pictures shrinks with age, and Schubbe et al. finding that icons with few words help most, both ask how much we should be showing an older person and in what form. Neither answers it for our set. That is what we have to measure in the field evaluation of §5.10.</w:t>
            </w:r>
          </w:p>
          <w:p>
            <w:pPr>
              <w:spacing w:before="160" w:after="60"/>
              <w:jc w:val="center"/>
            </w:pPr>
            <w:r>
              <w:drawing>
                <wp:inline xmlns:a="http://schemas.openxmlformats.org/drawingml/2006/main" xmlns:pic="http://schemas.openxmlformats.org/drawingml/2006/picture">
                  <wp:extent cx="5486400" cy="3108960"/>
                  <wp:docPr id="11" name="Picture 11"/>
                  <wp:cNvGraphicFramePr>
                    <a:graphicFrameLocks noChangeAspect="1"/>
                  </wp:cNvGraphicFramePr>
                  <a:graphic>
                    <a:graphicData uri="http://schemas.openxmlformats.org/drawingml/2006/picture">
                      <pic:pic>
                        <pic:nvPicPr>
                          <pic:cNvPr id="0" name="chart05_pictogram_pass.png"/>
                          <pic:cNvPicPr/>
                        </pic:nvPicPr>
                        <pic:blipFill>
                          <a:blip r:embed="rId27"/>
                          <a:stretch>
                            <a:fillRect/>
                          </a:stretch>
                        </pic:blipFill>
                        <pic:spPr>
                          <a:xfrm>
                            <a:off x="0" y="0"/>
                            <a:ext cx="5486400" cy="310896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11]</w:t>
            </w:r>
            <w:r>
              <w:rPr>
                <w:rFonts w:ascii="Times New Roman" w:hAnsi="Times New Roman" w:eastAsia="바탕"/>
                <w:color w:val="606068"/>
                <w:sz w:val="18"/>
              </w:rPr>
              <w:t xml:space="preserve"> Share of pharmaceutical pictograms passing comprehension criteria. The criterion applied differs by bar and is noted underneath each. Sharing an axis does not make these values competitors. The middle two bars are the control and experimental arms of the same study, </w:t>
            </w:r>
            <w:r>
              <w:rPr>
                <w:rFonts w:ascii="Times New Roman" w:hAnsi="Times New Roman" w:eastAsia="바탕"/>
                <w:b/>
                <w:color w:val="606068"/>
                <w:sz w:val="18"/>
              </w:rPr>
              <w:t>the result of showing two sets carrying the same instructions to the same 46 people</w:t>
            </w:r>
            <w:r>
              <w:rPr>
                <w:rFonts w:ascii="Times New Roman" w:hAnsi="Times New Roman" w:eastAsia="바탕"/>
                <w:color w:val="606068"/>
                <w:sz w:val="18"/>
              </w:rPr>
              <w:t>. Where the pictures came from splits the pass rate almost twofold. Our own value (69.2%) is the machine-scored result from §5.2 and was not obtained by asking people, so it is not directly comparable with the rest. It is placed on the same panel not to claim superiority but to show that our value falls within the range this field has observed.</w:t>
            </w:r>
          </w:p>
          <w:p>
            <w:pPr>
              <w:spacing w:after="80" w:line="276" w:lineRule="auto"/>
              <w:jc w:val="both"/>
            </w:pPr>
            <w:r>
              <w:rPr>
                <w:rFonts w:ascii="Times New Roman" w:hAnsi="Times New Roman" w:eastAsia="바탕"/>
                <w:sz w:val="20"/>
              </w:rPr>
              <w:t>Rather than close this section on the literature alone, we put the limitation to the field directly. In the survey sent to 1,103 people on 31 July 2026 (§5.7) we asked "could a patient who cannot read take their medicine correctly, alone, with only these screens, and why", and Foued Maaoui, Researcher at the Pasteur Institute of Tunis, answered:</w:t>
            </w:r>
          </w:p>
          <w:p>
            <w:pPr>
              <w:spacing w:after="40" w:line="276" w:lineRule="auto"/>
              <w:ind w:left="403"/>
            </w:pPr>
            <w:r>
              <w:rPr>
                <w:rFonts w:ascii="Times New Roman" w:hAnsi="Times New Roman" w:eastAsia="바탕"/>
                <w:i/>
                <w:color w:val="606068"/>
                <w:sz w:val="19"/>
              </w:rPr>
              <w:t>"Many individual pictograms are highly abstract, including symbols representing treatment completion, dosage quantity, administration timing, and warning or prohibition messages. Without prior training or accompanying text, patients may misinterpret the prescribed dose, the timing of medication in relation to meals, or the intended meaning of specific warning icons."</w:t>
            </w:r>
          </w:p>
          <w:p>
            <w:pPr>
              <w:spacing w:after="180" w:line="276" w:lineRule="auto"/>
              <w:ind w:left="403"/>
            </w:pPr>
            <w:r>
              <w:rPr>
                <w:rFonts w:ascii="Times New Roman" w:hAnsi="Times New Roman" w:eastAsia="바탕"/>
                <w:i w:val="0"/>
                <w:color w:val="606068"/>
                <w:sz w:val="19"/>
              </w:rPr>
              <w:t>(Foued Maaoui, Researcher, Pasteur Institute of Tunis)</w:t>
            </w:r>
          </w:p>
          <w:p>
            <w:pPr>
              <w:spacing w:after="80" w:line="276" w:lineRule="auto"/>
              <w:jc w:val="both"/>
            </w:pPr>
            <w:r>
              <w:rPr>
                <w:rFonts w:ascii="Times New Roman" w:hAnsi="Times New Roman" w:eastAsia="바탕"/>
                <w:sz w:val="20"/>
              </w:rPr>
              <w:t>What the studies above measured and what this answer says are the same thing. It differs in having been written after looking at what we made. The pass rates in Table 6 are values for other people's sets; this is the word of someone who actually looked at the 78 morphemes of §2.2. In the same answer he singled out four of our morphemes as particularly abstract: completion, quantity, timing and prohibition. The first three coincide exactly with the three types where errors concentrate in Table 4 of §1.3 (omission 32.9%, dose 28.4%, timing 23.2%). The fourth, prohibition, is not in Table 4. That table counts errors pharmacists made while dispensing, so contraindication marking was never among the things counted. That the response nonetheless lists it fourth is because prohibition is separately dangerous seen from the patient side, and §1.3.1 takes up that misreading on its own. That the places most needed are the hardest is the conclusion of this section, and the literature and the survey pointed at it separately.</w:t>
            </w:r>
          </w:p>
          <w:p>
            <w:pPr>
              <w:spacing w:after="80" w:line="276" w:lineRule="auto"/>
              <w:jc w:val="both"/>
            </w:pPr>
            <w:r>
              <w:rPr>
                <w:rFonts w:ascii="Times New Roman" w:hAnsi="Times New Roman" w:eastAsia="바탕"/>
                <w:sz w:val="20"/>
              </w:rPr>
              <w:t>This is why the present work does not stop at making pictograms but designs a procedure for measuring their comprehension alongside.</w:t>
            </w:r>
          </w:p>
          <w:p>
            <w:pPr>
              <w:spacing w:before="180" w:after="40"/>
            </w:pPr>
            <w:r>
              <w:rPr>
                <w:rFonts w:ascii="Times New Roman" w:hAnsi="Times New Roman" w:eastAsia="바탕"/>
                <w:b/>
                <w:sz w:val="23"/>
              </w:rPr>
              <w:t>1.9 Structural constraints of the existing pictogram standard</w:t>
            </w:r>
          </w:p>
          <w:p>
            <w:pPr>
              <w:spacing w:after="80" w:line="276" w:lineRule="auto"/>
              <w:jc w:val="both"/>
            </w:pPr>
            <w:r>
              <w:rPr>
                <w:rFonts w:ascii="Times New Roman" w:hAnsi="Times New Roman" w:eastAsia="바탕"/>
                <w:sz w:val="20"/>
              </w:rPr>
              <w:t xml:space="preserve">The most widely used pharmaceutical pictogram standard at present is the 81-symbol set from the United States Pharmacopeia (USP). It is organised into three categories, mandatory (square), prohibition (circle with slash) and warning (inverted triangle), and USP distributes it free in GIF and EPS form (U.S. Pharmacopeia, </w:t>
            </w:r>
            <w:r>
              <w:rPr>
                <w:rFonts w:ascii="Times New Roman" w:hAnsi="Times New Roman" w:eastAsia="바탕"/>
                <w:i/>
                <w:sz w:val="20"/>
              </w:rPr>
              <w:t>USP Pictograms</w:t>
            </w:r>
            <w:r>
              <w:rPr>
                <w:rFonts w:ascii="Times New Roman" w:hAnsi="Times New Roman" w:eastAsia="바탕"/>
                <w:sz w:val="20"/>
              </w:rPr>
              <w:t>).</w:t>
            </w:r>
            <w:r>
              <w:rPr>
                <w:rFonts w:ascii="Times New Roman" w:hAnsi="Times New Roman" w:eastAsia="바탕"/>
                <w:sz w:val="20"/>
              </w:rPr>
              <w:t xml:space="preserve">, </w:t>
            </w:r>
            <w:hyperlink r:id="rId28">
              <w:r>
                <w:rPr>
                  <w:rPr>
                    <w:rFonts w:ascii="Times New Roman" w:hAnsi="Times New Roman" w:eastAsia="바탕"/>
                    <w:sz w:val="20"/>
                  </w:rPr>
                  <w:color w:val="0563C1"/>
                  <w:u w:val="single"/>
                </w:rPr>
                <w:t xml:space="preserve">https://www.usp.org/health-quality-safety/usp-pictograms</w:t>
              </w:r>
            </w:hyperlink>
          </w:p>
          <w:p>
            <w:pPr>
              <w:spacing w:after="80" w:line="276" w:lineRule="auto"/>
              <w:jc w:val="both"/>
            </w:pPr>
            <w:r>
              <w:rPr>
                <w:rFonts w:ascii="Times New Roman" w:hAnsi="Times New Roman" w:eastAsia="바탕"/>
                <w:sz w:val="20"/>
              </w:rPr>
              <w:t>How the set arrived at its present 81 we could not confirm at a primary source. Several secondary works record a start in the 1980s and the present count reached during the 1990s, but we could not open the originals, so no years are given here. The argument of this section is not when the set was made but that it does not compose, and the grounds for that are the licence conditions below.</w:t>
            </w:r>
          </w:p>
          <w:p>
            <w:pPr>
              <w:spacing w:after="80" w:line="276" w:lineRule="auto"/>
              <w:jc w:val="both"/>
            </w:pPr>
            <w:r>
              <w:rPr>
                <w:rFonts w:ascii="Times New Roman" w:hAnsi="Times New Roman" w:eastAsia="바탕"/>
                <w:sz w:val="20"/>
              </w:rPr>
              <w:t>One discrepancy in the numbers inside this document should be stated as well. Gutierrez et al. in Table 6 counted and tested the USP set as 82 symbols, and this section says 81. The set may have grown or shrunk over time, but we could not confirm at a primary source which figure belongs to which date. Each source's own count has therefore been left as it stands. A difference of one does not change the argument of this section or of Table 6.</w:t>
            </w:r>
          </w:p>
          <w:p>
            <w:pPr>
              <w:spacing w:after="80" w:line="276" w:lineRule="auto"/>
              <w:jc w:val="both"/>
            </w:pPr>
            <w:r>
              <w:rPr>
                <w:rFonts w:ascii="Times New Roman" w:hAnsi="Times New Roman" w:eastAsia="바탕"/>
                <w:sz w:val="20"/>
              </w:rPr>
              <w:t xml:space="preserve">The limitation of this standard lies in its expressive power. A single prescription instruction such as </w:t>
            </w:r>
            <w:r>
              <w:rPr>
                <w:rFonts w:ascii="Times New Roman" w:hAnsi="Times New Roman" w:eastAsia="바탕"/>
                <w:b/>
                <w:sz w:val="20"/>
              </w:rPr>
              <w:t>"three times a day, 30 minutes after meals, keep refrigerated, contraindicated in pregnancy"</w:t>
            </w:r>
            <w:r>
              <w:rPr>
                <w:rFonts w:ascii="Times New Roman" w:hAnsi="Times New Roman" w:eastAsia="바탕"/>
                <w:sz w:val="20"/>
              </w:rPr>
              <w:t xml:space="preserve"> cannot be expressed by any one USP pictogram and can only be conveyed by listing five or six symbols.</w:t>
            </w:r>
          </w:p>
          <w:p>
            <w:pPr>
              <w:spacing w:after="80" w:line="276" w:lineRule="auto"/>
              <w:jc w:val="both"/>
            </w:pPr>
            <w:r>
              <w:rPr>
                <w:rFonts w:ascii="Times New Roman" w:hAnsi="Times New Roman" w:eastAsia="바탕"/>
                <w:sz w:val="20"/>
              </w:rPr>
              <w:t xml:space="preserve">This is an explicit constraint rather than a design shortcoming. USP grants free use subject to four conditions: that, because of the potential for misinterpretation, the pictograms are not used as the sole means of conveying information to the patient; that they are not modified or used together with symbols USP did not develop without USP's permission; that only the latest versions are used, because the pictograms are subject to change; and that a notice of USP copyright accompanies them. USP also reserves the right to withdraw permission where it judges the pictograms to be used inappropriately (U.S. Pharmacopeia, </w:t>
            </w:r>
            <w:r>
              <w:rPr>
                <w:rFonts w:ascii="Times New Roman" w:hAnsi="Times New Roman" w:eastAsia="바탕"/>
                <w:i/>
                <w:sz w:val="20"/>
              </w:rPr>
              <w:t>USP Pictograms</w:t>
            </w:r>
            <w:r>
              <w:rPr>
                <w:rFonts w:ascii="Times New Roman" w:hAnsi="Times New Roman" w:eastAsia="바탕"/>
                <w:sz w:val="20"/>
              </w:rPr>
              <w:t>).</w:t>
            </w:r>
          </w:p>
          <w:p>
            <w:pPr>
              <w:spacing w:after="80" w:line="276" w:lineRule="auto"/>
              <w:jc w:val="both"/>
            </w:pPr>
            <w:r>
              <w:rPr>
                <w:rFonts w:ascii="Times New Roman" w:hAnsi="Times New Roman" w:eastAsia="바탕"/>
                <w:sz w:val="20"/>
              </w:rPr>
              <w:t>The second of those conditions is what forbids composition. As long as the standard is observed, overlaying or joining symbols will remain impossible.</w:t>
            </w:r>
          </w:p>
          <w:p>
            <w:pPr>
              <w:spacing w:after="80" w:line="276" w:lineRule="auto"/>
              <w:jc w:val="both"/>
            </w:pPr>
            <w:r>
              <w:rPr>
                <w:rFonts w:ascii="Times New Roman" w:hAnsi="Times New Roman" w:eastAsia="바탕"/>
                <w:sz w:val="20"/>
              </w:rPr>
              <w:t>The first clause, by contrast, is on our side. Telling implementers not to use pictograms as the sole means of conveying information is the standard's own authors recording that one picture is not enough, and it is the same judgement behind SnapCare overlaying three layers of picture, speech and colour in §2.1. We agree with the clause and differ only in having made the secondary means something other than text.</w:t>
            </w:r>
          </w:p>
          <w:p>
            <w:pPr>
              <w:spacing w:after="80" w:line="276" w:lineRule="auto"/>
              <w:jc w:val="both"/>
            </w:pPr>
            <w:r>
              <w:rPr>
                <w:rFonts w:ascii="Times New Roman" w:hAnsi="Times New Roman" w:eastAsia="바탕"/>
                <w:sz w:val="20"/>
              </w:rPr>
              <w:t>The difference between a fixed list and a grammar is a difference of kind rather than of count. Expanding 81 symbols to 810 does not help, because the combinations of prescription instructions grow faster still, and sooner or later an instruction appears that is not on the list. A grammar moves the other way. SIGIL consists of 78 morphemes and five operators, and adding one more morpheme also creates the positions where it can combine with every existing operator and modifier. What grows is a layer of combinations rather than a single entry.</w:t>
            </w:r>
          </w:p>
          <w:p>
            <w:pPr>
              <w:spacing w:after="80" w:line="276" w:lineRule="auto"/>
              <w:jc w:val="both"/>
            </w:pPr>
            <w:r>
              <w:rPr>
                <w:rFonts w:ascii="Times New Roman" w:hAnsi="Times New Roman" w:eastAsia="바탕"/>
                <w:sz w:val="20"/>
              </w:rPr>
              <w:t>This difference can be counted. Each of the 57 heads has one slot for a modifier, and the dictionary carries no list restricting which modifiers may enter which slot. Head-and-modifier cells therefore number 57 × 21 = 1,197, and adding the 57 cells of a bare head and the four time morphemes that can stand alone gives 1,258. No negation, daily-cadence or half operator has been applied to that count. The rate of growth is plainer still. Drawing one more symbol for the USP set adds one expression; drawing one more modifier for SIGIL creates a slot alongside all 57 heads at once and adds 57. Drawing one more head adds 21.</w:t>
            </w:r>
          </w:p>
          <w:p>
            <w:pPr>
              <w:spacing w:before="160" w:after="60"/>
              <w:jc w:val="center"/>
            </w:pPr>
            <w:r>
              <w:drawing>
                <wp:inline xmlns:a="http://schemas.openxmlformats.org/drawingml/2006/main" xmlns:pic="http://schemas.openxmlformats.org/drawingml/2006/picture">
                  <wp:extent cx="5486400" cy="2286000"/>
                  <wp:docPr id="12" name="Picture 12"/>
                  <wp:cNvGraphicFramePr>
                    <a:graphicFrameLocks noChangeAspect="1"/>
                  </wp:cNvGraphicFramePr>
                  <a:graphic>
                    <a:graphicData uri="http://schemas.openxmlformats.org/drawingml/2006/picture">
                      <pic:pic>
                        <pic:nvPicPr>
                          <pic:cNvPr id="0" name="chart19_expressive.png"/>
                          <pic:cNvPicPr/>
                        </pic:nvPicPr>
                        <pic:blipFill>
                          <a:blip r:embed="rId29"/>
                          <a:stretch>
                            <a:fillRect/>
                          </a:stretch>
                        </pic:blipFill>
                        <pic:spPr>
                          <a:xfrm>
                            <a:off x="0" y="0"/>
                            <a:ext cx="5486400" cy="228600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12]</w:t>
            </w:r>
            <w:r>
              <w:rPr>
                <w:rFonts w:ascii="Times New Roman" w:hAnsi="Times New Roman" w:eastAsia="바탕"/>
                <w:color w:val="606068"/>
                <w:sz w:val="18"/>
              </w:rPr>
              <w:t xml:space="preserve"> How a fixed list and a grammar grow. On the left, the cells each set can render today; on the right, the cells gained by drawing one more item. The right-hand panel is the point of this section. The 1,258 on the left is not a boast about size but the reason the right-hand panel looks as it does.</w:t>
            </w:r>
          </w:p>
          <w:p>
            <w:pPr>
              <w:spacing w:after="80" w:line="276" w:lineRule="auto"/>
              <w:jc w:val="both"/>
            </w:pPr>
            <w:r>
              <w:rPr>
                <w:rFonts w:ascii="Times New Roman" w:hAnsi="Times New Roman" w:eastAsia="바탕"/>
                <w:sz w:val="20"/>
              </w:rPr>
              <w:t xml:space="preserve">Two things should be set down so that 1,258 is not read in our favour. First, we have not counted how many of them mean anything. The grammar does not stop </w:t>
            </w:r>
            <w:r>
              <w:rPr>
                <w:rFonts w:ascii="Consolas" w:hAnsi="Consolas" w:eastAsia="Consolas"/>
                <w:sz w:val="19"/>
              </w:rPr>
              <w:t>\inhaler{\food_bowl}</w:t>
            </w:r>
            <w:r>
              <w:rPr>
                <w:rFonts w:ascii="Times New Roman" w:hAnsi="Times New Roman" w:eastAsia="바탕"/>
                <w:sz w:val="20"/>
              </w:rPr>
              <w:t xml:space="preserve"> (an inhaler with a meal), and that picture says nothing at all. What a grammar guarantees is that a combination is well formed, not that the combination means something, and filtering for meaning is the job of the semantic check in §5.2. Second, the 81 USP symbols are a set validated by asking people, and our 1,258 are not. The two numbers were not measured with the same instrument. What this figure says is not that our set is better but that the two approaches grow in different ways.</w:t>
            </w:r>
          </w:p>
          <w:p>
            <w:pPr>
              <w:spacing w:after="80" w:line="276" w:lineRule="auto"/>
              <w:jc w:val="both"/>
            </w:pPr>
            <w:r>
              <w:rPr>
                <w:rFonts w:ascii="Times New Roman" w:hAnsi="Times New Roman" w:eastAsia="바탕"/>
                <w:sz w:val="20"/>
              </w:rPr>
              <w:t>Where this difference actually shows is in the part that records concepts the app could not build (step 4 in §5.10). With a fixed list, meeting a picture that does not exist is the end of it, whereas with a grammar what was missing remains at the level of the morpheme, which settles what to add next.</w:t>
            </w:r>
          </w:p>
          <w:p>
            <w:pPr>
              <w:spacing w:after="80" w:line="276" w:lineRule="auto"/>
              <w:jc w:val="both"/>
            </w:pPr>
            <w:r>
              <w:rPr>
                <w:rFonts w:ascii="Times New Roman" w:hAnsi="Times New Roman" w:eastAsia="바탕"/>
                <w:sz w:val="20"/>
              </w:rPr>
              <w:t>That comprehension varies by culture and that culturally adapted versions are needed is already shown in Table 6.</w:t>
            </w:r>
          </w:p>
          <w:p>
            <w:pPr>
              <w:spacing w:after="80" w:line="276" w:lineRule="auto"/>
              <w:jc w:val="both"/>
            </w:pPr>
            <w:r>
              <w:rPr>
                <w:rFonts w:ascii="Times New Roman" w:hAnsi="Times New Roman" w:eastAsia="바탕"/>
                <w:sz w:val="20"/>
              </w:rPr>
              <w:t>An answer against this section's conclusion came out of our survey, so it is set down as written. At the end of the survey we left open "anything you would add that we did not ask", and Professor Atif Usman of The Islamia University of Bahawalpur in Pakistan wrote in that box:</w:t>
            </w:r>
          </w:p>
          <w:p>
            <w:pPr>
              <w:spacing w:after="40" w:line="276" w:lineRule="auto"/>
              <w:ind w:left="403"/>
            </w:pPr>
            <w:r>
              <w:rPr>
                <w:rFonts w:ascii="Times New Roman" w:hAnsi="Times New Roman" w:eastAsia="바탕"/>
                <w:i/>
                <w:color w:val="606068"/>
                <w:sz w:val="19"/>
              </w:rPr>
              <w:t>"Also, refer to USP pictograms instead of developing a new set. You can definitely develop your own when and if these are not available elsewhere to suit your local context."</w:t>
            </w:r>
          </w:p>
          <w:p>
            <w:pPr>
              <w:spacing w:after="180" w:line="276" w:lineRule="auto"/>
              <w:ind w:left="403"/>
            </w:pPr>
            <w:r>
              <w:rPr>
                <w:rFonts w:ascii="Times New Roman" w:hAnsi="Times New Roman" w:eastAsia="바탕"/>
                <w:i w:val="0"/>
                <w:color w:val="606068"/>
                <w:sz w:val="19"/>
              </w:rPr>
              <w:t>(Professor Atif Usman, The Islamia University of Bahawalpur)</w:t>
            </w:r>
          </w:p>
          <w:p>
            <w:pPr>
              <w:spacing w:after="80" w:line="276" w:lineRule="auto"/>
              <w:jc w:val="both"/>
            </w:pPr>
            <w:r>
              <w:rPr>
                <w:rFonts w:ascii="Times New Roman" w:hAnsi="Times New Roman" w:eastAsia="바탕"/>
                <w:sz w:val="20"/>
              </w:rPr>
              <w:t>This whole section argues why a new set has to be made, and the answer from the field is not to. Our reply is the second licence condition set out above: USP forbids overlaying or joining symbols, so there is no way to build one compound instruction into one picture while observing the standard. But the answer cannot be called wrong. For an instruction that needs no composition, using USP is right, and among our 78 the ones that stand alone could indeed have been replaced by USP. We built the whole set new because we did not want to mix composable and non-composable symbols inside one set, and that is a judgement rather than a necessity.</w:t>
            </w:r>
          </w:p>
          <w:p>
            <w:pPr>
              <w:spacing w:before="180" w:after="40"/>
            </w:pPr>
            <w:r>
              <w:rPr>
                <w:rFonts w:ascii="Times New Roman" w:hAnsi="Times New Roman" w:eastAsia="바탕"/>
                <w:b/>
                <w:sz w:val="23"/>
              </w:rPr>
              <w:t>1.10 Prior work on interfaces for low-literate users</w:t>
            </w:r>
          </w:p>
          <w:p>
            <w:pPr>
              <w:spacing w:after="80" w:line="276" w:lineRule="auto"/>
              <w:jc w:val="both"/>
            </w:pPr>
            <w:r>
              <w:rPr>
                <w:rFonts w:ascii="Times New Roman" w:hAnsi="Times New Roman" w:eastAsia="바탕"/>
                <w:sz w:val="20"/>
              </w:rPr>
              <w:t>Research on interfaces for low-literate users shows that removing text is a necessary condition rather than a sufficient one.</w:t>
            </w:r>
          </w:p>
          <w:p>
            <w:pPr>
              <w:spacing w:after="80" w:line="276" w:lineRule="auto"/>
              <w:jc w:val="both"/>
            </w:pPr>
            <w:r>
              <w:rPr>
                <w:rFonts w:ascii="Times New Roman" w:hAnsi="Times New Roman" w:eastAsia="바탕"/>
                <w:sz w:val="20"/>
              </w:rPr>
              <w:t xml:space="preserve">Medhi et al. built a text-free interface through ethnographic design with non-literate domestic workers in a Bangalore slum, with the criterion that it be "usable without anyone's intervention" (Medhi, I., Sagar, A. &amp; Toyama, K., "Text-Free User Interfaces for Illiterate and Semi-Literate Users," </w:t>
            </w:r>
            <w:r>
              <w:rPr>
                <w:rFonts w:ascii="Times New Roman" w:hAnsi="Times New Roman" w:eastAsia="바탕"/>
                <w:i/>
                <w:sz w:val="20"/>
              </w:rPr>
              <w:t>Information Technologies and International Development</w:t>
            </w:r>
            <w:r>
              <w:rPr>
                <w:rFonts w:ascii="Times New Roman" w:hAnsi="Times New Roman" w:eastAsia="바탕"/>
                <w:sz w:val="20"/>
              </w:rPr>
              <w:t>, 4(1):37–50, 2007). That criterion means creating no step that requires explanation.</w:t>
            </w:r>
          </w:p>
          <w:p>
            <w:pPr>
              <w:spacing w:after="80" w:line="276" w:lineRule="auto"/>
              <w:jc w:val="both"/>
            </w:pPr>
            <w:r>
              <w:rPr>
                <w:rFonts w:ascii="Times New Roman" w:hAnsi="Times New Roman" w:eastAsia="바탕"/>
                <w:sz w:val="20"/>
              </w:rPr>
              <w:t xml:space="preserve">Follow-up work surveying 400 low-literate, low-income people in India, the Philippines and South Africa found the barriers to include cognitive difficulty, cultural etiquette, prior exposure, intimidation, mediation, motivation, cost, power relations and social standing as well as literacy (Medhi, I., Cutrell, E. &amp; Toyama, K., "It's not just illiteracy," </w:t>
            </w:r>
            <w:r>
              <w:rPr>
                <w:rFonts w:ascii="Times New Roman" w:hAnsi="Times New Roman" w:eastAsia="바탕"/>
                <w:i/>
                <w:sz w:val="20"/>
              </w:rPr>
              <w:t>Proc. International Conference on Interaction Design &amp; International Development</w:t>
            </w:r>
            <w:r>
              <w:rPr>
                <w:rFonts w:ascii="Times New Roman" w:hAnsi="Times New Roman" w:eastAsia="바탕"/>
                <w:sz w:val="20"/>
              </w:rPr>
              <w:t>, 2010).</w:t>
            </w:r>
          </w:p>
          <w:p>
            <w:pPr>
              <w:spacing w:after="80" w:line="276" w:lineRule="auto"/>
              <w:jc w:val="both"/>
            </w:pPr>
            <w:r>
              <w:rPr>
                <w:rFonts w:ascii="Times New Roman" w:hAnsi="Times New Roman" w:eastAsia="바탕"/>
                <w:sz w:val="20"/>
              </w:rPr>
              <w:t>A structural problem was confirmed as well. In an experiment asking 20 non-literate adults in a Bangalore slum to find 5 items out of 40 on a touchscreen phone, a multi-page list spread over 7 pages took 25 seconds on average while a hierarchy 4 levels deep took 65.5 seconds (</w:t>
            </w:r>
            <w:r>
              <w:rPr>
                <w:rFonts w:ascii="Times New Roman" w:hAnsi="Times New Roman" w:eastAsia="바탕"/>
                <w:i/>
                <w:sz w:val="20"/>
              </w:rPr>
              <w:t>t</w:t>
            </w:r>
            <w:r>
              <w:rPr>
                <w:rFonts w:ascii="Times New Roman" w:hAnsi="Times New Roman" w:eastAsia="바탕"/>
                <w:sz w:val="20"/>
              </w:rPr>
              <w:t xml:space="preserve">(18) = 4.6, </w:t>
            </w:r>
            <w:r>
              <w:rPr>
                <w:rFonts w:ascii="Times New Roman" w:hAnsi="Times New Roman" w:eastAsia="바탕"/>
                <w:i/>
                <w:sz w:val="20"/>
              </w:rPr>
              <w:t>p</w:t>
            </w:r>
            <w:r>
              <w:rPr>
                <w:rFonts w:ascii="Times New Roman" w:hAnsi="Times New Roman" w:eastAsia="바탕"/>
                <w:sz w:val="20"/>
              </w:rPr>
              <w:t xml:space="preserve"> &lt; 0.001). Accuracy also split, at 100% for the list against 80% for the hierarchy (</w:t>
            </w:r>
            <w:r>
              <w:rPr>
                <w:rFonts w:ascii="Times New Roman" w:hAnsi="Times New Roman" w:eastAsia="바탕"/>
                <w:i/>
                <w:sz w:val="20"/>
              </w:rPr>
              <w:t>t</w:t>
            </w:r>
            <w:r>
              <w:rPr>
                <w:rFonts w:ascii="Times New Roman" w:hAnsi="Times New Roman" w:eastAsia="바탕"/>
                <w:sz w:val="20"/>
              </w:rPr>
              <w:t xml:space="preserve">(18) = −3, </w:t>
            </w:r>
            <w:r>
              <w:rPr>
                <w:rFonts w:ascii="Times New Roman" w:hAnsi="Times New Roman" w:eastAsia="바탕"/>
                <w:i/>
                <w:sz w:val="20"/>
              </w:rPr>
              <w:t>p</w:t>
            </w:r>
            <w:r>
              <w:rPr>
                <w:rFonts w:ascii="Times New Roman" w:hAnsi="Times New Roman" w:eastAsia="바탕"/>
                <w:sz w:val="20"/>
              </w:rPr>
              <w:t xml:space="preserve"> = 0.0077) (Medhi, I., Toyama, K., Joshi, A., Athavankar, U. &amp; Cutrell, E., "A Comparison of List vs. Hierarchical UIs on Mobile Phones for Non-literate Users," </w:t>
            </w:r>
            <w:r>
              <w:rPr>
                <w:rFonts w:ascii="Times New Roman" w:hAnsi="Times New Roman" w:eastAsia="바탕"/>
                <w:i/>
                <w:sz w:val="20"/>
              </w:rPr>
              <w:t>INTERACT 2013</w:t>
            </w:r>
            <w:r>
              <w:rPr>
                <w:rFonts w:ascii="Times New Roman" w:hAnsi="Times New Roman" w:eastAsia="바탕"/>
                <w:sz w:val="20"/>
              </w:rPr>
              <w:t>, LNCS 8118:497–504, doi:10.1007/978-3-642-40480-1_33).</w:t>
            </w:r>
          </w:p>
          <w:p>
            <w:pPr>
              <w:spacing w:after="80" w:line="276" w:lineRule="auto"/>
              <w:jc w:val="both"/>
            </w:pPr>
            <w:r>
              <w:rPr>
                <w:rFonts w:ascii="Times New Roman" w:hAnsi="Times New Roman" w:eastAsia="바탕"/>
                <w:sz w:val="20"/>
              </w:rPr>
              <w:t xml:space="preserve">Another group found the same failure on a different task. In a study asking 10 patients with stage 5 chronic kidney disease (three at or below third grade on the REALM test, three at seventh to eighth grade, four at or above ninth grade) to estimate food portions on a handheld device, the results split by screen. On the liquids screen all ten estimated the coffee correctly but seven the water, and on the amorphous screen eight estimated the mashed potatoes and eight the spaghetti. The solid-food side divides into three. On the shapes screen two got the apple and five the pizza; on the portions screen four got the apple and five the pizza. And </w:t>
            </w:r>
            <w:r>
              <w:rPr>
                <w:rFonts w:ascii="Times New Roman" w:hAnsi="Times New Roman" w:eastAsia="바탕"/>
                <w:b/>
                <w:sz w:val="20"/>
              </w:rPr>
              <w:t>on the measurements screen not one participant succeeded in measuring all three dimensions of the steak.</w:t>
            </w:r>
            <w:r>
              <w:rPr>
                <w:rFonts w:ascii="Times New Roman" w:hAnsi="Times New Roman" w:eastAsia="바탕"/>
                <w:sz w:val="20"/>
              </w:rPr>
              <w:t xml:space="preserve"> What the authors observed was that participants could not decide which image to select and kept forgetting which dimension they had already measured (Chaudry, B., Connelly, K., Siek, K. A. &amp; Welch, J. L., "The design of a mobile portion size estimation interface for a low literacy population," </w:t>
            </w:r>
            <w:r>
              <w:rPr>
                <w:rFonts w:ascii="Times New Roman" w:hAnsi="Times New Roman" w:eastAsia="바탕"/>
                <w:i/>
                <w:sz w:val="20"/>
              </w:rPr>
              <w:t>International Conference on Pervasive Computing Technologies for Healthcare</w:t>
            </w:r>
            <w:r>
              <w:rPr>
                <w:rFonts w:ascii="Times New Roman" w:hAnsi="Times New Roman" w:eastAsia="바탕"/>
                <w:sz w:val="20"/>
              </w:rPr>
              <w:t>, 160–167, 2011, doi:10.4108/icst.pervasivehealth.2011.246113).</w:t>
            </w:r>
          </w:p>
          <w:p>
            <w:pPr>
              <w:spacing w:after="80" w:line="276" w:lineRule="auto"/>
              <w:jc w:val="both"/>
            </w:pPr>
            <w:r>
              <w:rPr>
                <w:rFonts w:ascii="Times New Roman" w:hAnsi="Times New Roman" w:eastAsia="바탕"/>
                <w:sz w:val="20"/>
              </w:rPr>
              <w:t>Different task, different group, same reason for failing. The screen asked the user to hold something in their head. In the earlier study it was how far down they had gone; here it is which dimension they had already measured. SnapCare removed the steps not to reduce the number of screens but to remove that demand.</w:t>
            </w:r>
          </w:p>
          <w:p>
            <w:pPr>
              <w:spacing w:after="80" w:line="276" w:lineRule="auto"/>
              <w:jc w:val="both"/>
            </w:pPr>
            <w:r>
              <w:rPr>
                <w:rFonts w:ascii="Times New Roman" w:hAnsi="Times New Roman" w:eastAsia="바탕"/>
                <w:sz w:val="20"/>
              </w:rPr>
              <w:t>If those two studies concern structure inside the screen, one response in §5.7 points at what happens before the screen is reached. Professor Namsoo Park of Hyupsung University wrote that how well people who cannot read handle a mobile device has to be examined first, giving as an example that this app's profile-setup screen carries the instruction "select any that apply to you". Anyone who cannot read that instruction is stopped at that screen.</w:t>
            </w:r>
          </w:p>
          <w:p>
            <w:pPr>
              <w:spacing w:after="80" w:line="276" w:lineRule="auto"/>
              <w:jc w:val="both"/>
            </w:pPr>
            <w:r>
              <w:rPr>
                <w:rFonts w:ascii="Times New Roman" w:hAnsi="Times New Roman" w:eastAsia="바탕"/>
                <w:sz w:val="20"/>
              </w:rPr>
              <w:t>The opening sentence of this section, that removing text is a necessary condition, is confirmed once more here. We wrote that text had been removed from the path to a verdict (§2.1), and text was still sitting on the setup screen before it. The survey found for us that what we decided to remove and what we actually removed were different.</w:t>
            </w:r>
          </w:p>
          <w:p>
            <w:pPr>
              <w:spacing w:after="80" w:line="276" w:lineRule="auto"/>
              <w:jc w:val="both"/>
            </w:pPr>
            <w:r>
              <w:rPr>
                <w:rFonts w:ascii="Times New Roman" w:hAnsi="Times New Roman" w:eastAsia="바탕"/>
                <w:sz w:val="20"/>
              </w:rPr>
              <w:t xml:space="preserve">Work from another group belongs here too. A study built a multimedia patient-reported outcomes measure for low-literacy patients through human-centred design, with 17 adults (12 patients, 3 caregivers, 2 clinic staff), 46% of whom scored as low literacy on REALM-SF. Six features went in: audio narration on every question, animations showing the task being asked about, icons that switch the multimedia on and off, gender-neutral and ethnically diverse avatars, a progress indicator, and an illustrated response scale (Azad, C. L., Beres, L. K., Wu, A. W., Fong, A. &amp; Giladi, A. M., "Developing a multimedia patient-reported outcomes measure for low literacy patients with a human-centered design approach," </w:t>
            </w:r>
            <w:r>
              <w:rPr>
                <w:rFonts w:ascii="Times New Roman" w:hAnsi="Times New Roman" w:eastAsia="바탕"/>
                <w:i/>
                <w:sz w:val="20"/>
              </w:rPr>
              <w:t>PLOS ONE</w:t>
            </w:r>
            <w:r>
              <w:rPr>
                <w:rFonts w:ascii="Times New Roman" w:hAnsi="Times New Roman" w:eastAsia="바탕"/>
                <w:sz w:val="20"/>
              </w:rPr>
              <w:t>, 19(6):e0304351, 2024, doi:10.1371/journal.pone.0304351).</w:t>
            </w:r>
          </w:p>
          <w:p>
            <w:pPr>
              <w:spacing w:after="80" w:line="276" w:lineRule="auto"/>
              <w:jc w:val="both"/>
            </w:pPr>
            <w:r>
              <w:rPr>
                <w:rFonts w:ascii="Times New Roman" w:hAnsi="Times New Roman" w:eastAsia="바탕"/>
                <w:sz w:val="20"/>
              </w:rPr>
              <w:t>That study parts from us at two points. First, the authors divided users by literacy into three (non-literate, slow reader, literate). It is the same kind of judgement Associate Professor Hangil Lee asked for in §1.5 when he separated total blindness, low vision and low literacy, and we designed for those three as one. Second, the authors made the multimedia switchable by icon, so that higher-literacy users pass it by and only lower-literacy users receive it, whereas this app sends the speech to everyone (§3.5). Which is right, neither that study nor ours settled by asking people.</w:t>
            </w:r>
          </w:p>
          <w:p>
            <w:pPr>
              <w:spacing w:after="80" w:line="276" w:lineRule="auto"/>
              <w:jc w:val="both"/>
            </w:pPr>
            <w:r>
              <w:rPr>
                <w:rFonts w:ascii="Times New Roman" w:hAnsi="Times New Roman" w:eastAsia="바탕"/>
                <w:sz w:val="20"/>
              </w:rPr>
              <w:t>What the same literature records about icons is set down as well: icons are often semantically opaque to low-literacy users, abstract symbols in particular fail to cross cultural and literacy barriers, and users prefer concrete, photorealistic representations to stylised glyphs. The last of those runs directly against our design. The set in §2.2 is a black-and-white silhouette, chosen so that it survives at 32 pixels (§5.2). Surviving and being preferred may not point the same way, and that divergence is an item for the field evaluation of §5.10.</w:t>
            </w:r>
          </w:p>
          <w:p>
            <w:pPr>
              <w:spacing w:after="80" w:line="276" w:lineRule="auto"/>
              <w:jc w:val="both"/>
            </w:pPr>
            <w:r>
              <w:rPr>
                <w:rFonts w:ascii="Times New Roman" w:hAnsi="Times New Roman" w:eastAsia="바탕"/>
                <w:sz w:val="20"/>
              </w:rPr>
              <w:t>The authors locate the cause in the understanding of nesting itself. Some participants did not grasp that a higher-level picture in the hierarchy stood for a bundle of items beneath it, and some could not remember how to return upward after entering the wrong branch. Turning pages was not itself the problem. The problem is having to hold in mind how far down one has gone.</w:t>
            </w:r>
          </w:p>
          <w:p>
            <w:pPr>
              <w:spacing w:after="80" w:line="276" w:lineRule="auto"/>
              <w:jc w:val="both"/>
            </w:pPr>
            <w:r>
              <w:rPr>
                <w:rFonts w:ascii="Times New Roman" w:hAnsi="Times New Roman" w:eastAsia="바탕"/>
                <w:sz w:val="20"/>
              </w:rPr>
              <w:t>The limitation the authors set down themselves belongs here as well. The experiment had no control group of literate readers. The authors wrote that they therefore cannot rule out that literate users would also have been comparably slow on the hierarchical UI under the same conditions, and they named this a limitation of their study. On this evidence, then, one cannot say that difficulty with hierarchy is peculiar to non-literate users.</w:t>
            </w:r>
          </w:p>
          <w:p>
            <w:pPr>
              <w:spacing w:after="80" w:line="276" w:lineRule="auto"/>
              <w:jc w:val="both"/>
            </w:pPr>
            <w:r>
              <w:rPr>
                <w:rFonts w:ascii="Times New Roman" w:hAnsi="Times New Roman" w:eastAsia="바탕"/>
                <w:sz w:val="20"/>
              </w:rPr>
              <w:t>Stating that limitation in fact favours our design. The mechanism the authors point to is not the ability to read but the memory load of holding in mind how far down one has come. If that is right, a screen with the hierarchy removed is not an accommodation that works only for low-literacy users but a structure that works for everyone. It runs the same way as the decision in §1.5 to design for total blindness, low vision and low literacy as one, and it is also why this app flattens its screens to a single layer in §3.2.</w:t>
            </w:r>
          </w:p>
          <w:p>
            <w:pPr>
              <w:spacing w:after="80" w:line="276" w:lineRule="auto"/>
              <w:jc w:val="both"/>
            </w:pPr>
            <w:r>
              <w:rPr>
                <w:rFonts w:ascii="Times New Roman" w:hAnsi="Times New Roman" w:eastAsia="바탕"/>
                <w:sz w:val="20"/>
              </w:rPr>
              <w:t>All of this prior work is other people's making, measured by other people. To hear the same thing said about ours, the survey asked "where it could be misread", and Yonghan Lee, Senior Manager at the Korea Craft and Design Foundation, answered:</w:t>
            </w:r>
          </w:p>
          <w:p>
            <w:pPr>
              <w:spacing w:after="40" w:line="276" w:lineRule="auto"/>
              <w:ind w:left="403"/>
            </w:pPr>
            <w:r>
              <w:rPr>
                <w:rFonts w:ascii="Times New Roman" w:hAnsi="Times New Roman" w:eastAsia="바탕"/>
                <w:i/>
                <w:color w:val="606068"/>
                <w:sz w:val="19"/>
              </w:rPr>
              <w:t>"The images clearly reflect a lot of thought, but they need to land more intuitively. The image for washing your hands before taking it, for instance, is not intuitive. A hand under a running tap would come across far better. In fact many pictograms of this kind have already been developed, so it would be good to consult and borrow from them."</w:t>
            </w:r>
          </w:p>
          <w:p>
            <w:pPr>
              <w:spacing w:after="180" w:line="276" w:lineRule="auto"/>
              <w:ind w:left="403"/>
            </w:pPr>
            <w:r>
              <w:rPr>
                <w:rFonts w:ascii="Times New Roman" w:hAnsi="Times New Roman" w:eastAsia="바탕"/>
                <w:i w:val="0"/>
                <w:color w:val="606068"/>
                <w:sz w:val="19"/>
              </w:rPr>
              <w:t>(Yonghan Lee, Senior Manager, Korea Craft and Design Foundation)</w:t>
            </w:r>
          </w:p>
          <w:p>
            <w:pPr>
              <w:spacing w:after="80" w:line="276" w:lineRule="auto"/>
              <w:jc w:val="both"/>
            </w:pPr>
            <w:r>
              <w:rPr>
                <w:rFonts w:ascii="Times New Roman" w:hAnsi="Times New Roman" w:eastAsia="바탕"/>
                <w:sz w:val="20"/>
              </w:rPr>
              <w:t xml:space="preserve">Where the papers above say "they do not grasp the hierarchy", this answer goes one step more concrete. It names which picture fails to read and why, and offers the alternative. We took the point and redrew </w:t>
            </w:r>
            <w:r>
              <w:rPr>
                <w:rFonts w:ascii="Consolas" w:hAnsi="Consolas" w:eastAsia="Consolas"/>
                <w:sz w:val="19"/>
              </w:rPr>
              <w:t>hand_wash</w:t>
            </w:r>
            <w:r>
              <w:rPr>
                <w:rFonts w:ascii="Times New Roman" w:hAnsi="Times New Roman" w:eastAsia="바탕"/>
                <w:sz w:val="20"/>
              </w:rPr>
              <w:t xml:space="preserve"> as a hand under a running tap (§5.7.13). Three responses actually changed a picture: this one, </w:t>
            </w:r>
            <w:r>
              <w:rPr>
                <w:rFonts w:ascii="Consolas" w:hAnsi="Consolas" w:eastAsia="Consolas"/>
                <w:sz w:val="19"/>
              </w:rPr>
              <w:t>allergen_egg</w:t>
            </w:r>
            <w:r>
              <w:rPr>
                <w:rFonts w:ascii="Times New Roman" w:hAnsi="Times New Roman" w:eastAsia="바탕"/>
                <w:sz w:val="20"/>
              </w:rPr>
              <w:t xml:space="preserve">, and </w:t>
            </w:r>
            <w:r>
              <w:rPr>
                <w:rFonts w:ascii="Consolas" w:hAnsi="Consolas" w:eastAsia="Consolas"/>
                <w:sz w:val="19"/>
              </w:rPr>
              <w:t>finish_course</w:t>
            </w:r>
            <w:r>
              <w:rPr>
                <w:rFonts w:ascii="Times New Roman" w:hAnsi="Times New Roman" w:eastAsia="바탕"/>
                <w:sz w:val="20"/>
              </w:rPr>
              <w:t>, which followed a suggestion from Pharmacy Lecturer Sheron Sir Loon Goh. What the prior work told us was where to be careful; what the survey told us was what to fix.</w:t>
            </w:r>
          </w:p>
          <w:p>
            <w:pPr>
              <w:spacing w:before="180" w:after="40"/>
            </w:pPr>
            <w:r>
              <w:rPr>
                <w:rFonts w:ascii="Times New Roman" w:hAnsi="Times New Roman" w:eastAsia="바탕"/>
                <w:b/>
                <w:sz w:val="23"/>
              </w:rPr>
              <w:t>1.11 The problem in summary</w:t>
            </w:r>
          </w:p>
          <w:p>
            <w:pPr>
              <w:spacing w:after="80" w:line="276" w:lineRule="auto"/>
              <w:jc w:val="both"/>
            </w:pPr>
            <w:r>
              <w:rPr>
                <w:rFonts w:ascii="Times New Roman" w:hAnsi="Times New Roman" w:eastAsia="바탕"/>
                <w:sz w:val="20"/>
              </w:rPr>
              <w:t>The discussion so far comes to five points.</w:t>
            </w:r>
          </w:p>
          <w:p>
            <w:pPr>
              <w:spacing w:after="80" w:line="276" w:lineRule="auto"/>
              <w:jc w:val="both"/>
            </w:pPr>
            <w:r>
              <w:rPr>
                <w:rFonts w:ascii="Times New Roman" w:hAnsi="Times New Roman" w:eastAsia="바탕"/>
                <w:sz w:val="20"/>
              </w:rPr>
              <w:t xml:space="preserve">First, scale. There are 739 million non-literate adults, and in some regions the absolute number is rising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Applying a health literacy criterion widens the target further. Health literacy is not sufficient for 39.6% of Korean adults and 59.7% of those aged 65 and over (Korea Disease Control and Prevention Agency, </w:t>
            </w:r>
            <w:r>
              <w:rPr>
                <w:rFonts w:ascii="Times New Roman" w:hAnsi="Times New Roman" w:eastAsia="바탕"/>
                <w:i/>
                <w:sz w:val="20"/>
              </w:rPr>
              <w:t>Korea National Health and Nutrition Examination Survey, 9th cycle, year 2</w:t>
            </w:r>
            <w:r>
              <w:rPr>
                <w:rFonts w:ascii="Times New Roman" w:hAnsi="Times New Roman" w:eastAsia="바탕"/>
                <w:sz w:val="20"/>
              </w:rPr>
              <w:t>, 2023).</w:t>
            </w:r>
          </w:p>
          <w:p>
            <w:pPr>
              <w:spacing w:after="80" w:line="276" w:lineRule="auto"/>
              <w:jc w:val="both"/>
            </w:pPr>
            <w:r>
              <w:rPr>
                <w:rFonts w:ascii="Times New Roman" w:hAnsi="Times New Roman" w:eastAsia="바탕"/>
                <w:sz w:val="20"/>
              </w:rPr>
              <w:t xml:space="preserve">Second, cost. Medication errors generate 42 billion dollars a year in costs (World Health Organization, </w:t>
            </w:r>
            <w:r>
              <w:rPr>
                <w:rFonts w:ascii="Times New Roman" w:hAnsi="Times New Roman" w:eastAsia="바탕"/>
                <w:i/>
                <w:sz w:val="20"/>
              </w:rPr>
              <w:t>Medication Without Harm: WHO Global Patient Safety Challenge</w:t>
            </w:r>
            <w:r>
              <w:rPr>
                <w:rFonts w:ascii="Times New Roman" w:hAnsi="Times New Roman" w:eastAsia="바탕"/>
                <w:sz w:val="20"/>
              </w:rPr>
              <w:t xml:space="preserve">, WHO/HIS/SDS/2017.6, 2017), and in 2019 deaths directly attributable to bacterial antimicrobial resistance numbered 1.27 million, more than HIV/AIDS or malaria (Murray, C. J. L. et al. (Antimicrobial Resistance Collaborators), "Global burden of bacterial antimicrobial resistance in 2019: a systematic analysis," </w:t>
            </w:r>
            <w:r>
              <w:rPr>
                <w:rFonts w:ascii="Times New Roman" w:hAnsi="Times New Roman" w:eastAsia="바탕"/>
                <w:i/>
                <w:sz w:val="20"/>
              </w:rPr>
              <w:t>The Lancet</w:t>
            </w:r>
            <w:r>
              <w:rPr>
                <w:rFonts w:ascii="Times New Roman" w:hAnsi="Times New Roman" w:eastAsia="바탕"/>
                <w:sz w:val="20"/>
              </w:rPr>
              <w:t xml:space="preserve">, 399(10325):629–655, 2022). In 2023 data, one in six laboratory-confirmed bacterial infections showed resistance to antibiotics (World Health Organization, </w:t>
            </w:r>
            <w:r>
              <w:rPr>
                <w:rFonts w:ascii="Times New Roman" w:hAnsi="Times New Roman" w:eastAsia="바탕"/>
                <w:i/>
                <w:sz w:val="20"/>
              </w:rPr>
              <w:t>Global antibiotic resistance surveillance report 2025 (GLASS)</w:t>
            </w:r>
            <w:r>
              <w:rPr>
                <w:rFonts w:ascii="Times New Roman" w:hAnsi="Times New Roman" w:eastAsia="바탕"/>
                <w:sz w:val="20"/>
              </w:rPr>
              <w:t>, 2025).</w:t>
            </w:r>
          </w:p>
          <w:p>
            <w:pPr>
              <w:spacing w:after="80" w:line="276" w:lineRule="auto"/>
              <w:jc w:val="both"/>
            </w:pPr>
            <w:r>
              <w:rPr>
                <w:rFonts w:ascii="Times New Roman" w:hAnsi="Times New Roman" w:eastAsia="바탕"/>
                <w:sz w:val="20"/>
              </w:rPr>
              <w:t xml:space="preserve">Third, the effect and the limits of visual methods. Pictures are remembered better than text (Houts, P. S., Doak, C. C., Doak, L. G. &amp; Loscalzo, M. J., "The role of pictures in improving health communication," </w:t>
            </w:r>
            <w:r>
              <w:rPr>
                <w:rFonts w:ascii="Times New Roman" w:hAnsi="Times New Roman" w:eastAsia="바탕"/>
                <w:i/>
                <w:sz w:val="20"/>
              </w:rPr>
              <w:t>Patient Education and Counseling</w:t>
            </w:r>
            <w:r>
              <w:rPr>
                <w:rFonts w:ascii="Times New Roman" w:hAnsi="Times New Roman" w:eastAsia="바탕"/>
                <w:sz w:val="20"/>
              </w:rPr>
              <w:t xml:space="preserve">, 61(2):173–190, 2006), yet when 108 pharmaceutical pictograms actually produced were tested on 52 Filipino adults only 17 passed the ANSI criterion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15:30, 2022).</w:t>
            </w:r>
          </w:p>
          <w:p>
            <w:pPr>
              <w:spacing w:after="80" w:line="276" w:lineRule="auto"/>
              <w:jc w:val="both"/>
            </w:pPr>
            <w:r>
              <w:rPr>
                <w:rFonts w:ascii="Times New Roman" w:hAnsi="Times New Roman" w:eastAsia="바탕"/>
                <w:sz w:val="20"/>
              </w:rPr>
              <w:t>Fourth, the structural constraint of the standard. The 81 USP symbols are prohibited from being combined, so a compound instruction cannot be made into a single picture (USP Pictogram Library License Agreement).</w:t>
            </w:r>
          </w:p>
          <w:p>
            <w:pPr>
              <w:spacing w:after="80" w:line="276" w:lineRule="auto"/>
              <w:jc w:val="both"/>
            </w:pPr>
            <w:r>
              <w:rPr>
                <w:rFonts w:ascii="Times New Roman" w:hAnsi="Times New Roman" w:eastAsia="바탕"/>
                <w:sz w:val="20"/>
              </w:rPr>
              <w:t xml:space="preserve">Fifth, an open delivery channel. Seventy-eight percent of United States adults aged 65 and over already own a smartphone (Pew Research Center, </w:t>
            </w:r>
            <w:r>
              <w:rPr>
                <w:rFonts w:ascii="Times New Roman" w:hAnsi="Times New Roman" w:eastAsia="바탕"/>
                <w:i/>
                <w:sz w:val="20"/>
              </w:rPr>
              <w:t>Mobile Fact Sheet: Demographics of Mobile Device Ownership and Adoption in the United States</w:t>
            </w:r>
            <w:r>
              <w:rPr>
                <w:rFonts w:ascii="Times New Roman" w:hAnsi="Times New Roman" w:eastAsia="바탕"/>
                <w:sz w:val="20"/>
              </w:rPr>
              <w:t>, 2025).</w:t>
            </w:r>
          </w:p>
          <w:p>
            <w:pPr>
              <w:spacing w:after="80" w:line="276" w:lineRule="auto"/>
              <w:jc w:val="both"/>
            </w:pPr>
            <w:r>
              <w:rPr>
                <w:rFonts w:ascii="Times New Roman" w:hAnsi="Times New Roman" w:eastAsia="바탕"/>
                <w:sz w:val="20"/>
              </w:rPr>
              <w:t>These five point to one conclusion. What is needed is an integrated pipeline that runs automatically from a prescription through to pictograms and speech, that measures whether the result is actually read, and that never requires text.</w:t>
            </w:r>
          </w:p>
          <w:p>
            <w:pPr>
              <w:spacing w:before="160" w:after="60"/>
              <w:jc w:val="center"/>
            </w:pPr>
            <w:r>
              <w:drawing>
                <wp:inline xmlns:a="http://schemas.openxmlformats.org/drawingml/2006/main" xmlns:pic="http://schemas.openxmlformats.org/drawingml/2006/picture">
                  <wp:extent cx="5486400" cy="3474720"/>
                  <wp:docPr id="13" name="Picture 13"/>
                  <wp:cNvGraphicFramePr>
                    <a:graphicFrameLocks noChangeAspect="1"/>
                  </wp:cNvGraphicFramePr>
                  <a:graphic>
                    <a:graphicData uri="http://schemas.openxmlformats.org/drawingml/2006/picture">
                      <pic:pic>
                        <pic:nvPicPr>
                          <pic:cNvPr id="0" name="fig27_synthesis.png"/>
                          <pic:cNvPicPr/>
                        </pic:nvPicPr>
                        <pic:blipFill>
                          <a:blip r:embed="rId30"/>
                          <a:stretch>
                            <a:fillRect/>
                          </a:stretch>
                        </pic:blipFill>
                        <pic:spPr>
                          <a:xfrm>
                            <a:off x="0" y="0"/>
                            <a:ext cx="5486400" cy="347472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13]</w:t>
            </w:r>
            <w:r>
              <w:rPr>
                <w:rFonts w:ascii="Times New Roman" w:hAnsi="Times New Roman" w:eastAsia="바탕"/>
                <w:color w:val="606068"/>
                <w:sz w:val="18"/>
              </w:rPr>
              <w:t xml:space="preserve"> The five strands of chapter 1 and the three things they point to. Every number on the left is quoted exactly as it appears in the preceding sections, and nothing new is claimed here. All this figure does is put in one frame the fact that the five point at the same place. Two of the five on the left are drawn with a heavier border: the cost of the problem and the channel that is already open. The first is the reason to take the problem on, the second the reason it can be taken on now. The red line beneath it is what this section is careful about.</w:t>
            </w:r>
          </w:p>
          <w:p>
            <w:pPr>
              <w:spacing w:after="80" w:line="276" w:lineRule="auto"/>
              <w:jc w:val="both"/>
            </w:pPr>
            <w:r>
              <w:rPr>
                <w:rFonts w:ascii="Times New Roman" w:hAnsi="Times New Roman" w:eastAsia="바탕"/>
                <w:sz w:val="20"/>
              </w:rPr>
              <w:t>Having set out these five strands, we put them to the field. The survey in §5.7 is that, and the result broadly confirmed the five. What differed was how they were confirmed.</w:t>
            </w:r>
          </w:p>
          <w:p>
            <w:pPr>
              <w:spacing w:after="80" w:line="276" w:lineRule="auto"/>
              <w:jc w:val="both"/>
            </w:pPr>
            <w:r>
              <w:rPr>
                <w:rFonts w:ascii="Times New Roman" w:hAnsi="Times New Roman" w:eastAsia="바탕"/>
                <w:sz w:val="20"/>
              </w:rPr>
              <w:t>Scale, the first, the respondents rated lower rather than higher: 18 of 39 answered that they almost never meet such a patient. The visual route, the third, was supported but with a condition attached, namely that pictures help in the low-literacy case and that total blindness and low vision are different layers. On the constraint of the standard, the fourth, two respondents recommended consulting existing sets, which are the very sets §1.9 records as unusable by us. The delivery channel, the fifth, was said to fail at managing the device rather than at owning one.</w:t>
            </w:r>
          </w:p>
          <w:p>
            <w:pPr>
              <w:spacing w:after="80" w:line="276" w:lineRule="auto"/>
              <w:jc w:val="both"/>
            </w:pPr>
            <w:r>
              <w:rPr>
                <w:rFonts w:ascii="Times New Roman" w:hAnsi="Times New Roman" w:eastAsia="바탕"/>
                <w:sz w:val="20"/>
              </w:rPr>
              <w:t>What came up most often was not in the five strands at all. Six respondents independently raised the absence of validation with people, and four of the five who answered the broad question across the five segments chose it as the first thing to resolve. The five strands we used to define the problem all come from the literature, and this finding says that between that literature and our set there is still nothing.</w:t>
            </w:r>
          </w:p>
          <w:p>
            <w:pPr>
              <w:spacing w:after="80" w:line="276" w:lineRule="auto"/>
              <w:jc w:val="both"/>
            </w:pPr>
            <w:r>
              <w:rPr>
                <w:rFonts w:ascii="Times New Roman" w:hAnsi="Times New Roman" w:eastAsia="바탕"/>
                <w:sz w:val="20"/>
              </w:rPr>
              <w:t>We set the evidence this chapter used side by side, by which direction it points. The column that cuts against is the longer one.</w:t>
            </w:r>
          </w:p>
          <w:p>
            <w:pPr>
              <w:spacing w:before="160" w:after="60"/>
              <w:jc w:val="center"/>
            </w:pPr>
            <w:r>
              <w:drawing>
                <wp:inline xmlns:a="http://schemas.openxmlformats.org/drawingml/2006/main" xmlns:pic="http://schemas.openxmlformats.org/drawingml/2006/picture">
                  <wp:extent cx="5486400" cy="2834640"/>
                  <wp:docPr id="14" name="Picture 14"/>
                  <wp:cNvGraphicFramePr>
                    <a:graphicFrameLocks noChangeAspect="1"/>
                  </wp:cNvGraphicFramePr>
                  <a:graphic>
                    <a:graphicData uri="http://schemas.openxmlformats.org/drawingml/2006/picture">
                      <pic:pic>
                        <pic:nvPicPr>
                          <pic:cNvPr id="0" name="chart23_evidence.png"/>
                          <pic:cNvPicPr/>
                        </pic:nvPicPr>
                        <pic:blipFill>
                          <a:blip r:embed="rId31"/>
                          <a:stretch>
                            <a:fillRect/>
                          </a:stretch>
                        </pic:blipFill>
                        <pic:spPr>
                          <a:xfrm>
                            <a:off x="0" y="0"/>
                            <a:ext cx="5486400" cy="28346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14]</w:t>
            </w:r>
            <w:r>
              <w:rPr>
                <w:rFonts w:ascii="Times New Roman" w:hAnsi="Times New Roman" w:eastAsia="바탕"/>
                <w:color w:val="606068"/>
                <w:sz w:val="18"/>
              </w:rPr>
              <w:t xml:space="preserve"> Evidence that supports this approach and evidence that cuts against it. The section number after each item leads to the full citation. The unfavourable column has seven entries to the other's five, and not shortening it is this chapter's method. Two rows on the right are heavy. That the centre of gravity of harm sits at the prescribing stage names the place this app does not intervene, and §1.4 records why we chose the patient stage even so. The last row aims at the form of our own set: low-literacy users are observed to prefer photorealistic images to silhouettes, whereas we chose a black-and-white silhouette so that it survives at 32 pixels (§5.2). Surviving and being preferred may not point the same way. The reason for setting the evidence out this way is that collecting only the favourable half would mean doing to the literature what §5.2 refuses to do to the morphemes.</w:t>
            </w:r>
          </w:p>
          <w:p>
            <w:pPr>
              <w:spacing w:after="80" w:line="276" w:lineRule="auto"/>
              <w:jc w:val="both"/>
            </w:pPr>
            <w:r>
              <w:rPr>
                <w:rFonts w:ascii="Times New Roman" w:hAnsi="Times New Roman" w:eastAsia="바탕"/>
                <w:sz w:val="20"/>
              </w:rPr>
              <w:t>Within the range we searched, no system had all three. Pictogram sets exist but do not combine (§1.9), work addressing combination does not measure comprehension before release, and the studies that did measure comprehension (Table 4) assembled people and measured after the fact once the set was built. This is an observation from the range we looked over while preparing this work rather than the result of a systematic review, so it should be read as "we did not find one" rather than "there is none." This is SnapCare's starting point.</w:t>
            </w:r>
          </w:p>
          <w:p>
            <w:pPr>
              <w:spacing w:after="80" w:line="276" w:lineRule="auto"/>
              <w:jc w:val="both"/>
            </w:pPr>
            <w:r>
              <w:rPr>
                <w:rFonts w:ascii="Times New Roman" w:hAnsi="Times New Roman" w:eastAsia="바탕"/>
                <w:sz w:val="20"/>
              </w:rPr>
              <w:t>Putting these three to the survey brought agreement on the direction with a condition attached. Asked whether a patient who cannot read could take their medicine correctly with only these screens, Myojung Choi, Researcher at the Korea Disabled People's Development Institute, answered:</w:t>
            </w:r>
          </w:p>
          <w:p>
            <w:pPr>
              <w:spacing w:after="40" w:line="276" w:lineRule="auto"/>
              <w:ind w:left="403"/>
            </w:pPr>
            <w:r>
              <w:rPr>
                <w:rFonts w:ascii="Times New Roman" w:hAnsi="Times New Roman" w:eastAsia="바탕"/>
                <w:i/>
                <w:color w:val="606068"/>
                <w:sz w:val="19"/>
              </w:rPr>
              <w:t>"Presenting information on a multi-channel cognitive basis, combining pictogram and sound, seems the right direction. Where one pictogram contains a lot of information, however, clarity of perception can fall, so it needs simplifying around the core information."</w:t>
            </w:r>
          </w:p>
          <w:p>
            <w:pPr>
              <w:spacing w:after="180" w:line="276" w:lineRule="auto"/>
              <w:ind w:left="403"/>
            </w:pPr>
            <w:r>
              <w:rPr>
                <w:rFonts w:ascii="Times New Roman" w:hAnsi="Times New Roman" w:eastAsia="바탕"/>
                <w:i w:val="0"/>
                <w:color w:val="606068"/>
                <w:sz w:val="19"/>
              </w:rPr>
              <w:t>(Myojung Choi, Researcher, Korea Disabled People's Development Institute)</w:t>
            </w:r>
          </w:p>
          <w:p>
            <w:pPr>
              <w:spacing w:after="80" w:line="276" w:lineRule="auto"/>
              <w:jc w:val="both"/>
            </w:pPr>
            <w:r>
              <w:rPr>
                <w:rFonts w:ascii="Times New Roman" w:hAnsi="Times New Roman" w:eastAsia="바탕"/>
                <w:sz w:val="20"/>
              </w:rPr>
              <w:t>The first sentence supports the third of the three above, delivery that does not demand text; the second collides head-on with the first, composition. We set as our conclusion that one instruction should become one picture, and doing so increases what one picture has to carry. The gain from composition and clarity of perception are two ends of one axis, and our design picks a point on that axis rather than getting both.</w:t>
            </w:r>
          </w:p>
          <w:p>
            <w:pPr>
              <w:spacing w:after="80" w:line="276" w:lineRule="auto"/>
              <w:jc w:val="both"/>
            </w:pPr>
            <w:r>
              <w:rPr>
                <w:rFonts w:ascii="Times New Roman" w:hAnsi="Times New Roman" w:eastAsia="바탕"/>
                <w:sz w:val="20"/>
              </w:rPr>
              <w:t>How far that tension can be carried is the ceiling of this approach. Where we handle that tension is not the grammar but the side that uses it. The engine accepts several modifiers on one head: the first goes inside the head's slot and the second onward are laid in a strip above it. The app, however, uses only one modifier per head, and when a body site and a meal context both apply it emits one of them as a separate picture (</w:t>
            </w:r>
            <w:r>
              <w:rPr>
                <w:rFonts w:ascii="Consolas" w:hAnsi="Consolas" w:eastAsia="Consolas"/>
                <w:sz w:val="19"/>
              </w:rPr>
              <w:t>lib/snapcare/sigil.ts</w:t>
            </w:r>
            <w:r>
              <w:rPr>
                <w:rFonts w:ascii="Times New Roman" w:hAnsi="Times New Roman" w:eastAsia="바탕"/>
                <w:sz w:val="20"/>
              </w:rPr>
              <w:t>). What can be piled onto one picture and what still reads once piled on are different things, and this is something we decided rather than something the grammar prevented. The machine evaluation of §5.2 measures whether pictures built that way are read. Where clarity breaks down, though, can only be learned by asking people, and that remains in §5.10.</w:t>
            </w:r>
          </w:p>
          <w:p>
            <w:pPr>
              <w:spacing w:before="180" w:after="40"/>
            </w:pPr>
            <w:r>
              <w:rPr>
                <w:rFonts w:ascii="Times New Roman" w:hAnsi="Times New Roman" w:eastAsia="바탕"/>
                <w:b/>
                <w:sz w:val="23"/>
              </w:rPr>
              <w:t>1.12 How this problem looks in our own two countries</w:t>
            </w:r>
          </w:p>
          <w:p>
            <w:pPr>
              <w:spacing w:after="80" w:line="276" w:lineRule="auto"/>
              <w:jc w:val="both"/>
            </w:pPr>
            <w:r>
              <w:rPr>
                <w:rFonts w:ascii="Times New Roman" w:hAnsi="Times New Roman" w:eastAsia="바탕"/>
                <w:sz w:val="20"/>
              </w:rPr>
              <w:t>The five strands above were counted against the world. This team comes from Korea and Moldova, so they are read again against those two countries, and because the contest form asks how the problem bears on our own school and community.</w:t>
            </w:r>
          </w:p>
          <w:p>
            <w:pPr>
              <w:spacing w:after="80" w:line="276" w:lineRule="auto"/>
              <w:jc w:val="both"/>
            </w:pPr>
            <w:r>
              <w:rPr>
                <w:rFonts w:ascii="Times New Roman" w:hAnsi="Times New Roman" w:eastAsia="바탕"/>
                <w:sz w:val="20"/>
              </w:rPr>
              <w:t>In Korea what characterises this problem is not its size but its invisibility. Adult literacy is effectively close to 100%, so the phrase "people who cannot read" does not land. Yet the Korea Disease Control and Prevention Agency data cited in §1.2 says 39.6% of adults do not have sufficient health literacy, and 59.7% among those aged 65 and over. The distance between reading letters and understanding a dosing instruction opens that wide inside a single country.</w:t>
            </w:r>
          </w:p>
          <w:p>
            <w:pPr>
              <w:spacing w:after="80" w:line="276" w:lineRule="auto"/>
              <w:jc w:val="both"/>
            </w:pPr>
            <w:r>
              <w:rPr>
                <w:rFonts w:ascii="Times New Roman" w:hAnsi="Times New Roman" w:eastAsia="바탕"/>
                <w:sz w:val="20"/>
              </w:rPr>
              <w:t>Our own survey produced the evidence that it goes unseen. Of the 39 respondents in §5.7, 18 answered that they almost never meet such a patient. One wrote:</w:t>
            </w:r>
          </w:p>
          <w:p>
            <w:pPr>
              <w:spacing w:after="40" w:line="276" w:lineRule="auto"/>
              <w:ind w:left="403"/>
            </w:pPr>
            <w:r>
              <w:rPr>
                <w:rFonts w:ascii="Times New Roman" w:hAnsi="Times New Roman" w:eastAsia="바탕"/>
                <w:i/>
                <w:color w:val="606068"/>
                <w:sz w:val="19"/>
              </w:rPr>
              <w:t>"Among Koreans the rate of not being able to read is close to zero, so it is mainly foreign patients. We therefore explain in English."</w:t>
            </w:r>
          </w:p>
          <w:p>
            <w:pPr>
              <w:spacing w:after="180" w:line="276" w:lineRule="auto"/>
              <w:ind w:left="403"/>
            </w:pPr>
            <w:r>
              <w:rPr>
                <w:rFonts w:ascii="Times New Roman" w:hAnsi="Times New Roman" w:eastAsia="바탕"/>
                <w:i w:val="0"/>
                <w:color w:val="606068"/>
                <w:sz w:val="19"/>
              </w:rPr>
              <w:t>(Professor Hwi-Yeol Yun, College of Pharmacy, Chungnam National University)</w:t>
            </w:r>
          </w:p>
          <w:p>
            <w:pPr>
              <w:spacing w:after="80" w:line="276" w:lineRule="auto"/>
              <w:jc w:val="both"/>
            </w:pPr>
            <w:r>
              <w:rPr>
                <w:rFonts w:ascii="Times New Roman" w:hAnsi="Times New Roman" w:eastAsia="바탕"/>
                <w:sz w:val="20"/>
              </w:rPr>
              <w:t>We take that answer as counter-evidence. If national statistics say 39.6% while nearly half of practitioners say they do not meet them, one of the two does not mean there is no problem; it means the problem does not surface in the consulting room. That people who cannot read do not say so is something the prior work cited in §1.10 already observed, and our survey showed it again.</w:t>
            </w:r>
          </w:p>
          <w:p>
            <w:pPr>
              <w:spacing w:after="80" w:line="276" w:lineRule="auto"/>
              <w:jc w:val="both"/>
            </w:pPr>
            <w:r>
              <w:rPr>
                <w:rFonts w:ascii="Times New Roman" w:hAnsi="Times New Roman" w:eastAsia="바탕"/>
                <w:sz w:val="20"/>
              </w:rPr>
              <w:t>The same judgement came once more from a different segment. Asked whether this approach frames the problem correctly, Seunghoon Jung of the Korea Institute of Design Promotion answered:</w:t>
            </w:r>
          </w:p>
          <w:p>
            <w:pPr>
              <w:spacing w:after="40" w:line="276" w:lineRule="auto"/>
              <w:ind w:left="403"/>
            </w:pPr>
            <w:r>
              <w:rPr>
                <w:rFonts w:ascii="Times New Roman" w:hAnsi="Times New Roman" w:eastAsia="바탕"/>
                <w:i/>
                <w:color w:val="606068"/>
                <w:sz w:val="19"/>
              </w:rPr>
              <w:t>"In Korea I do not think there are many adults whose literacy is low enough that they cannot understand Hangul."</w:t>
            </w:r>
          </w:p>
          <w:p>
            <w:pPr>
              <w:spacing w:after="180" w:line="276" w:lineRule="auto"/>
              <w:ind w:left="403"/>
            </w:pPr>
            <w:r>
              <w:rPr>
                <w:rFonts w:ascii="Times New Roman" w:hAnsi="Times New Roman" w:eastAsia="바탕"/>
                <w:i w:val="0"/>
                <w:color w:val="606068"/>
                <w:sz w:val="19"/>
              </w:rPr>
              <w:t>(Seunghoon Jung, Korea Institute of Design Promotion)</w:t>
            </w:r>
          </w:p>
          <w:p>
            <w:pPr>
              <w:spacing w:after="80" w:line="276" w:lineRule="auto"/>
              <w:jc w:val="both"/>
            </w:pPr>
            <w:r>
              <w:rPr>
                <w:rFonts w:ascii="Times New Roman" w:hAnsi="Times New Roman" w:eastAsia="바탕"/>
                <w:sz w:val="20"/>
              </w:rPr>
              <w:t>That the same thing is said from two different positions, pharmacy practice and design, strengthens this section's argument rather than weakening it, because it means this is not one person's impression but common sense widely shared in Korea. The only way that common sense and the national figure of 39.6% can both be true is if reading letters and understanding a dosing instruction are different things, and that gap is where this app stands.</w:t>
            </w:r>
          </w:p>
          <w:p>
            <w:pPr>
              <w:spacing w:after="80" w:line="276" w:lineRule="auto"/>
              <w:jc w:val="both"/>
            </w:pPr>
            <w:r>
              <w:rPr>
                <w:rFonts w:ascii="Times New Roman" w:hAnsi="Times New Roman" w:eastAsia="바탕"/>
                <w:sz w:val="20"/>
              </w:rPr>
              <w:t xml:space="preserve">In Moldova the shape is different. The population is projected to fall by 31% by 2060, the median age to rise from 38 to 47, and the share of older people to more than double to 27%. The disease burden is concentrated in noncommunicable disease, and between 2008 and 2015 diabetes prevalence rose 75% and circulatory disease 41% (Voncina, L., Dozol, A., Volovei, I. &amp; Cetinkaya, V., </w:t>
            </w:r>
            <w:r>
              <w:rPr>
                <w:rFonts w:ascii="Times New Roman" w:hAnsi="Times New Roman" w:eastAsia="바탕"/>
                <w:i/>
                <w:sz w:val="20"/>
              </w:rPr>
              <w:t>Human Development Assessment for Moldova: Background Paper on Health</w:t>
            </w:r>
            <w:r>
              <w:rPr>
                <w:rFonts w:ascii="Times New Roman" w:hAnsi="Times New Roman" w:eastAsia="바탕"/>
                <w:sz w:val="20"/>
              </w:rPr>
              <w:t>, World Bank, 2022). It is a country where the number of people taking several medicines over a long period is rising fast, and with it the number handling those medicines alone at home.</w:t>
            </w:r>
          </w:p>
          <w:p>
            <w:pPr>
              <w:spacing w:after="80" w:line="276" w:lineRule="auto"/>
              <w:jc w:val="both"/>
            </w:pPr>
            <w:r>
              <w:rPr>
                <w:rFonts w:ascii="Times New Roman" w:hAnsi="Times New Roman" w:eastAsia="바탕"/>
                <w:sz w:val="20"/>
              </w:rPr>
              <w:t>Placed side by side, the two make the target of this app plain. In Korea it is a problem that exists but is not seen; in Moldova it is a problem that is going to grow. The first needs a route that reaches the people the consulting room missed; the second needs a tool that scales without adding staff. A design in which one photograph produces a picture and a spoken sentence, computed on the device, treats both the same way.</w:t>
            </w:r>
          </w:p>
          <w:p>
            <w:pPr>
              <w:spacing w:after="80" w:line="276" w:lineRule="auto"/>
              <w:jc w:val="both"/>
            </w:pPr>
            <w:r>
              <w:rPr>
                <w:rFonts w:ascii="Times New Roman" w:hAnsi="Times New Roman" w:eastAsia="바탕"/>
                <w:sz w:val="20"/>
              </w:rPr>
              <w:t>A limit belongs here. We could not find data measuring the relationship between health literacy and primary care use inside Moldova itself. What §1.5 cites is a study of 170 Moldovan migrant women living in Padua, Italy, and being a migrant sample it cannot be carried across to the population inside Moldova. Confirming it in Moldova is part of the field evaluation in §5.10.</w:t>
            </w:r>
          </w:p>
          <w:p>
            <w:pPr>
              <w:spacing w:after="80" w:line="276" w:lineRule="auto"/>
              <w:jc w:val="both"/>
            </w:pPr>
            <w:r>
              <w:rPr>
                <w:rFonts w:ascii="Times New Roman" w:hAnsi="Times New Roman" w:eastAsia="바탕"/>
                <w:sz w:val="20"/>
              </w:rPr>
              <w:t>Once the target is widened in the next section, the Korean half of this section's argument grows heavier rather than lighter. The grounds given for calling it invisible are that 18 of the 39 respondents in §5.7 said they scarcely meet such patients, and that is an answer about patients who cannot read. The conditions §1.13 adds are counted even less than those. Health literacy at least has a figure of 39.6%, whereas we found no statistic within the range of this document that counts people too worn out to take medicine on time, or people who cannot remember whether they took last night's dose. Nor does that arrive in a consulting room as a diagnosis. Saying that this problem is invisible in Korea becomes truer the further the target is widened.</w:t>
            </w:r>
          </w:p>
          <w:p>
            <w:pPr>
              <w:spacing w:before="180" w:after="40"/>
            </w:pPr>
            <w:r>
              <w:rPr>
                <w:rFonts w:ascii="Times New Roman" w:hAnsi="Times New Roman" w:eastAsia="바탕"/>
                <w:b/>
                <w:sz w:val="23"/>
              </w:rPr>
              <w:t>1.13 The range of the target and the design standard</w:t>
            </w:r>
          </w:p>
          <w:p>
            <w:pPr>
              <w:spacing w:after="80" w:line="276" w:lineRule="auto"/>
              <w:jc w:val="both"/>
            </w:pPr>
            <w:r>
              <w:rPr>
                <w:rFonts w:ascii="Times New Roman" w:hAnsi="Times New Roman" w:eastAsia="바탕"/>
                <w:sz w:val="20"/>
              </w:rPr>
              <w:t>The twelve preceding sections have been narrowing toward one condition: the condition in which the content of a prescription never arrives because it cannot be read. This section sets out why that condition is taken as the design standard, and what a design built to it actually reaches.</w:t>
            </w:r>
          </w:p>
          <w:p>
            <w:pPr>
              <w:spacing w:after="80" w:line="276" w:lineRule="auto"/>
              <w:jc w:val="both"/>
            </w:pPr>
            <w:r>
              <w:rPr>
                <w:rFonts w:ascii="Times New Roman" w:hAnsi="Times New Roman" w:eastAsia="바탕"/>
                <w:sz w:val="20"/>
              </w:rPr>
              <w:t>The reason for setting the standard at the harshest condition lies in an inclusion that holds in one direction only. A screen a person who cannot read can understand is also understood by a person who can read, while a screen a reader can understand is not thereby understood by someone who cannot read. There is therefore no need to build two versions aimed at two groups: one version built to the harsher condition covers both. That is why this document describes only one set of screens from §2 onward.</w:t>
            </w:r>
          </w:p>
          <w:p>
            <w:pPr>
              <w:spacing w:after="80" w:line="276" w:lineRule="auto"/>
              <w:jc w:val="both"/>
            </w:pPr>
            <w:r>
              <w:rPr>
                <w:rFonts w:ascii="Times New Roman" w:hAnsi="Times New Roman" w:eastAsia="바탕"/>
                <w:sz w:val="20"/>
              </w:rPr>
              <w:t>That inclusion does not hold on every axis, though. It holds on the axis of comprehensibility. How much sight a screen demands is a separate axis, so a size legible to a user with low vision does not thereby become usable for a blind user. As stated in §1.5, this app begins with a photograph, and taking that photograph remains a barrier for someone who cannot see. Tremor in the hand and the precision an action requires are separate axes in the same way. The table below therefore records, for each condition, which axis is the one that blocks.</w:t>
            </w:r>
          </w:p>
          <w:p>
            <w:pPr>
              <w:spacing w:after="80" w:line="276" w:lineRule="auto"/>
              <w:jc w:val="both"/>
            </w:pPr>
            <w:r>
              <w:rPr>
                <w:rFonts w:ascii="Times New Roman" w:hAnsi="Times New Roman" w:eastAsia="바탕"/>
                <w:sz w:val="20"/>
              </w:rPr>
              <w:t>The grounds for saying that the barrier we designed against is not peculiar to literacy lie inside studies this document already cites. In the hierarchy experiment of §1.10 the authors themselves wrote that, having had no control group of literate readers, they could not say the difficulty of hierarchy was peculiar to non-literate users, and the mechanism they pointed to was the load of holding in mind how far down one had gone. In the portion-estimation experiment in the same section, the one screen out of six on which nobody succeeded was the screen that made people forget which dimension they had already measured. In the interactive voice response study cited in §2.3, what older participants said about the interaction was that it demands attention and concentration in particular. All three point at working memory and attention, and those are resources that can be loaded independently of reading.</w:t>
            </w:r>
          </w:p>
          <w:p>
            <w:pPr>
              <w:spacing w:after="80" w:line="276" w:lineRule="auto"/>
              <w:jc w:val="both"/>
            </w:pPr>
            <w:r>
              <w:rPr>
                <w:rFonts w:ascii="Times New Roman" w:hAnsi="Times New Roman" w:eastAsia="바탕"/>
                <w:sz w:val="20"/>
              </w:rPr>
              <w:t xml:space="preserve">How medication actually breaks down in groups carrying that load has been measured as well. In a systematic review of 66 studies of children and adolescents with attention deficit hyperactivity disorder, the proportion showing good adherence at 12-month follow-up under the most commonly used definition (medication possession ratio of 80% or more) was 22.9%, and mean treatment duration over those 12 months was 170 days (Ferrin, M., Häge, A., Swanson, J., Wong, K. H. T. W., Dittmann, R. W., Banaschewski, T., Coghill, D., Santosh, P. J., Romanos, M., Simonoff, E. &amp; Buitelaar, J. K. (European ADHD Guidelines Group), "Medication adherence and persistence in children and adolescents with attention deficit hyperactivity disorder (ADHD): a systematic review and qualitative update," </w:t>
            </w:r>
            <w:r>
              <w:rPr>
                <w:rFonts w:ascii="Times New Roman" w:hAnsi="Times New Roman" w:eastAsia="바탕"/>
                <w:i/>
                <w:sz w:val="20"/>
              </w:rPr>
              <w:t>European Child &amp; Adolescent Psychiatry</w:t>
            </w:r>
            <w:r>
              <w:rPr>
                <w:rFonts w:ascii="Times New Roman" w:hAnsi="Times New Roman" w:eastAsia="바탕"/>
                <w:sz w:val="20"/>
              </w:rPr>
              <w:t xml:space="preserve">, 34(3):867–882, 2025, doi:10.1007/s00787-024-02538-z). In a study of 124 Parkinson's disease patients taking at least three daily doses, 36.3% reported low adherence, 29.8% medium and only 33.9% high (Straka, I., Minár, M., Škorvánek, M. et al., "Adherence to Pharmacotherapy in Patients With Parkinson's Disease Taking Three and More Daily Doses of Medication," </w:t>
            </w:r>
            <w:r>
              <w:rPr>
                <w:rFonts w:ascii="Times New Roman" w:hAnsi="Times New Roman" w:eastAsia="바탕"/>
                <w:i/>
                <w:sz w:val="20"/>
              </w:rPr>
              <w:t>Frontiers in Neurology</w:t>
            </w:r>
            <w:r>
              <w:rPr>
                <w:rFonts w:ascii="Times New Roman" w:hAnsi="Times New Roman" w:eastAsia="바탕"/>
                <w:sz w:val="20"/>
              </w:rPr>
              <w:t>, 10:799, 2019, doi:10.3389/fneur.2019.00799). The latter bears on this section most directly, because the independent risk factors the authors found for non-adherence were excessive daytime sleepiness, anhedonia and forgetfulness. The diagnosis is Parkinson's disease, but what actually broke adherence was being sleepy, being without drive, and forgetting. Those three also come to anyone, diagnosis or not.</w:t>
            </w:r>
          </w:p>
          <w:p>
            <w:pPr>
              <w:spacing w:after="80" w:line="276" w:lineRule="auto"/>
              <w:jc w:val="both"/>
            </w:pPr>
            <w:r>
              <w:rPr>
                <w:rFonts w:ascii="Times New Roman" w:hAnsi="Times New Roman" w:eastAsia="바탕"/>
                <w:sz w:val="20"/>
              </w:rPr>
              <w:t>The leaps taken in carrying these two studies across should be named. The first looked at children and adolescents, whereas the users this app aims at are mostly adults. That attention deficit hyperactivity disorder can carry into adulthood and that adherence figures for children can be carried across to adults are two different statements, and we hold no evidence for the second. What is taken here is not the proportion but the fact that medication-taking does break down in this group. The second sampled only Parkinson's patients without dementia, so it cannot be carried across to people with severe memory impairment. That the risk factors the authors found fit our argument does not make their sample the same as our target.</w:t>
            </w:r>
          </w:p>
          <w:p>
            <w:pPr>
              <w:spacing w:after="80" w:line="276" w:lineRule="auto"/>
              <w:jc w:val="both"/>
            </w:pPr>
            <w:r>
              <w:rPr>
                <w:rFonts w:ascii="Times New Roman" w:hAnsi="Times New Roman" w:eastAsia="바탕"/>
                <w:sz w:val="20"/>
              </w:rPr>
              <w:t>[Table 7] Target conditions, where each is blocked, and the corresponding function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Condition</w:t>
                  </w:r>
                </w:p>
              </w:tc>
              <w:tc>
                <w:tcPr>
                  <w:tcW w:type="dxa" w:w="2441"/>
                  <w:shd w:val="clear" w:fill="F2F2F2"/>
                </w:tcPr>
                <w:p>
                  <w:r>
                    <w:rPr>
                      <w:rFonts w:ascii="Times New Roman" w:hAnsi="Times New Roman" w:eastAsia="바탕"/>
                      <w:b/>
                      <w:sz w:val="18"/>
                    </w:rPr>
                    <w:t>What blocks</w:t>
                  </w:r>
                </w:p>
              </w:tc>
              <w:tc>
                <w:tcPr>
                  <w:tcW w:type="dxa" w:w="2441"/>
                  <w:shd w:val="clear" w:fill="F2F2F2"/>
                </w:tcPr>
                <w:p>
                  <w:r>
                    <w:rPr>
                      <w:rFonts w:ascii="Times New Roman" w:hAnsi="Times New Roman" w:eastAsia="바탕"/>
                      <w:b/>
                      <w:sz w:val="18"/>
                    </w:rPr>
                    <w:t>Which part of this app reaches it</w:t>
                  </w:r>
                </w:p>
              </w:tc>
              <w:tc>
                <w:tcPr>
                  <w:tcW w:type="dxa" w:w="2441"/>
                  <w:shd w:val="clear" w:fill="F2F2F2"/>
                </w:tcPr>
                <w:p>
                  <w:r>
                    <w:rPr>
                      <w:rFonts w:ascii="Times New Roman" w:hAnsi="Times New Roman" w:eastAsia="바탕"/>
                      <w:b/>
                      <w:sz w:val="18"/>
                    </w:rPr>
                    <w:t>Grounds</w:t>
                  </w:r>
                </w:p>
              </w:tc>
            </w:tr>
            <w:tr>
              <w:tc>
                <w:tcPr>
                  <w:tcW w:type="dxa" w:w="2441"/>
                </w:tcPr>
                <w:p>
                  <w:r>
                    <w:rPr>
                      <w:rFonts w:ascii="Times New Roman" w:hAnsi="Times New Roman" w:eastAsia="바탕"/>
                      <w:b/>
                      <w:sz w:val="18"/>
                    </w:rPr>
                    <w:t>Non-literacy and low literacy</w:t>
                  </w:r>
                </w:p>
              </w:tc>
              <w:tc>
                <w:tcPr>
                  <w:tcW w:type="dxa" w:w="2441"/>
                </w:tcPr>
                <w:p>
                  <w:r>
                    <w:rPr>
                      <w:rFonts w:ascii="Times New Roman" w:hAnsi="Times New Roman" w:eastAsia="바탕"/>
                      <w:sz w:val="18"/>
                    </w:rPr>
                    <w:t>Reading itself</w:t>
                  </w:r>
                </w:p>
              </w:tc>
              <w:tc>
                <w:tcPr>
                  <w:tcW w:type="dxa" w:w="2441"/>
                </w:tcPr>
                <w:p>
                  <w:r>
                    <w:rPr>
                      <w:rFonts w:ascii="Times New Roman" w:hAnsi="Times New Roman" w:eastAsia="바탕"/>
                      <w:sz w:val="18"/>
                    </w:rPr>
                    <w:t>The whole screen, which demands no letters (§2.2), and speech (§2.3)</w:t>
                  </w:r>
                </w:p>
              </w:tc>
              <w:tc>
                <w:tcPr>
                  <w:tcW w:type="dxa" w:w="2441"/>
                </w:tcPr>
                <w:p>
                  <w:r>
                    <w:rPr>
                      <w:rFonts w:ascii="Times New Roman" w:hAnsi="Times New Roman" w:eastAsia="바탕"/>
                      <w:sz w:val="18"/>
                    </w:rPr>
                    <w:t>§1.1 to §1.3 · the design standard</w:t>
                  </w:r>
                </w:p>
              </w:tc>
            </w:tr>
            <w:tr>
              <w:tc>
                <w:tcPr>
                  <w:tcW w:type="dxa" w:w="2441"/>
                </w:tcPr>
                <w:p>
                  <w:r>
                    <w:rPr>
                      <w:rFonts w:ascii="Times New Roman" w:hAnsi="Times New Roman" w:eastAsia="바탕"/>
                      <w:b/>
                      <w:sz w:val="18"/>
                    </w:rPr>
                    <w:t>Dyslexia</w:t>
                  </w:r>
                </w:p>
              </w:tc>
              <w:tc>
                <w:tcPr>
                  <w:tcW w:type="dxa" w:w="2441"/>
                </w:tcPr>
                <w:p>
                  <w:r>
                    <w:rPr>
                      <w:rFonts w:ascii="Times New Roman" w:hAnsi="Times New Roman" w:eastAsia="바탕"/>
                      <w:sz w:val="18"/>
                    </w:rPr>
                    <w:t>The speed and accuracy of reading</w:t>
                  </w:r>
                </w:p>
              </w:tc>
              <w:tc>
                <w:tcPr>
                  <w:tcW w:type="dxa" w:w="2441"/>
                </w:tcPr>
                <w:p>
                  <w:r>
                    <w:rPr>
                      <w:rFonts w:ascii="Times New Roman" w:hAnsi="Times New Roman" w:eastAsia="바탕"/>
                      <w:sz w:val="18"/>
                    </w:rPr>
                    <w:t>As above</w:t>
                  </w:r>
                </w:p>
              </w:tc>
              <w:tc>
                <w:tcPr>
                  <w:tcW w:type="dxa" w:w="2441"/>
                </w:tcPr>
                <w:p>
                  <w:r>
                    <w:rPr>
                      <w:rFonts w:ascii="Times New Roman" w:hAnsi="Times New Roman" w:eastAsia="바탕"/>
                      <w:sz w:val="18"/>
                    </w:rPr>
                    <w:t>Mechanism shared only. We did not measure it</w:t>
                  </w:r>
                </w:p>
              </w:tc>
            </w:tr>
            <w:tr>
              <w:tc>
                <w:tcPr>
                  <w:tcW w:type="dxa" w:w="2441"/>
                </w:tcPr>
                <w:p>
                  <w:r>
                    <w:rPr>
                      <w:rFonts w:ascii="Times New Roman" w:hAnsi="Times New Roman" w:eastAsia="바탕"/>
                      <w:b/>
                      <w:sz w:val="18"/>
                    </w:rPr>
                    <w:t>Attention deficit hyperactivity disorder</w:t>
                  </w:r>
                </w:p>
              </w:tc>
              <w:tc>
                <w:tcPr>
                  <w:tcW w:type="dxa" w:w="2441"/>
                </w:tcPr>
                <w:p>
                  <w:r>
                    <w:rPr>
                      <w:rFonts w:ascii="Times New Roman" w:hAnsi="Times New Roman" w:eastAsia="바탕"/>
                      <w:sz w:val="18"/>
                    </w:rPr>
                    <w:t>Executive function, sustained attention</w:t>
                  </w:r>
                </w:p>
              </w:tc>
              <w:tc>
                <w:tcPr>
                  <w:tcW w:type="dxa" w:w="2441"/>
                </w:tcPr>
                <w:p>
                  <w:r>
                    <w:rPr>
                      <w:rFonts w:ascii="Times New Roman" w:hAnsi="Times New Roman" w:eastAsia="바탕"/>
                      <w:sz w:val="18"/>
                    </w:rPr>
                    <w:t>A verdict finished in one screen and one colour (§3.3), the dispenser's timed prompt (§4.3)</w:t>
                  </w:r>
                </w:p>
              </w:tc>
              <w:tc>
                <w:tcPr>
                  <w:tcW w:type="dxa" w:w="2441"/>
                </w:tcPr>
                <w:p>
                  <w:r>
                    <w:rPr>
                      <w:rFonts w:ascii="Times New Roman" w:hAnsi="Times New Roman" w:eastAsia="바탕"/>
                      <w:sz w:val="18"/>
                    </w:rPr>
                    <w:t xml:space="preserve">22.9% good adherence at 12 months (Ferrin, M., Häge, A., Swanson, J., Wong, K. H. T. W., Dittmann, R. W., Banaschewski, T., Coghill, D., Santosh, P. J., Romanos, M., Simonoff, E. &amp; Buitelaar, J. K. (European ADHD Guidelines Group), "Medication adherence and persistence in children and adolescents with attention deficit hyperactivity disorder (ADHD): a systematic review and qualitative update," </w:t>
                  </w:r>
                  <w:r>
                    <w:rPr>
                      <w:rFonts w:ascii="Times New Roman" w:hAnsi="Times New Roman" w:eastAsia="바탕"/>
                      <w:i/>
                      <w:sz w:val="18"/>
                    </w:rPr>
                    <w:t>European Child &amp; Adolescent Psychiatry</w:t>
                  </w:r>
                  <w:r>
                    <w:rPr>
                      <w:rFonts w:ascii="Times New Roman" w:hAnsi="Times New Roman" w:eastAsia="바탕"/>
                      <w:sz w:val="18"/>
                    </w:rPr>
                    <w:t>, 34(3):867–882, 2025, doi:10.1007/s00787-024-02538-z)</w:t>
                  </w:r>
                </w:p>
              </w:tc>
            </w:tr>
            <w:tr>
              <w:tc>
                <w:tcPr>
                  <w:tcW w:type="dxa" w:w="2441"/>
                </w:tcPr>
                <w:p>
                  <w:r>
                    <w:rPr>
                      <w:rFonts w:ascii="Times New Roman" w:hAnsi="Times New Roman" w:eastAsia="바탕"/>
                      <w:b/>
                      <w:sz w:val="18"/>
                    </w:rPr>
                    <w:t>Burnout, lack of sleep, sustained stress</w:t>
                  </w:r>
                </w:p>
              </w:tc>
              <w:tc>
                <w:tcPr>
                  <w:tcW w:type="dxa" w:w="2441"/>
                </w:tcPr>
                <w:p>
                  <w:r>
                    <w:rPr>
                      <w:rFonts w:ascii="Times New Roman" w:hAnsi="Times New Roman" w:eastAsia="바탕"/>
                      <w:sz w:val="18"/>
                    </w:rPr>
                    <w:t>Temporary decline in attention and drive</w:t>
                  </w:r>
                </w:p>
              </w:tc>
              <w:tc>
                <w:tcPr>
                  <w:tcW w:type="dxa" w:w="2441"/>
                </w:tcPr>
                <w:p>
                  <w:r>
                    <w:rPr>
                      <w:rFonts w:ascii="Times New Roman" w:hAnsi="Times New Roman" w:eastAsia="바탕"/>
                      <w:sz w:val="18"/>
                    </w:rPr>
                    <w:t>As above</w:t>
                  </w:r>
                </w:p>
              </w:tc>
              <w:tc>
                <w:tcPr>
                  <w:tcW w:type="dxa" w:w="2441"/>
                </w:tcPr>
                <w:p>
                  <w:r>
                    <w:rPr>
                      <w:rFonts w:ascii="Times New Roman" w:hAnsi="Times New Roman" w:eastAsia="바탕"/>
                      <w:sz w:val="18"/>
                    </w:rPr>
                    <w:t xml:space="preserve">Sleepiness and anhedonia were independent risk factors in the Parkinson's data (Straka, I., Minár, M., Škorvánek, M. et al., "Adherence to Pharmacotherapy in Patients With Parkinson's Disease Taking Three and More Daily Doses of Medication," </w:t>
                  </w:r>
                  <w:r>
                    <w:rPr>
                      <w:rFonts w:ascii="Times New Roman" w:hAnsi="Times New Roman" w:eastAsia="바탕"/>
                      <w:i/>
                      <w:sz w:val="18"/>
                    </w:rPr>
                    <w:t>Frontiers in Neurology</w:t>
                  </w:r>
                  <w:r>
                    <w:rPr>
                      <w:rFonts w:ascii="Times New Roman" w:hAnsi="Times New Roman" w:eastAsia="바탕"/>
                      <w:sz w:val="18"/>
                    </w:rPr>
                    <w:t>, 10:799, 2019, doi:10.3389/fneur.2019.00799)</w:t>
                  </w:r>
                </w:p>
              </w:tc>
            </w:tr>
            <w:tr>
              <w:tc>
                <w:tcPr>
                  <w:tcW w:type="dxa" w:w="2441"/>
                </w:tcPr>
                <w:p>
                  <w:r>
                    <w:rPr>
                      <w:rFonts w:ascii="Times New Roman" w:hAnsi="Times New Roman" w:eastAsia="바탕"/>
                      <w:b/>
                      <w:sz w:val="18"/>
                    </w:rPr>
                    <w:t>Alzheimer's disease and memory disorders</w:t>
                  </w:r>
                </w:p>
              </w:tc>
              <w:tc>
                <w:tcPr>
                  <w:tcW w:type="dxa" w:w="2441"/>
                </w:tcPr>
                <w:p>
                  <w:r>
                    <w:rPr>
                      <w:rFonts w:ascii="Times New Roman" w:hAnsi="Times New Roman" w:eastAsia="바탕"/>
                      <w:sz w:val="18"/>
                    </w:rPr>
                    <w:t>Memory of what has already been done</w:t>
                  </w:r>
                </w:p>
              </w:tc>
              <w:tc>
                <w:tcPr>
                  <w:tcW w:type="dxa" w:w="2441"/>
                </w:tcPr>
                <w:p>
                  <w:r>
                    <w:rPr>
                      <w:rFonts w:ascii="Times New Roman" w:hAnsi="Times New Roman" w:eastAsia="바탕"/>
                      <w:sz w:val="18"/>
                    </w:rPr>
                    <w:t>The confirming step (§3.8), and the dispenser recording whether a dose was taken</w:t>
                  </w:r>
                </w:p>
              </w:tc>
              <w:tc>
                <w:tcPr>
                  <w:tcW w:type="dxa" w:w="2441"/>
                </w:tcPr>
                <w:p>
                  <w:r>
                    <w:rPr>
                      <w:rFonts w:ascii="Times New Roman" w:hAnsi="Times New Roman" w:eastAsia="바탕"/>
                      <w:sz w:val="18"/>
                    </w:rPr>
                    <w:t>Mechanism shared only. We did not measure it</w:t>
                  </w:r>
                </w:p>
              </w:tc>
            </w:tr>
            <w:tr>
              <w:tc>
                <w:tcPr>
                  <w:tcW w:type="dxa" w:w="2441"/>
                </w:tcPr>
                <w:p>
                  <w:r>
                    <w:rPr>
                      <w:rFonts w:ascii="Times New Roman" w:hAnsi="Times New Roman" w:eastAsia="바탕"/>
                      <w:b/>
                      <w:sz w:val="18"/>
                    </w:rPr>
                    <w:t>Parkinson's disease</w:t>
                  </w:r>
                </w:p>
              </w:tc>
              <w:tc>
                <w:tcPr>
                  <w:tcW w:type="dxa" w:w="2441"/>
                </w:tcPr>
                <w:p>
                  <w:r>
                    <w:rPr>
                      <w:rFonts w:ascii="Times New Roman" w:hAnsi="Times New Roman" w:eastAsia="바탕"/>
                      <w:sz w:val="18"/>
                    </w:rPr>
                    <w:t>Memory and drive, plus complex dosing times</w:t>
                  </w:r>
                </w:p>
              </w:tc>
              <w:tc>
                <w:tcPr>
                  <w:tcW w:type="dxa" w:w="2441"/>
                </w:tcPr>
                <w:p>
                  <w:r>
                    <w:rPr>
                      <w:rFonts w:ascii="Times New Roman" w:hAnsi="Times New Roman" w:eastAsia="바탕"/>
                      <w:sz w:val="18"/>
                    </w:rPr>
                    <w:t>Time morphemes (§2.2), the dispenser (§4.3)</w:t>
                  </w:r>
                </w:p>
              </w:tc>
              <w:tc>
                <w:tcPr>
                  <w:tcW w:type="dxa" w:w="2441"/>
                </w:tcPr>
                <w:p>
                  <w:r>
                    <w:rPr>
                      <w:rFonts w:ascii="Times New Roman" w:hAnsi="Times New Roman" w:eastAsia="바탕"/>
                      <w:sz w:val="18"/>
                    </w:rPr>
                    <w:t xml:space="preserve">36.3% low adherence among those on three or more daily doses (Straka, I., Minár, M., Škorvánek, M. et al., "Adherence to Pharmacotherapy in Patients With Parkinson's Disease Taking Three and More Daily Doses of Medication," </w:t>
                  </w:r>
                  <w:r>
                    <w:rPr>
                      <w:rFonts w:ascii="Times New Roman" w:hAnsi="Times New Roman" w:eastAsia="바탕"/>
                      <w:i/>
                      <w:sz w:val="18"/>
                    </w:rPr>
                    <w:t>Frontiers in Neurology</w:t>
                  </w:r>
                  <w:r>
                    <w:rPr>
                      <w:rFonts w:ascii="Times New Roman" w:hAnsi="Times New Roman" w:eastAsia="바탕"/>
                      <w:sz w:val="18"/>
                    </w:rPr>
                    <w:t>, 10:799, 2019, doi:10.3389/fneur.2019.00799)</w:t>
                  </w:r>
                </w:p>
              </w:tc>
            </w:tr>
            <w:tr>
              <w:tc>
                <w:tcPr>
                  <w:tcW w:type="dxa" w:w="2441"/>
                </w:tcPr>
                <w:p>
                  <w:r>
                    <w:rPr>
                      <w:rFonts w:ascii="Times New Roman" w:hAnsi="Times New Roman" w:eastAsia="바탕"/>
                      <w:b/>
                      <w:sz w:val="18"/>
                    </w:rPr>
                    <w:t>Autism and intellectual disability</w:t>
                  </w:r>
                </w:p>
              </w:tc>
              <w:tc>
                <w:tcPr>
                  <w:tcW w:type="dxa" w:w="2441"/>
                </w:tcPr>
                <w:p>
                  <w:r>
                    <w:rPr>
                      <w:rFonts w:ascii="Times New Roman" w:hAnsi="Times New Roman" w:eastAsia="바탕"/>
                      <w:sz w:val="18"/>
                    </w:rPr>
                    <w:t>Interpretation of text and abstract symbols</w:t>
                  </w:r>
                </w:p>
              </w:tc>
              <w:tc>
                <w:tcPr>
                  <w:tcW w:type="dxa" w:w="2441"/>
                </w:tcPr>
                <w:p>
                  <w:r>
                    <w:rPr>
                      <w:rFonts w:ascii="Times New Roman" w:hAnsi="Times New Roman" w:eastAsia="바탕"/>
                      <w:sz w:val="18"/>
                    </w:rPr>
                    <w:t>The single-layer screen with the hierarchy removed (§3.1) and the confirming step (§3.8). That our glyphs are black-and-white silhouettes may count against us for this condition, though (§1.10)</w:t>
                  </w:r>
                </w:p>
              </w:tc>
              <w:tc>
                <w:tcPr>
                  <w:tcW w:type="dxa" w:w="2441"/>
                </w:tcPr>
                <w:p>
                  <w:r>
                    <w:rPr>
                      <w:rFonts w:ascii="Times New Roman" w:hAnsi="Times New Roman" w:eastAsia="바탕"/>
                      <w:sz w:val="18"/>
                    </w:rPr>
                    <w:t>Mechanism shared only. We did not measure it</w:t>
                  </w:r>
                </w:p>
              </w:tc>
            </w:tr>
            <w:tr>
              <w:tc>
                <w:tcPr>
                  <w:tcW w:type="dxa" w:w="2441"/>
                </w:tcPr>
                <w:p>
                  <w:r>
                    <w:rPr>
                      <w:rFonts w:ascii="Times New Roman" w:hAnsi="Times New Roman" w:eastAsia="바탕"/>
                      <w:b/>
                      <w:sz w:val="18"/>
                    </w:rPr>
                    <w:t>Thyroid dysfunction</w:t>
                  </w:r>
                </w:p>
              </w:tc>
              <w:tc>
                <w:tcPr>
                  <w:tcW w:type="dxa" w:w="2441"/>
                </w:tcPr>
                <w:p>
                  <w:r>
                    <w:rPr>
                      <w:rFonts w:ascii="Times New Roman" w:hAnsi="Times New Roman" w:eastAsia="바탕"/>
                      <w:sz w:val="18"/>
                    </w:rPr>
                    <w:t>The drug is not absorbed unless the timing is kept</w:t>
                  </w:r>
                </w:p>
              </w:tc>
              <w:tc>
                <w:tcPr>
                  <w:tcW w:type="dxa" w:w="2441"/>
                </w:tcPr>
                <w:p>
                  <w:r>
                    <w:rPr>
                      <w:rFonts w:ascii="Consolas" w:hAnsi="Consolas" w:eastAsia="Consolas"/>
                      <w:sz w:val="17"/>
                    </w:rPr>
                    <w:t>food_empty_bowl</w:t>
                  </w:r>
                  <w:r>
                    <w:rPr>
                      <w:rFonts w:ascii="Times New Roman" w:hAnsi="Times New Roman" w:eastAsia="바탕"/>
                      <w:sz w:val="18"/>
                    </w:rPr>
                    <w:t xml:space="preserve"> goes in the head's slot and </w:t>
                  </w:r>
                  <w:r>
                    <w:rPr>
                      <w:rFonts w:ascii="Consolas" w:hAnsi="Consolas" w:eastAsia="Consolas"/>
                      <w:sz w:val="17"/>
                    </w:rPr>
                    <w:t>time_morning</w:t>
                  </w:r>
                  <w:r>
                    <w:rPr>
                      <w:rFonts w:ascii="Times New Roman" w:hAnsi="Times New Roman" w:eastAsia="바탕"/>
                      <w:sz w:val="18"/>
                    </w:rPr>
                    <w:t xml:space="preserve"> follows it, so "on an empty stomach, in the morning" comes out as two pictures (§2.2). The box dispenses only within a dose window (§4.3). No morpheme among the 78, however, means "keep this many hours apart from that"</w:t>
                  </w:r>
                </w:p>
              </w:tc>
              <w:tc>
                <w:tcPr>
                  <w:tcW w:type="dxa" w:w="2441"/>
                </w:tcPr>
                <w:p>
                  <w:r>
                    <w:rPr>
                      <w:rFonts w:ascii="Times New Roman" w:hAnsi="Times New Roman" w:eastAsia="바탕"/>
                      <w:sz w:val="18"/>
                    </w:rPr>
                    <w:t xml:space="preserve">107 articles and 128 studies on interfering substances (Liu, H., Lu, M., Hu, J., Fu, G., Feng, Q., Sun, S. &amp; Chen, C., "Medications and Food Interfering with the Bioavailability of Levothyroxine: A Systematic Review," </w:t>
                  </w:r>
                  <w:r>
                    <w:rPr>
                      <w:rFonts w:ascii="Times New Roman" w:hAnsi="Times New Roman" w:eastAsia="바탕"/>
                      <w:i/>
                      <w:sz w:val="18"/>
                    </w:rPr>
                    <w:t>Therapeutics and Clinical Risk Management</w:t>
                  </w:r>
                  <w:r>
                    <w:rPr>
                      <w:rFonts w:ascii="Times New Roman" w:hAnsi="Times New Roman" w:eastAsia="바탕"/>
                      <w:sz w:val="18"/>
                    </w:rPr>
                    <w:t>, 19:503–523, 2023, doi:10.2147/TCRM.S414460)</w:t>
                  </w:r>
                </w:p>
              </w:tc>
            </w:tr>
            <w:tr>
              <w:tc>
                <w:tcPr>
                  <w:tcW w:type="dxa" w:w="2441"/>
                </w:tcPr>
                <w:p>
                  <w:r>
                    <w:rPr>
                      <w:rFonts w:ascii="Times New Roman" w:hAnsi="Times New Roman" w:eastAsia="바탕"/>
                      <w:b/>
                      <w:sz w:val="18"/>
                    </w:rPr>
                    <w:t>Old age</w:t>
                  </w:r>
                </w:p>
              </w:tc>
              <w:tc>
                <w:tcPr>
                  <w:tcW w:type="dxa" w:w="2441"/>
                </w:tcPr>
                <w:p>
                  <w:r>
                    <w:rPr>
                      <w:rFonts w:ascii="Times New Roman" w:hAnsi="Times New Roman" w:eastAsia="바탕"/>
                      <w:sz w:val="18"/>
                    </w:rPr>
                    <w:t>Several of the axes above overlapping</w:t>
                  </w:r>
                </w:p>
              </w:tc>
              <w:tc>
                <w:tcPr>
                  <w:tcW w:type="dxa" w:w="2441"/>
                </w:tcPr>
                <w:p>
                  <w:r>
                    <w:rPr>
                      <w:rFonts w:ascii="Times New Roman" w:hAnsi="Times New Roman" w:eastAsia="바탕"/>
                      <w:sz w:val="18"/>
                    </w:rPr>
                    <w:t>The whole</w:t>
                  </w:r>
                </w:p>
              </w:tc>
              <w:tc>
                <w:tcPr>
                  <w:tcW w:type="dxa" w:w="2441"/>
                </w:tcPr>
                <w:p>
                  <w:r>
                    <w:rPr>
                      <w:rFonts w:ascii="Times New Roman" w:hAnsi="Times New Roman" w:eastAsia="바탕"/>
                      <w:sz w:val="18"/>
                    </w:rPr>
                    <w:t>79.4% of adults over 65 self-administer, 28.2% educated (§1.2)</w:t>
                  </w:r>
                </w:p>
              </w:tc>
            </w:tr>
            <w:tr>
              <w:tc>
                <w:tcPr>
                  <w:tcW w:type="dxa" w:w="2441"/>
                </w:tcPr>
                <w:p>
                  <w:r>
                    <w:rPr>
                      <w:rFonts w:ascii="Times New Roman" w:hAnsi="Times New Roman" w:eastAsia="바탕"/>
                      <w:b/>
                      <w:sz w:val="18"/>
                    </w:rPr>
                    <w:t>Low vision</w:t>
                  </w:r>
                </w:p>
              </w:tc>
              <w:tc>
                <w:tcPr>
                  <w:tcW w:type="dxa" w:w="2441"/>
                </w:tcPr>
                <w:p>
                  <w:r>
                    <w:rPr>
                      <w:rFonts w:ascii="Times New Roman" w:hAnsi="Times New Roman" w:eastAsia="바탕"/>
                      <w:sz w:val="18"/>
                    </w:rPr>
                    <w:t>Character size and contrast</w:t>
                  </w:r>
                </w:p>
              </w:tc>
              <w:tc>
                <w:tcPr>
                  <w:tcW w:type="dxa" w:w="2441"/>
                </w:tcPr>
                <w:p>
                  <w:r>
                    <w:rPr>
                      <w:rFonts w:ascii="Times New Roman" w:hAnsi="Times New Roman" w:eastAsia="바탕"/>
                      <w:sz w:val="18"/>
                    </w:rPr>
                    <w:t>Large pictures, layers beyond colour (§3.7), speech (§3.5)</w:t>
                  </w:r>
                </w:p>
              </w:tc>
              <w:tc>
                <w:tcPr>
                  <w:tcW w:type="dxa" w:w="2441"/>
                </w:tcPr>
                <w:p>
                  <w:r>
                    <w:rPr>
                      <w:rFonts w:ascii="Times New Roman" w:hAnsi="Times New Roman" w:eastAsia="바탕"/>
                      <w:sz w:val="18"/>
                    </w:rPr>
                    <w:t>2.2 billion people with vision impairment (§1.5)</w:t>
                  </w:r>
                </w:p>
              </w:tc>
            </w:tr>
            <w:tr>
              <w:tc>
                <w:tcPr>
                  <w:tcW w:type="dxa" w:w="2441"/>
                </w:tcPr>
                <w:p>
                  <w:r>
                    <w:rPr>
                      <w:rFonts w:ascii="Times New Roman" w:hAnsi="Times New Roman" w:eastAsia="바탕"/>
                      <w:b/>
                      <w:sz w:val="18"/>
                    </w:rPr>
                    <w:t>Total blindness</w:t>
                  </w:r>
                </w:p>
              </w:tc>
              <w:tc>
                <w:tcPr>
                  <w:tcW w:type="dxa" w:w="2441"/>
                </w:tcPr>
                <w:p>
                  <w:r>
                    <w:rPr>
                      <w:rFonts w:ascii="Times New Roman" w:hAnsi="Times New Roman" w:eastAsia="바탕"/>
                      <w:sz w:val="18"/>
                    </w:rPr>
                    <w:t>The act of photographing itself</w:t>
                  </w:r>
                </w:p>
              </w:tc>
              <w:tc>
                <w:tcPr>
                  <w:tcW w:type="dxa" w:w="2441"/>
                </w:tcPr>
                <w:p>
                  <w:r>
                    <w:rPr>
                      <w:rFonts w:ascii="Times New Roman" w:hAnsi="Times New Roman" w:eastAsia="바탕"/>
                      <w:sz w:val="18"/>
                    </w:rPr>
                    <w:t>Not taken as a target</w:t>
                  </w:r>
                </w:p>
              </w:tc>
              <w:tc>
                <w:tcPr>
                  <w:tcW w:type="dxa" w:w="2441"/>
                </w:tcPr>
                <w:p>
                  <w:r>
                    <w:rPr>
                      <w:rFonts w:ascii="Times New Roman" w:hAnsi="Times New Roman" w:eastAsia="바탕"/>
                      <w:sz w:val="18"/>
                    </w:rPr>
                    <w:t>§1.5 · §5.9 unverified items</w:t>
                  </w:r>
                </w:p>
              </w:tc>
            </w:tr>
            <w:tr>
              <w:tc>
                <w:tcPr>
                  <w:tcW w:type="dxa" w:w="2441"/>
                </w:tcPr>
                <w:p>
                  <w:r>
                    <w:rPr>
                      <w:rFonts w:ascii="Times New Roman" w:hAnsi="Times New Roman" w:eastAsia="바탕"/>
                      <w:b/>
                      <w:sz w:val="18"/>
                    </w:rPr>
                    <w:t>Misuse by children</w:t>
                  </w:r>
                </w:p>
              </w:tc>
              <w:tc>
                <w:tcPr>
                  <w:tcW w:type="dxa" w:w="2441"/>
                </w:tcPr>
                <w:p>
                  <w:r>
                    <w:rPr>
                      <w:rFonts w:ascii="Times New Roman" w:hAnsi="Times New Roman" w:eastAsia="바탕"/>
                      <w:sz w:val="18"/>
                    </w:rPr>
                    <w:t>Not recognising a medicine as a medicine</w:t>
                  </w:r>
                </w:p>
              </w:tc>
              <w:tc>
                <w:tcPr>
                  <w:tcW w:type="dxa" w:w="2441"/>
                </w:tcPr>
                <w:p>
                  <w:r>
                    <w:rPr>
                      <w:rFonts w:ascii="Times New Roman" w:hAnsi="Times New Roman" w:eastAsia="바탕"/>
                      <w:sz w:val="18"/>
                    </w:rPr>
                    <w:t>The medicine stays inside the box and is dispensed only within a dose window (§4.3). A child lock as such was not built</w:t>
                  </w:r>
                </w:p>
              </w:tc>
              <w:tc>
                <w:tcPr>
                  <w:tcW w:type="dxa" w:w="2441"/>
                </w:tcPr>
                <w:p>
                  <w:r>
                    <w:rPr>
                      <w:rFonts w:ascii="Times New Roman" w:hAnsi="Times New Roman" w:eastAsia="바탕"/>
                      <w:sz w:val="18"/>
                    </w:rPr>
                    <w:t>Mechanism shared only. We did not measure it</w:t>
                  </w:r>
                </w:p>
              </w:tc>
            </w:tr>
          </w:tbl>
          <w:p/>
          <w:p>
            <w:pPr>
              <w:spacing w:after="120"/>
            </w:pPr>
          </w:p>
          <w:p>
            <w:pPr>
              <w:spacing w:after="80" w:line="276" w:lineRule="auto"/>
              <w:jc w:val="both"/>
            </w:pPr>
            <w:r>
              <w:rPr>
                <w:rFonts w:ascii="Times New Roman" w:hAnsi="Times New Roman" w:eastAsia="바탕"/>
                <w:sz w:val="20"/>
              </w:rPr>
              <w:t xml:space="preserve">Thyroid dysfunction differs in character from the other conditions in the table, so it is treated separately. For the others the problem is that the instruction does not arrive; for this one, even when the instruction arrives, the drug is not absorbed unless the timing is kept. The routine is itself a condition of the drug working. A systematic review gathering what interferes with the bioavailability of levothyroxine lists calcium and iron supplements, proton pump inhibitors, bile acid sequestrants, phosphate binders, sex hormones, anticonvulsants, and food and drink, and among the remedies the authors give is separating the times at which these are taken (Liu, H., Lu, M., Hu, J., Fu, G., Feng, Q., Sun, S. &amp; Chen, C., "Medications and Food Interfering with the Bioavailability of Levothyroxine: A Systematic Review," </w:t>
            </w:r>
            <w:r>
              <w:rPr>
                <w:rFonts w:ascii="Times New Roman" w:hAnsi="Times New Roman" w:eastAsia="바탕"/>
                <w:i/>
                <w:sz w:val="20"/>
              </w:rPr>
              <w:t>Therapeutics and Clinical Risk Management</w:t>
            </w:r>
            <w:r>
              <w:rPr>
                <w:rFonts w:ascii="Times New Roman" w:hAnsi="Times New Roman" w:eastAsia="바탕"/>
                <w:sz w:val="20"/>
              </w:rPr>
              <w:t>, 19:503–523, 2023, doi:10.2147/TCRM.S414460). The authors also record that most of the included studies were of moderate quality and that better designed studies are needed.</w:t>
            </w:r>
          </w:p>
          <w:p>
            <w:pPr>
              <w:spacing w:after="80" w:line="276" w:lineRule="auto"/>
              <w:jc w:val="both"/>
            </w:pPr>
            <w:r>
              <w:rPr>
                <w:rFonts w:ascii="Times New Roman" w:hAnsi="Times New Roman" w:eastAsia="바탕"/>
                <w:sz w:val="20"/>
              </w:rPr>
              <w:t xml:space="preserve">This condition exposes one limit of our set. With </w:t>
            </w:r>
            <w:r>
              <w:rPr>
                <w:rFonts w:ascii="Consolas" w:hAnsi="Consolas" w:eastAsia="Consolas"/>
                <w:sz w:val="19"/>
              </w:rPr>
              <w:t>time_morning</w:t>
            </w:r>
            <w:r>
              <w:rPr>
                <w:rFonts w:ascii="Times New Roman" w:hAnsi="Times New Roman" w:eastAsia="바탕"/>
                <w:sz w:val="20"/>
              </w:rPr>
              <w:t xml:space="preserve"> and </w:t>
            </w:r>
            <w:r>
              <w:rPr>
                <w:rFonts w:ascii="Consolas" w:hAnsi="Consolas" w:eastAsia="Consolas"/>
                <w:sz w:val="19"/>
              </w:rPr>
              <w:t>food_empty_bowl</w:t>
            </w:r>
            <w:r>
              <w:rPr>
                <w:rFonts w:ascii="Times New Roman" w:hAnsi="Times New Roman" w:eastAsia="바탕"/>
                <w:sz w:val="20"/>
              </w:rPr>
              <w:t xml:space="preserve"> the instruction "in the morning, on an empty stomach" can be drawn, but nowhere among the 78 morphemes is there one meaning "keep this many hours apart from that". Pointing at a time and pointing at the interval between two times are different jobs, and our grammar has only the first. This is a defect we learned of by widening the target, and it belongs to stage 5 of §5.10.</w:t>
            </w:r>
          </w:p>
          <w:p>
            <w:pPr>
              <w:spacing w:after="80" w:line="276" w:lineRule="auto"/>
              <w:jc w:val="both"/>
            </w:pPr>
            <w:r>
              <w:rPr>
                <w:rFonts w:ascii="Times New Roman" w:hAnsi="Times New Roman" w:eastAsia="바탕"/>
                <w:sz w:val="20"/>
              </w:rPr>
              <w:t>The last column of that table matters most in this section. Seven conditions have data we checked at source, four have only a shared mechanism, and one is not taken as a target. A shared mechanism means the same screen may work, not that it did. We have never tested this app with a person who has attention deficit hyperactivity disorder or autism, and the expert survey in §5.7 asked about the condition taken as the design standard rather than about these conditions. That gap is recorded in §5.9 and the procedure for closing it is in §5.10.</w:t>
            </w:r>
          </w:p>
          <w:p>
            <w:pPr>
              <w:spacing w:after="80" w:line="276" w:lineRule="auto"/>
              <w:jc w:val="both"/>
            </w:pPr>
            <w:r>
              <w:rPr>
                <w:rFonts w:ascii="Times New Roman" w:hAnsi="Times New Roman" w:eastAsia="바탕"/>
                <w:sz w:val="20"/>
              </w:rPr>
              <w:t>That one cell of the table was corrected should be set down too. The row for autism and intellectual disability first read "concrete pictogram forms", whereas our set is black-and-white silhouettes and the literature cited in §1.10 records that low-literacy users prefer concrete, photorealistic representations to stylised glyphs. That section already states this as an observation running against our design, and yet the table was writing it up as a strength. It is the place where the pull to attach something favourable to every condition took hold while widening the target. The cell now reads the removed hierarchy and the confirming step, with a note in the same cell that the silhouette may count against us here.</w:t>
            </w:r>
          </w:p>
          <w:p>
            <w:pPr>
              <w:spacing w:after="80" w:line="276" w:lineRule="auto"/>
              <w:jc w:val="both"/>
            </w:pPr>
            <w:r>
              <w:rPr>
                <w:rFonts w:ascii="Times New Roman" w:hAnsi="Times New Roman" w:eastAsia="바탕"/>
                <w:sz w:val="20"/>
              </w:rPr>
              <w:t>There is a reason for carrying the table even so. Setting the design standard at the harshest condition reads easily as meaning that the app is a thing for that condition alone. The opposite is the case. It has the structure of a kerb ramp, built for wheelchairs and used by prams and hand trolleys alike. What we removed was the load of reading, and with it the load of memory and attention, so everyone carrying that load uses the same screen.</w:t>
            </w:r>
          </w:p>
        </w:tc>
      </w:tr>
      <w:tr w:rsidR="00C81165" w14:paraId="4A7B619E" w14:textId="77777777" w:rsidTr="00C81165">
        <w:trPr>
          <w:trHeight w:val="772"/>
        </w:trPr>
        <w:tc>
          <w:tcPr>
            <w:tcW w:w="9765" w:type="dxa"/>
            <w:gridSpan w:val="4"/>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56B33C85" w14:textId="1AAACAE9" w:rsidR="00C81165" w:rsidRDefault="00C81165" w:rsidP="00C81165">
            <w:pPr>
              <w:rPr>
                <w:rFonts w:ascii="Arial" w:eastAsia="Arial" w:hAnsi="Arial" w:cs="Arial"/>
                <w:color w:val="002060"/>
                <w:sz w:val="24"/>
                <w:szCs w:val="24"/>
              </w:rPr>
            </w:pPr>
            <w:r>
              <w:rPr>
                <w:rFonts w:ascii="Arial" w:eastAsia="Arial" w:hAnsi="Arial" w:cs="Arial"/>
                <w:b/>
                <w:bCs/>
                <w:color w:val="002060"/>
                <w:sz w:val="28"/>
                <w:szCs w:val="28"/>
              </w:rPr>
              <w:t xml:space="preserve">□ </w:t>
            </w:r>
            <w:r w:rsidRPr="00C81165">
              <w:rPr>
                <w:rFonts w:ascii="Arial" w:eastAsia="Arial" w:hAnsi="Arial" w:cs="Arial"/>
                <w:b/>
                <w:bCs/>
                <w:color w:val="002060"/>
                <w:sz w:val="28"/>
                <w:szCs w:val="28"/>
              </w:rPr>
              <w:t xml:space="preserve">Solution and </w:t>
            </w:r>
            <w:r w:rsidR="00E66BEE" w:rsidRPr="00E66BEE">
              <w:rPr>
                <w:rFonts w:ascii="Arial" w:eastAsia="Arial" w:hAnsi="Arial" w:cs="Arial"/>
                <w:b/>
                <w:bCs/>
                <w:color w:val="002060"/>
                <w:sz w:val="28"/>
                <w:szCs w:val="28"/>
              </w:rPr>
              <w:t>Main Functions</w:t>
            </w:r>
          </w:p>
          <w:p w14:paraId="22204171" w14:textId="7ABCE970" w:rsidR="00C81165" w:rsidRDefault="00182E9B" w:rsidP="00C81165">
            <w:pPr>
              <w:rPr>
                <w:rFonts w:ascii="Arial" w:eastAsia="Arial" w:hAnsi="Arial" w:cs="Arial"/>
              </w:rPr>
            </w:pPr>
            <w:r w:rsidRPr="00182E9B">
              <w:rPr>
                <w:rFonts w:ascii="Arial" w:eastAsia="Arial" w:hAnsi="Arial" w:cs="Arial"/>
              </w:rPr>
              <w:t>Address all three points: (1) how your web application solves the problem; (2) how it differs from existing services or approaches; and (3) 2 to 3 key functions, including the main screens and user actions.</w:t>
            </w:r>
          </w:p>
        </w:tc>
      </w:tr>
      <w:tr w:rsidR="00C81165" w14:paraId="565F4D1F" w14:textId="77777777" w:rsidTr="00C81165">
        <w:trPr>
          <w:trHeight w:val="329"/>
        </w:trPr>
        <w:tc>
          <w:tcPr>
            <w:tcW w:w="9765" w:type="dxa"/>
            <w:gridSpan w:val="4"/>
            <w:tcBorders>
              <w:top w:val="single" w:sz="4" w:space="0" w:color="000000"/>
              <w:left w:val="single" w:sz="4" w:space="0" w:color="000000"/>
              <w:bottom w:val="single" w:sz="4" w:space="0" w:color="000000"/>
              <w:right w:val="single" w:sz="4" w:space="0" w:color="000000"/>
            </w:tcBorders>
          </w:tcPr>
          <w:p w14:paraId="7A5CD4DE" w14:textId="38A03B36" w:rsidR="00C81165" w:rsidRPr="00BE63FA" w:rsidRDefault="00E66BEE" w:rsidP="00C81165">
            <w:pPr>
              <w:rPr>
                <w:rFonts w:ascii="Arial" w:eastAsia="Arial" w:hAnsi="Arial" w:cs="Arial"/>
                <w:b/>
                <w:bCs/>
              </w:rPr>
            </w:pPr>
            <w:r w:rsidRPr="00BE63FA">
              <w:rPr>
                <w:rFonts w:ascii="Arial" w:eastAsia="Arial" w:hAnsi="Arial" w:cs="Arial"/>
                <w:b/>
                <w:bCs/>
              </w:rPr>
              <w:t>Content with Images (prototype of UI; address points 1-3)</w:t>
            </w:r>
          </w:p>
        </w:tc>
      </w:tr>
      <w:tr w:rsidR="00C81165" w14:paraId="29C145CF" w14:textId="77777777" w:rsidTr="004052C3">
        <w:trPr>
          <w:trHeight w:val="2774"/>
        </w:trPr>
        <w:tc>
          <w:tcPr>
            <w:tcW w:w="9765" w:type="dxa"/>
            <w:gridSpan w:val="4"/>
            <w:tcBorders>
              <w:top w:val="single" w:sz="4" w:space="0" w:color="000000"/>
              <w:left w:val="single" w:sz="4" w:space="0" w:color="000000"/>
              <w:bottom w:val="single" w:sz="4" w:space="0" w:color="000000"/>
              <w:right w:val="single" w:sz="4" w:space="0" w:color="000000"/>
            </w:tcBorders>
          </w:tcPr>
          <w:p w14:paraId="211E7D7F" w14:textId="77777777" w:rsidR="00C81165" w:rsidRDefault="00C81165" w:rsidP="00C81165">
            <w:pPr>
              <w:spacing w:before="180" w:after="40"/>
              <w:rPr>
                <w:rFonts w:ascii="Arial" w:eastAsia="Arial" w:hAnsi="Arial" w:cs="Arial"/>
              </w:rPr>
            </w:pPr>
            <w:r>
              <w:rPr>
                <w:rFonts w:ascii="Times New Roman" w:hAnsi="Times New Roman" w:eastAsia="바탕"/>
                <w:b/>
                <w:sz w:val="23"/>
              </w:rPr>
              <w:t>2.1 Design principle</w:t>
            </w:r>
          </w:p>
          <w:p>
            <w:pPr>
              <w:spacing w:after="80" w:line="276" w:lineRule="auto"/>
              <w:jc w:val="both"/>
            </w:pPr>
            <w:r>
              <w:rPr>
                <w:rFonts w:ascii="Times New Roman" w:hAnsi="Times New Roman" w:eastAsia="바탕"/>
                <w:sz w:val="20"/>
              </w:rPr>
              <w:t>SnapCare has one design principle. At no point on the path by which a user arrives at a judgement are they required to read or type.</w:t>
            </w:r>
          </w:p>
          <w:p>
            <w:pPr>
              <w:spacing w:after="80" w:line="276" w:lineRule="auto"/>
              <w:jc w:val="both"/>
            </w:pPr>
            <w:r>
              <w:rPr>
                <w:rFonts w:ascii="Times New Roman" w:hAnsi="Times New Roman" w:eastAsia="바탕"/>
                <w:sz w:val="20"/>
              </w:rPr>
              <w:t>That principle is the design standard fixed in §1.13 carried onto the screen. Because the standard sits at the harshest condition, only one set of screens is built. There is no separate set for people who can read and another for people who cannot; the latter alone covers both. That is why no accessibility mode or simplified view appears anywhere in this document. A mode switch works only for someone who knows it has to be turned on, and if that has to be read to be known, it is already too late.</w:t>
            </w:r>
          </w:p>
          <w:p>
            <w:pPr>
              <w:spacing w:after="80" w:line="276" w:lineRule="auto"/>
              <w:jc w:val="both"/>
            </w:pPr>
            <w:r>
              <w:rPr>
                <w:rFonts w:ascii="Times New Roman" w:hAnsi="Times New Roman" w:eastAsia="바탕"/>
                <w:sz w:val="20"/>
              </w:rPr>
              <w:t>The same principle carries beyond reading. What was removed to demand no letters was a demand on memory and attention as well. With the hierarchy gone there is nothing to hold in mind about how far down one has come; with the steps gone there is nothing to count about what has already been done; with the options gone there is nothing to keep hold of about what is being asked right now. Those three sentences are the grounds on which Table 7 of §1.13 claims that one screen covers eleven conditions.</w:t>
            </w:r>
          </w:p>
          <w:p>
            <w:pPr>
              <w:spacing w:after="80" w:line="276" w:lineRule="auto"/>
              <w:jc w:val="both"/>
            </w:pPr>
            <w:r>
              <w:rPr>
                <w:rFonts w:ascii="Times New Roman" w:hAnsi="Times New Roman" w:eastAsia="바탕"/>
                <w:sz w:val="20"/>
              </w:rPr>
              <w:t xml:space="preserve">The principle follows from two facts established in the previous section. First, removing text is a necessary condition. For someone who cannot read a prescription, a text interface is no different from the paper one. Second, removing text is not sufficient. Pictures too can fail to be read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xml:space="preserve">, 15:30, 2022), and a hierarchy is itself a barrier (Medhi, I., Toyama, K., Joshi, A., Athavankar, U. &amp; Cutrell, E., "A Comparison of List vs. Hierarchical UIs on Mobile Phones for Non-literate Users," </w:t>
            </w:r>
            <w:r>
              <w:rPr>
                <w:rFonts w:ascii="Times New Roman" w:hAnsi="Times New Roman" w:eastAsia="바탕"/>
                <w:i/>
                <w:sz w:val="20"/>
              </w:rPr>
              <w:t>INTERACT 2013</w:t>
            </w:r>
            <w:r>
              <w:rPr>
                <w:rFonts w:ascii="Times New Roman" w:hAnsi="Times New Roman" w:eastAsia="바탕"/>
                <w:sz w:val="20"/>
              </w:rPr>
              <w:t>, LNCS 8118:497–504).</w:t>
            </w:r>
          </w:p>
          <w:p>
            <w:pPr>
              <w:spacing w:after="80" w:line="276" w:lineRule="auto"/>
              <w:jc w:val="both"/>
            </w:pPr>
            <w:r>
              <w:rPr>
                <w:rFonts w:ascii="Times New Roman" w:hAnsi="Times New Roman" w:eastAsia="바탕"/>
                <w:sz w:val="20"/>
              </w:rPr>
              <w:t>SnapCare therefore answers in three layers. What to do is carried by a picture, what that picture means is carried by speech, and whether this is safe or dangerous right now is carried by a single colour. The three layers overlap rather than substitute for one another. Someone who does not recognise the picture still has the speech, and where the speech cannot be heard the colour remains.</w:t>
            </w:r>
          </w:p>
          <w:p>
            <w:pPr>
              <w:spacing w:after="80" w:line="276" w:lineRule="auto"/>
              <w:jc w:val="both"/>
            </w:pPr>
            <w:r>
              <w:rPr>
                <w:rFonts w:ascii="Times New Roman" w:hAnsi="Times New Roman" w:eastAsia="바탕"/>
                <w:sz w:val="20"/>
              </w:rPr>
              <w:t>The reason the three layers were not collapsed into one is as follows. One could argue that speech alone is enough. There are grounds for it: most of the low-literacy interface work cited in §1.10 used speech as its primary channel. Whether speech is the most common approach across the field as a whole we have not counted, so we claim no more than that. Speech cannot be held in place, though. Once it has passed it has to be replayed, and the act of replaying is exactly the barrier the interactive voice response research cited in §1.10 identified. A picture stays on the screen and can be looked at again any number of times, and a colour has already been delivered the moment the eye meets the screen. The three layers put out the same meaning on three timescales: colour immediately, the picture for as long as it stays, speech once through and again if needed.</w:t>
            </w:r>
          </w:p>
          <w:p>
            <w:pPr>
              <w:spacing w:after="80" w:line="276" w:lineRule="auto"/>
              <w:jc w:val="both"/>
            </w:pPr>
            <w:r>
              <w:rPr>
                <w:rFonts w:ascii="Times New Roman" w:hAnsi="Times New Roman" w:eastAsia="바탕"/>
                <w:sz w:val="20"/>
              </w:rPr>
              <w:t>The only action the user performs is taking a photograph.</w:t>
            </w:r>
          </w:p>
          <w:p>
            <w:pPr>
              <w:spacing w:before="160" w:after="60"/>
              <w:jc w:val="center"/>
            </w:pPr>
            <w:r>
              <w:drawing>
                <wp:inline xmlns:a="http://schemas.openxmlformats.org/drawingml/2006/main" xmlns:pic="http://schemas.openxmlformats.org/drawingml/2006/picture">
                  <wp:extent cx="2195911" cy="4754880"/>
                  <wp:docPr id="15" name="Picture 15"/>
                  <wp:cNvGraphicFramePr>
                    <a:graphicFrameLocks noChangeAspect="1"/>
                  </wp:cNvGraphicFramePr>
                  <a:graphic>
                    <a:graphicData uri="http://schemas.openxmlformats.org/drawingml/2006/picture">
                      <pic:pic>
                        <pic:nvPicPr>
                          <pic:cNvPr id="0" name="fig01_home.png"/>
                          <pic:cNvPicPr/>
                        </pic:nvPicPr>
                        <pic:blipFill>
                          <a:blip r:embed="rId32"/>
                          <a:stretch>
                            <a:fillRect/>
                          </a:stretch>
                        </pic:blipFill>
                        <pic:spPr>
                          <a:xfrm>
                            <a:off x="0" y="0"/>
                            <a:ext cx="2195911"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15]</w:t>
            </w:r>
            <w:r>
              <w:rPr>
                <w:rFonts w:ascii="Times New Roman" w:hAnsi="Times New Roman" w:eastAsia="바탕"/>
                <w:color w:val="606068"/>
                <w:sz w:val="18"/>
              </w:rPr>
              <w:t xml:space="preserve"> The whole home screen. Above the red line is what is visible without scrolling; below it is veiled. What is actually met on opening the app is the part above the line. The largest element on it is a single capture button, and there is no menu and no search box. Having only one choice is the response to the hierarchy barrier established in §1.10.</w:t>
            </w:r>
          </w:p>
          <w:p>
            <w:pPr>
              <w:spacing w:after="80" w:line="276" w:lineRule="auto"/>
              <w:jc w:val="both"/>
            </w:pPr>
            <w:r>
              <w:rPr>
                <w:rFonts w:ascii="Times New Roman" w:hAnsi="Times New Roman" w:eastAsia="바탕"/>
                <w:sz w:val="20"/>
              </w:rPr>
              <w:t>Two responses in §5.7 said opposite things about this principle. Professor Celia of the University of Pretoria wrote that a picture is the medium aligned to people who cannot read, without talking down to them.</w:t>
            </w:r>
          </w:p>
          <w:p>
            <w:pPr>
              <w:spacing w:after="40" w:line="276" w:lineRule="auto"/>
              <w:ind w:left="403"/>
            </w:pPr>
            <w:r>
              <w:rPr>
                <w:rFonts w:ascii="Times New Roman" w:hAnsi="Times New Roman" w:eastAsia="바탕"/>
                <w:i/>
                <w:color w:val="606068"/>
                <w:sz w:val="19"/>
              </w:rPr>
              <w:t>"The picture is more aligned to people who cannot read without under estimating their intelligence."</w:t>
            </w:r>
          </w:p>
          <w:p>
            <w:pPr>
              <w:spacing w:after="180" w:line="276" w:lineRule="auto"/>
              <w:ind w:left="403"/>
            </w:pPr>
            <w:r>
              <w:rPr>
                <w:rFonts w:ascii="Times New Roman" w:hAnsi="Times New Roman" w:eastAsia="바탕"/>
                <w:i w:val="0"/>
                <w:color w:val="606068"/>
                <w:sz w:val="19"/>
              </w:rPr>
              <w:t>(Professor Celia, University of Pretoria)</w:t>
            </w:r>
          </w:p>
          <w:p>
            <w:pPr>
              <w:spacing w:after="80" w:line="276" w:lineRule="auto"/>
              <w:jc w:val="both"/>
            </w:pPr>
            <w:r>
              <w:rPr>
                <w:rFonts w:ascii="Times New Roman" w:hAnsi="Times New Roman" w:eastAsia="바탕"/>
                <w:sz w:val="20"/>
              </w:rPr>
              <w:t>The other side is Professor Heejung Seo of Dong-eui University, also in §5.7: to a non-literate person a picture too can feel like writing. Two responses say the opposite of each other about the same medium, and we do not know which is right. Of everything to confirm in the field evaluation of §5.10, this comes first. Measuring the comprehensibility of a picture without measuring whether it is recognised as a picture means scoring only the people who already passed.</w:t>
            </w:r>
          </w:p>
          <w:p>
            <w:pPr>
              <w:spacing w:before="180" w:after="40"/>
            </w:pPr>
            <w:r>
              <w:rPr>
                <w:rFonts w:ascii="Times New Roman" w:hAnsi="Times New Roman" w:eastAsia="바탕"/>
                <w:b/>
                <w:sz w:val="23"/>
              </w:rPr>
              <w:t>2.2 SIGIL, the pictogram composition engine</w:t>
            </w:r>
          </w:p>
          <w:p>
            <w:pPr>
              <w:spacing w:after="80" w:line="276" w:lineRule="auto"/>
              <w:jc w:val="both"/>
            </w:pPr>
            <w:r>
              <w:rPr>
                <w:rFonts w:ascii="Times New Roman" w:hAnsi="Times New Roman" w:eastAsia="바탕"/>
                <w:sz w:val="20"/>
              </w:rPr>
              <w:t>SIGIL (Symbol Intuitive Glyph Image Lab) is a pictogram composition engine the team designed and implemented itself. Where existing pictogram sets are lists of pictures, SIGIL is built from morphemes and a grammar.</w:t>
            </w:r>
          </w:p>
          <w:p>
            <w:pPr>
              <w:spacing w:after="80" w:line="276" w:lineRule="auto"/>
              <w:jc w:val="both"/>
            </w:pPr>
            <w:r>
              <w:rPr>
                <w:rFonts w:ascii="Times New Roman" w:hAnsi="Times New Roman" w:eastAsia="바탕"/>
                <w:sz w:val="20"/>
              </w:rPr>
              <w:t>It currently has 78 morphemes, divided into 57 heads and 21 modifiers. A head is an object that can stand on its own (pill bottle, dropper bottle, inhaler, peanut, milk carton), while a modifier goes into a slot inside a head (count, refrigerate, eye, mouth).</w:t>
            </w:r>
          </w:p>
          <w:p>
            <w:pPr>
              <w:spacing w:after="80" w:line="276" w:lineRule="auto"/>
              <w:jc w:val="both"/>
            </w:pPr>
            <w:r>
              <w:rPr>
                <w:rFonts w:ascii="Times New Roman" w:hAnsi="Times New Roman" w:eastAsia="바탕"/>
                <w:sz w:val="20"/>
              </w:rPr>
              <w:t xml:space="preserve">Four of the modifiers can also stand alone: the time morphemes for morning, midday, evening and night. They are marked </w:t>
            </w:r>
            <w:r>
              <w:rPr>
                <w:rFonts w:ascii="Consolas" w:hAnsi="Consolas" w:eastAsia="Consolas"/>
                <w:sz w:val="19"/>
              </w:rPr>
              <w:t>standalone</w:t>
            </w:r>
            <w:r>
              <w:rPr>
                <w:rFonts w:ascii="Times New Roman" w:hAnsi="Times New Roman" w:eastAsia="바탕"/>
                <w:sz w:val="20"/>
              </w:rPr>
              <w:t xml:space="preserve"> in the dictionary and the parser allows them on the strength of that mark, because a dose time is both a condition attached to a medicine and an instruction in itself. One picture saying "in the evening", standing after the picture of the medicine, is the instruction. The count of 1,258 expressions in §1.9 adds those four separately for the same reason.</w:t>
            </w:r>
          </w:p>
          <w:p>
            <w:pPr>
              <w:spacing w:after="80" w:line="276" w:lineRule="auto"/>
              <w:jc w:val="both"/>
            </w:pPr>
            <w:r>
              <w:rPr>
                <w:rFonts w:ascii="Times New Roman" w:hAnsi="Times New Roman" w:eastAsia="바탕"/>
                <w:sz w:val="20"/>
              </w:rPr>
              <w:t xml:space="preserve">There are five operators on top of this. </w:t>
            </w:r>
            <w:r>
              <w:rPr>
                <w:rFonts w:ascii="Consolas" w:hAnsi="Consolas" w:eastAsia="Consolas"/>
                <w:sz w:val="19"/>
              </w:rPr>
              <w:t>no{}</w:t>
            </w:r>
            <w:r>
              <w:rPr>
                <w:rFonts w:ascii="Times New Roman" w:hAnsi="Times New Roman" w:eastAsia="바탕"/>
                <w:sz w:val="20"/>
              </w:rPr>
              <w:t xml:space="preserve"> applies prohibition, </w:t>
            </w:r>
            <w:r>
              <w:rPr>
                <w:rFonts w:ascii="Consolas" w:hAnsi="Consolas" w:eastAsia="Consolas"/>
                <w:sz w:val="19"/>
              </w:rPr>
              <w:t>half{}</w:t>
            </w:r>
            <w:r>
              <w:rPr>
                <w:rFonts w:ascii="Times New Roman" w:hAnsi="Times New Roman" w:eastAsia="바탕"/>
                <w:sz w:val="20"/>
              </w:rPr>
              <w:t xml:space="preserve"> applies a half portion, and </w:t>
            </w:r>
            <w:r>
              <w:rPr>
                <w:rFonts w:ascii="Consolas" w:hAnsi="Consolas" w:eastAsia="Consolas"/>
                <w:sz w:val="19"/>
              </w:rPr>
              <w:t>twice_daily{}</w:t>
            </w:r>
            <w:r>
              <w:rPr>
                <w:rFonts w:ascii="Times New Roman" w:hAnsi="Times New Roman" w:eastAsia="바탕"/>
                <w:sz w:val="20"/>
              </w:rPr>
              <w:t xml:space="preserve">, </w:t>
            </w:r>
            <w:r>
              <w:rPr>
                <w:rFonts w:ascii="Consolas" w:hAnsi="Consolas" w:eastAsia="Consolas"/>
                <w:sz w:val="19"/>
              </w:rPr>
              <w:t>three_times_daily{}</w:t>
            </w:r>
            <w:r>
              <w:rPr>
                <w:rFonts w:ascii="Times New Roman" w:hAnsi="Times New Roman" w:eastAsia="바탕"/>
                <w:sz w:val="20"/>
              </w:rPr>
              <w:t xml:space="preserve"> and </w:t>
            </w:r>
            <w:r>
              <w:rPr>
                <w:rFonts w:ascii="Consolas" w:hAnsi="Consolas" w:eastAsia="Consolas"/>
                <w:sz w:val="19"/>
              </w:rPr>
              <w:t>four_times_daily{}</w:t>
            </w:r>
            <w:r>
              <w:rPr>
                <w:rFonts w:ascii="Times New Roman" w:hAnsi="Times New Roman" w:eastAsia="바탕"/>
                <w:sz w:val="20"/>
              </w:rPr>
              <w:t xml:space="preserve"> apply a daily frequency.</w:t>
            </w:r>
          </w:p>
          <w:p>
            <w:pPr>
              <w:spacing w:after="80" w:line="276" w:lineRule="auto"/>
              <w:jc w:val="both"/>
            </w:pPr>
            <w:r>
              <w:rPr>
                <w:rFonts w:ascii="Times New Roman" w:hAnsi="Times New Roman" w:eastAsia="바탕"/>
                <w:sz w:val="20"/>
              </w:rPr>
              <w:t>[Table 8] The composition of SIGIL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55"/>
              <w:gridCol w:w="3255"/>
              <w:gridCol w:w="3255"/>
            </w:tblGrid>
            <w:tr>
              <w:tc>
                <w:tcPr>
                  <w:tcW w:type="dxa" w:w="3255"/>
                  <w:shd w:val="clear" w:fill="F2F2F2"/>
                </w:tcPr>
                <w:p>
                  <w:r>
                    <w:rPr>
                      <w:rFonts w:ascii="Times New Roman" w:hAnsi="Times New Roman" w:eastAsia="바탕"/>
                      <w:b/>
                      <w:sz w:val="18"/>
                    </w:rPr>
                    <w:t>Category</w:t>
                  </w:r>
                </w:p>
              </w:tc>
              <w:tc>
                <w:tcPr>
                  <w:tcW w:type="dxa" w:w="3255"/>
                  <w:shd w:val="clear" w:fill="F2F2F2"/>
                </w:tcPr>
                <w:p>
                  <w:r>
                    <w:rPr>
                      <w:rFonts w:ascii="Times New Roman" w:hAnsi="Times New Roman" w:eastAsia="바탕"/>
                      <w:b/>
                      <w:sz w:val="18"/>
                    </w:rPr>
                    <w:t>Count</w:t>
                  </w:r>
                </w:p>
              </w:tc>
              <w:tc>
                <w:tcPr>
                  <w:tcW w:type="dxa" w:w="3255"/>
                  <w:shd w:val="clear" w:fill="F2F2F2"/>
                </w:tcPr>
                <w:p>
                  <w:r>
                    <w:rPr>
                      <w:rFonts w:ascii="Times New Roman" w:hAnsi="Times New Roman" w:eastAsia="바탕"/>
                      <w:b/>
                      <w:sz w:val="18"/>
                    </w:rPr>
                    <w:t>Examples</w:t>
                  </w:r>
                </w:p>
              </w:tc>
            </w:tr>
            <w:tr>
              <w:tc>
                <w:tcPr>
                  <w:tcW w:type="dxa" w:w="3255"/>
                </w:tcPr>
                <w:p>
                  <w:r>
                    <w:rPr>
                      <w:rFonts w:ascii="Times New Roman" w:hAnsi="Times New Roman" w:eastAsia="바탕"/>
                      <w:sz w:val="18"/>
                    </w:rPr>
                    <w:t>Head</w:t>
                  </w:r>
                </w:p>
              </w:tc>
              <w:tc>
                <w:tcPr>
                  <w:tcW w:type="dxa" w:w="3255"/>
                </w:tcPr>
                <w:p>
                  <w:r>
                    <w:rPr>
                      <w:rFonts w:ascii="Times New Roman" w:hAnsi="Times New Roman" w:eastAsia="바탕"/>
                      <w:sz w:val="18"/>
                    </w:rPr>
                    <w:t>57</w:t>
                  </w:r>
                </w:p>
              </w:tc>
              <w:tc>
                <w:tcPr>
                  <w:tcW w:type="dxa" w:w="3255"/>
                </w:tcPr>
                <w:p>
                  <w:r>
                    <w:rPr>
                      <w:rFonts w:ascii="Consolas" w:hAnsi="Consolas" w:eastAsia="Consolas"/>
                      <w:sz w:val="17"/>
                    </w:rPr>
                    <w:t>pill_bottle</w:t>
                  </w:r>
                  <w:r>
                    <w:rPr>
                      <w:rFonts w:ascii="Times New Roman" w:hAnsi="Times New Roman" w:eastAsia="바탕"/>
                      <w:sz w:val="18"/>
                    </w:rPr>
                    <w:t xml:space="preserve">, </w:t>
                  </w:r>
                  <w:r>
                    <w:rPr>
                      <w:rFonts w:ascii="Consolas" w:hAnsi="Consolas" w:eastAsia="Consolas"/>
                      <w:sz w:val="17"/>
                    </w:rPr>
                    <w:t>dropper_bottle</w:t>
                  </w:r>
                  <w:r>
                    <w:rPr>
                      <w:rFonts w:ascii="Times New Roman" w:hAnsi="Times New Roman" w:eastAsia="바탕"/>
                      <w:sz w:val="18"/>
                    </w:rPr>
                    <w:t xml:space="preserve">, </w:t>
                  </w:r>
                  <w:r>
                    <w:rPr>
                      <w:rFonts w:ascii="Consolas" w:hAnsi="Consolas" w:eastAsia="Consolas"/>
                      <w:sz w:val="17"/>
                    </w:rPr>
                    <w:t>allergen_peanut</w:t>
                  </w:r>
                  <w:r>
                    <w:rPr>
                      <w:rFonts w:ascii="Times New Roman" w:hAnsi="Times New Roman" w:eastAsia="바탕"/>
                      <w:sz w:val="18"/>
                    </w:rPr>
                    <w:t xml:space="preserve">, </w:t>
                  </w:r>
                  <w:r>
                    <w:rPr>
                      <w:rFonts w:ascii="Consolas" w:hAnsi="Consolas" w:eastAsia="Consolas"/>
                      <w:sz w:val="17"/>
                    </w:rPr>
                    <w:t>symptom_gut</w:t>
                  </w:r>
                </w:p>
              </w:tc>
            </w:tr>
            <w:tr>
              <w:tc>
                <w:tcPr>
                  <w:tcW w:type="dxa" w:w="3255"/>
                </w:tcPr>
                <w:p>
                  <w:r>
                    <w:rPr>
                      <w:rFonts w:ascii="Times New Roman" w:hAnsi="Times New Roman" w:eastAsia="바탕"/>
                      <w:sz w:val="18"/>
                    </w:rPr>
                    <w:t>Modifier</w:t>
                  </w:r>
                </w:p>
              </w:tc>
              <w:tc>
                <w:tcPr>
                  <w:tcW w:type="dxa" w:w="3255"/>
                </w:tcPr>
                <w:p>
                  <w:r>
                    <w:rPr>
                      <w:rFonts w:ascii="Times New Roman" w:hAnsi="Times New Roman" w:eastAsia="바탕"/>
                      <w:sz w:val="18"/>
                    </w:rPr>
                    <w:t>21</w:t>
                  </w:r>
                </w:p>
              </w:tc>
              <w:tc>
                <w:tcPr>
                  <w:tcW w:type="dxa" w:w="3255"/>
                </w:tcPr>
                <w:p>
                  <w:r>
                    <w:rPr>
                      <w:rFonts w:ascii="Consolas" w:hAnsi="Consolas" w:eastAsia="Consolas"/>
                      <w:sz w:val="17"/>
                    </w:rPr>
                    <w:t>time_morning</w:t>
                  </w:r>
                  <w:r>
                    <w:rPr>
                      <w:rFonts w:ascii="Times New Roman" w:hAnsi="Times New Roman" w:eastAsia="바탕"/>
                      <w:sz w:val="18"/>
                    </w:rPr>
                    <w:t xml:space="preserve">, </w:t>
                  </w:r>
                  <w:r>
                    <w:rPr>
                      <w:rFonts w:ascii="Consolas" w:hAnsi="Consolas" w:eastAsia="Consolas"/>
                      <w:sz w:val="17"/>
                    </w:rPr>
                    <w:t>qty_two</w:t>
                  </w:r>
                  <w:r>
                    <w:rPr>
                      <w:rFonts w:ascii="Times New Roman" w:hAnsi="Times New Roman" w:eastAsia="바탕"/>
                      <w:sz w:val="18"/>
                    </w:rPr>
                    <w:t xml:space="preserve">, </w:t>
                  </w:r>
                  <w:r>
                    <w:rPr>
                      <w:rFonts w:ascii="Consolas" w:hAnsi="Consolas" w:eastAsia="Consolas"/>
                      <w:sz w:val="17"/>
                    </w:rPr>
                    <w:t>storage_fridge</w:t>
                  </w:r>
                  <w:r>
                    <w:rPr>
                      <w:rFonts w:ascii="Times New Roman" w:hAnsi="Times New Roman" w:eastAsia="바탕"/>
                      <w:sz w:val="18"/>
                    </w:rPr>
                    <w:t xml:space="preserve">, </w:t>
                  </w:r>
                  <w:r>
                    <w:rPr>
                      <w:rFonts w:ascii="Consolas" w:hAnsi="Consolas" w:eastAsia="Consolas"/>
                      <w:sz w:val="17"/>
                    </w:rPr>
                    <w:t>body_eye</w:t>
                  </w:r>
                </w:p>
              </w:tc>
            </w:tr>
            <w:tr>
              <w:tc>
                <w:tcPr>
                  <w:tcW w:type="dxa" w:w="3255"/>
                </w:tcPr>
                <w:p>
                  <w:r>
                    <w:rPr>
                      <w:rFonts w:ascii="Times New Roman" w:hAnsi="Times New Roman" w:eastAsia="바탕"/>
                      <w:sz w:val="18"/>
                    </w:rPr>
                    <w:t>Operator</w:t>
                  </w:r>
                </w:p>
              </w:tc>
              <w:tc>
                <w:tcPr>
                  <w:tcW w:type="dxa" w:w="3255"/>
                </w:tcPr>
                <w:p>
                  <w:r>
                    <w:rPr>
                      <w:rFonts w:ascii="Times New Roman" w:hAnsi="Times New Roman" w:eastAsia="바탕"/>
                      <w:sz w:val="18"/>
                    </w:rPr>
                    <w:t>5</w:t>
                  </w:r>
                </w:p>
              </w:tc>
              <w:tc>
                <w:tcPr>
                  <w:tcW w:type="dxa" w:w="3255"/>
                </w:tcPr>
                <w:p>
                  <w:r>
                    <w:rPr>
                      <w:rFonts w:ascii="Consolas" w:hAnsi="Consolas" w:eastAsia="Consolas"/>
                      <w:sz w:val="17"/>
                    </w:rPr>
                    <w:t>no{}</w:t>
                  </w:r>
                  <w:r>
                    <w:rPr>
                      <w:rFonts w:ascii="Times New Roman" w:hAnsi="Times New Roman" w:eastAsia="바탕"/>
                      <w:sz w:val="18"/>
                    </w:rPr>
                    <w:t xml:space="preserve">, </w:t>
                  </w:r>
                  <w:r>
                    <w:rPr>
                      <w:rFonts w:ascii="Consolas" w:hAnsi="Consolas" w:eastAsia="Consolas"/>
                      <w:sz w:val="17"/>
                    </w:rPr>
                    <w:t>half{}</w:t>
                  </w:r>
                  <w:r>
                    <w:rPr>
                      <w:rFonts w:ascii="Times New Roman" w:hAnsi="Times New Roman" w:eastAsia="바탕"/>
                      <w:sz w:val="18"/>
                    </w:rPr>
                    <w:t xml:space="preserve">, </w:t>
                  </w:r>
                  <w:r>
                    <w:rPr>
                      <w:rFonts w:ascii="Consolas" w:hAnsi="Consolas" w:eastAsia="Consolas"/>
                      <w:sz w:val="17"/>
                    </w:rPr>
                    <w:t>twice_daily{}</w:t>
                  </w:r>
                  <w:r>
                    <w:rPr>
                      <w:rFonts w:ascii="Times New Roman" w:hAnsi="Times New Roman" w:eastAsia="바탕"/>
                      <w:sz w:val="18"/>
                    </w:rPr>
                    <w:t xml:space="preserve"> and 2 more</w:t>
                  </w:r>
                </w:p>
              </w:tc>
            </w:tr>
          </w:tbl>
          <w:p/>
          <w:p>
            <w:pPr>
              <w:spacing w:after="120"/>
            </w:pPr>
          </w:p>
          <w:p>
            <w:pPr>
              <w:spacing w:after="80" w:line="276" w:lineRule="auto"/>
              <w:jc w:val="both"/>
            </w:pPr>
            <w:r>
              <w:rPr>
                <w:rFonts w:ascii="Times New Roman" w:hAnsi="Times New Roman" w:eastAsia="바탕"/>
                <w:sz w:val="20"/>
              </w:rPr>
              <w:t xml:space="preserve">How the 78 were chosen says what kind of set this is. They were not drawn in bulk with combination considered afterwards; they were </w:t>
            </w:r>
            <w:r>
              <w:rPr>
                <w:rFonts w:ascii="Times New Roman" w:hAnsi="Times New Roman" w:eastAsia="바탕"/>
                <w:b/>
                <w:sz w:val="20"/>
              </w:rPr>
              <w:t>derived backwards from the error distribution in §1.3.</w:t>
            </w:r>
          </w:p>
          <w:p>
            <w:pPr>
              <w:spacing w:after="80" w:line="276" w:lineRule="auto"/>
              <w:jc w:val="both"/>
            </w:pPr>
            <w:r>
              <w:rPr>
                <w:rFonts w:ascii="Times New Roman" w:hAnsi="Times New Roman" w:eastAsia="바탕"/>
                <w:sz w:val="20"/>
              </w:rPr>
              <w:t>[Table 9] The 78 morphemes by category</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55"/>
              <w:gridCol w:w="3255"/>
              <w:gridCol w:w="3255"/>
            </w:tblGrid>
            <w:tr>
              <w:tc>
                <w:tcPr>
                  <w:tcW w:type="dxa" w:w="3255"/>
                  <w:shd w:val="clear" w:fill="F2F2F2"/>
                </w:tcPr>
                <w:p>
                  <w:r>
                    <w:rPr>
                      <w:rFonts w:ascii="Times New Roman" w:hAnsi="Times New Roman" w:eastAsia="바탕"/>
                      <w:b/>
                      <w:sz w:val="18"/>
                    </w:rPr>
                    <w:t>Category</w:t>
                  </w:r>
                </w:p>
              </w:tc>
              <w:tc>
                <w:tcPr>
                  <w:tcW w:type="dxa" w:w="3255"/>
                  <w:shd w:val="clear" w:fill="F2F2F2"/>
                </w:tcPr>
                <w:p>
                  <w:r>
                    <w:rPr>
                      <w:rFonts w:ascii="Times New Roman" w:hAnsi="Times New Roman" w:eastAsia="바탕"/>
                      <w:b/>
                      <w:sz w:val="18"/>
                    </w:rPr>
                    <w:t>Count</w:t>
                  </w:r>
                </w:p>
              </w:tc>
              <w:tc>
                <w:tcPr>
                  <w:tcW w:type="dxa" w:w="3255"/>
                  <w:shd w:val="clear" w:fill="F2F2F2"/>
                </w:tcPr>
                <w:p>
                  <w:r>
                    <w:rPr>
                      <w:rFonts w:ascii="Times New Roman" w:hAnsi="Times New Roman" w:eastAsia="바탕"/>
                      <w:b/>
                      <w:sz w:val="18"/>
                    </w:rPr>
                    <w:t>What it says</w:t>
                  </w:r>
                </w:p>
              </w:tc>
            </w:tr>
            <w:tr>
              <w:tc>
                <w:tcPr>
                  <w:tcW w:type="dxa" w:w="3255"/>
                </w:tcPr>
                <w:p>
                  <w:r>
                    <w:rPr>
                      <w:rFonts w:ascii="Times New Roman" w:hAnsi="Times New Roman" w:eastAsia="바탕"/>
                      <w:sz w:val="18"/>
                    </w:rPr>
                    <w:t>Form, device, action</w:t>
                  </w:r>
                </w:p>
              </w:tc>
              <w:tc>
                <w:tcPr>
                  <w:tcW w:type="dxa" w:w="3255"/>
                </w:tcPr>
                <w:p>
                  <w:r>
                    <w:rPr>
                      <w:rFonts w:ascii="Times New Roman" w:hAnsi="Times New Roman" w:eastAsia="바탕"/>
                      <w:sz w:val="18"/>
                    </w:rPr>
                    <w:t>26</w:t>
                  </w:r>
                </w:p>
              </w:tc>
              <w:tc>
                <w:tcPr>
                  <w:tcW w:type="dxa" w:w="3255"/>
                </w:tcPr>
                <w:p>
                  <w:r>
                    <w:rPr>
                      <w:rFonts w:ascii="Times New Roman" w:hAnsi="Times New Roman" w:eastAsia="바탕"/>
                      <w:sz w:val="18"/>
                    </w:rPr>
                    <w:t>What. Tablet, syrup, eye drops, inhaler, syringe, blood pressure monitor</w:t>
                  </w:r>
                </w:p>
              </w:tc>
            </w:tr>
            <w:tr>
              <w:tc>
                <w:tcPr>
                  <w:tcW w:type="dxa" w:w="3255"/>
                </w:tcPr>
                <w:p>
                  <w:r>
                    <w:rPr>
                      <w:rFonts w:ascii="Times New Roman" w:hAnsi="Times New Roman" w:eastAsia="바탕"/>
                      <w:sz w:val="18"/>
                    </w:rPr>
                    <w:t>Food</w:t>
                  </w:r>
                </w:p>
              </w:tc>
              <w:tc>
                <w:tcPr>
                  <w:tcW w:type="dxa" w:w="3255"/>
                </w:tcPr>
                <w:p>
                  <w:r>
                    <w:rPr>
                      <w:rFonts w:ascii="Times New Roman" w:hAnsi="Times New Roman" w:eastAsia="바탕"/>
                      <w:sz w:val="18"/>
                    </w:rPr>
                    <w:t>10</w:t>
                  </w:r>
                </w:p>
              </w:tc>
              <w:tc>
                <w:tcPr>
                  <w:tcW w:type="dxa" w:w="3255"/>
                </w:tcPr>
                <w:p>
                  <w:r>
                    <w:rPr>
                      <w:rFonts w:ascii="Times New Roman" w:hAnsi="Times New Roman" w:eastAsia="바탕"/>
                      <w:sz w:val="18"/>
                    </w:rPr>
                    <w:t>What. Rice, bread, oil, sugar, vegetables</w:t>
                  </w:r>
                </w:p>
              </w:tc>
            </w:tr>
            <w:tr>
              <w:tc>
                <w:tcPr>
                  <w:tcW w:type="dxa" w:w="3255"/>
                </w:tcPr>
                <w:p>
                  <w:r>
                    <w:rPr>
                      <w:rFonts w:ascii="Times New Roman" w:hAnsi="Times New Roman" w:eastAsia="바탕"/>
                      <w:sz w:val="18"/>
                    </w:rPr>
                    <w:t>Allergen</w:t>
                  </w:r>
                </w:p>
              </w:tc>
              <w:tc>
                <w:tcPr>
                  <w:tcW w:type="dxa" w:w="3255"/>
                </w:tcPr>
                <w:p>
                  <w:r>
                    <w:rPr>
                      <w:rFonts w:ascii="Times New Roman" w:hAnsi="Times New Roman" w:eastAsia="바탕"/>
                      <w:sz w:val="18"/>
                    </w:rPr>
                    <w:t>9</w:t>
                  </w:r>
                </w:p>
              </w:tc>
              <w:tc>
                <w:tcPr>
                  <w:tcW w:type="dxa" w:w="3255"/>
                </w:tcPr>
                <w:p>
                  <w:r>
                    <w:rPr>
                      <w:rFonts w:ascii="Times New Roman" w:hAnsi="Times New Roman" w:eastAsia="바탕"/>
                      <w:sz w:val="18"/>
                    </w:rPr>
                    <w:t>What to avoid. Peanut, tree nut, milk, egg, shellfish</w:t>
                  </w:r>
                </w:p>
              </w:tc>
            </w:tr>
            <w:tr>
              <w:tc>
                <w:tcPr>
                  <w:tcW w:type="dxa" w:w="3255"/>
                </w:tcPr>
                <w:p>
                  <w:r>
                    <w:rPr>
                      <w:rFonts w:ascii="Times New Roman" w:hAnsi="Times New Roman" w:eastAsia="바탕"/>
                      <w:sz w:val="18"/>
                    </w:rPr>
                    <w:t>Symptom</w:t>
                  </w:r>
                </w:p>
              </w:tc>
              <w:tc>
                <w:tcPr>
                  <w:tcW w:type="dxa" w:w="3255"/>
                </w:tcPr>
                <w:p>
                  <w:r>
                    <w:rPr>
                      <w:rFonts w:ascii="Times New Roman" w:hAnsi="Times New Roman" w:eastAsia="바탕"/>
                      <w:sz w:val="18"/>
                    </w:rPr>
                    <w:t>8</w:t>
                  </w:r>
                </w:p>
              </w:tc>
              <w:tc>
                <w:tcPr>
                  <w:tcW w:type="dxa" w:w="3255"/>
                </w:tcPr>
                <w:p>
                  <w:r>
                    <w:rPr>
                      <w:rFonts w:ascii="Times New Roman" w:hAnsi="Times New Roman" w:eastAsia="바탕"/>
                      <w:sz w:val="18"/>
                    </w:rPr>
                    <w:t>What was experienced. Fever, cough, vomiting, abdominal pain</w:t>
                  </w:r>
                </w:p>
              </w:tc>
            </w:tr>
            <w:tr>
              <w:tc>
                <w:tcPr>
                  <w:tcW w:type="dxa" w:w="3255"/>
                </w:tcPr>
                <w:p>
                  <w:r>
                    <w:rPr>
                      <w:rFonts w:ascii="Times New Roman" w:hAnsi="Times New Roman" w:eastAsia="바탕"/>
                      <w:sz w:val="18"/>
                    </w:rPr>
                    <w:t>State</w:t>
                  </w:r>
                </w:p>
              </w:tc>
              <w:tc>
                <w:tcPr>
                  <w:tcW w:type="dxa" w:w="3255"/>
                </w:tcPr>
                <w:p>
                  <w:r>
                    <w:rPr>
                      <w:rFonts w:ascii="Times New Roman" w:hAnsi="Times New Roman" w:eastAsia="바탕"/>
                      <w:sz w:val="18"/>
                    </w:rPr>
                    <w:t>7</w:t>
                  </w:r>
                </w:p>
              </w:tc>
              <w:tc>
                <w:tcPr>
                  <w:tcW w:type="dxa" w:w="3255"/>
                </w:tcPr>
                <w:p>
                  <w:r>
                    <w:rPr>
                      <w:rFonts w:ascii="Times New Roman" w:hAnsi="Times New Roman" w:eastAsia="바탕"/>
                      <w:sz w:val="18"/>
                    </w:rPr>
                    <w:t>Who. Child, teenager, adult, older adult, pregnant, breastfeeding</w:t>
                  </w:r>
                </w:p>
              </w:tc>
            </w:tr>
            <w:tr>
              <w:tc>
                <w:tcPr>
                  <w:tcW w:type="dxa" w:w="3255"/>
                </w:tcPr>
                <w:p>
                  <w:r>
                    <w:rPr>
                      <w:rFonts w:ascii="Times New Roman" w:hAnsi="Times New Roman" w:eastAsia="바탕"/>
                      <w:sz w:val="18"/>
                    </w:rPr>
                    <w:t>Body site</w:t>
                  </w:r>
                </w:p>
              </w:tc>
              <w:tc>
                <w:tcPr>
                  <w:tcW w:type="dxa" w:w="3255"/>
                </w:tcPr>
                <w:p>
                  <w:r>
                    <w:rPr>
                      <w:rFonts w:ascii="Times New Roman" w:hAnsi="Times New Roman" w:eastAsia="바탕"/>
                      <w:sz w:val="18"/>
                    </w:rPr>
                    <w:t>6</w:t>
                  </w:r>
                </w:p>
              </w:tc>
              <w:tc>
                <w:tcPr>
                  <w:tcW w:type="dxa" w:w="3255"/>
                </w:tcPr>
                <w:p>
                  <w:r>
                    <w:rPr>
                      <w:rFonts w:ascii="Times New Roman" w:hAnsi="Times New Roman" w:eastAsia="바탕"/>
                      <w:sz w:val="18"/>
                    </w:rPr>
                    <w:t>Where. Eye, mouth, nose, skin, stomach</w:t>
                  </w:r>
                </w:p>
              </w:tc>
            </w:tr>
            <w:tr>
              <w:tc>
                <w:tcPr>
                  <w:tcW w:type="dxa" w:w="3255"/>
                </w:tcPr>
                <w:p>
                  <w:r>
                    <w:rPr>
                      <w:rFonts w:ascii="Times New Roman" w:hAnsi="Times New Roman" w:eastAsia="바탕"/>
                      <w:b/>
                      <w:sz w:val="18"/>
                    </w:rPr>
                    <w:t>Count</w:t>
                  </w:r>
                </w:p>
              </w:tc>
              <w:tc>
                <w:tcPr>
                  <w:tcW w:type="dxa" w:w="3255"/>
                </w:tcPr>
                <w:p>
                  <w:r>
                    <w:rPr>
                      <w:rFonts w:ascii="Times New Roman" w:hAnsi="Times New Roman" w:eastAsia="바탕"/>
                      <w:b/>
                      <w:sz w:val="18"/>
                    </w:rPr>
                    <w:t>5</w:t>
                  </w:r>
                </w:p>
              </w:tc>
              <w:tc>
                <w:tcPr>
                  <w:tcW w:type="dxa" w:w="3255"/>
                </w:tcPr>
                <w:p>
                  <w:r>
                    <w:rPr>
                      <w:rFonts w:ascii="Times New Roman" w:hAnsi="Times New Roman" w:eastAsia="바탕"/>
                      <w:b/>
                      <w:sz w:val="18"/>
                    </w:rPr>
                    <w:t>How much</w:t>
                  </w:r>
                  <w:r>
                    <w:rPr>
                      <w:rFonts w:ascii="Times New Roman" w:hAnsi="Times New Roman" w:eastAsia="바탕"/>
                      <w:sz w:val="18"/>
                    </w:rPr>
                    <w:t>, from one to five</w:t>
                  </w:r>
                </w:p>
              </w:tc>
            </w:tr>
            <w:tr>
              <w:tc>
                <w:tcPr>
                  <w:tcW w:type="dxa" w:w="3255"/>
                </w:tcPr>
                <w:p>
                  <w:r>
                    <w:rPr>
                      <w:rFonts w:ascii="Times New Roman" w:hAnsi="Times New Roman" w:eastAsia="바탕"/>
                      <w:b/>
                      <w:sz w:val="18"/>
                    </w:rPr>
                    <w:t>Time of day</w:t>
                  </w:r>
                </w:p>
              </w:tc>
              <w:tc>
                <w:tcPr>
                  <w:tcW w:type="dxa" w:w="3255"/>
                </w:tcPr>
                <w:p>
                  <w:r>
                    <w:rPr>
                      <w:rFonts w:ascii="Times New Roman" w:hAnsi="Times New Roman" w:eastAsia="바탕"/>
                      <w:b/>
                      <w:sz w:val="18"/>
                    </w:rPr>
                    <w:t>4</w:t>
                  </w:r>
                </w:p>
              </w:tc>
              <w:tc>
                <w:tcPr>
                  <w:tcW w:type="dxa" w:w="3255"/>
                </w:tcPr>
                <w:p>
                  <w:r>
                    <w:rPr>
                      <w:rFonts w:ascii="Times New Roman" w:hAnsi="Times New Roman" w:eastAsia="바탕"/>
                      <w:b/>
                      <w:sz w:val="18"/>
                    </w:rPr>
                    <w:t>When</w:t>
                  </w:r>
                  <w:r>
                    <w:rPr>
                      <w:rFonts w:ascii="Times New Roman" w:hAnsi="Times New Roman" w:eastAsia="바탕"/>
                      <w:sz w:val="18"/>
                    </w:rPr>
                    <w:t>, morning, midday, evening, night</w:t>
                  </w:r>
                </w:p>
              </w:tc>
            </w:tr>
            <w:tr>
              <w:tc>
                <w:tcPr>
                  <w:tcW w:type="dxa" w:w="3255"/>
                </w:tcPr>
                <w:p>
                  <w:r>
                    <w:rPr>
                      <w:rFonts w:ascii="Times New Roman" w:hAnsi="Times New Roman" w:eastAsia="바탕"/>
                      <w:sz w:val="18"/>
                    </w:rPr>
                    <w:t>Storage</w:t>
                  </w:r>
                </w:p>
              </w:tc>
              <w:tc>
                <w:tcPr>
                  <w:tcW w:type="dxa" w:w="3255"/>
                </w:tcPr>
                <w:p>
                  <w:r>
                    <w:rPr>
                      <w:rFonts w:ascii="Times New Roman" w:hAnsi="Times New Roman" w:eastAsia="바탕"/>
                      <w:sz w:val="18"/>
                    </w:rPr>
                    <w:t>3</w:t>
                  </w:r>
                </w:p>
              </w:tc>
              <w:tc>
                <w:tcPr>
                  <w:tcW w:type="dxa" w:w="3255"/>
                </w:tcPr>
                <w:p>
                  <w:r>
                    <w:rPr>
                      <w:rFonts w:ascii="Times New Roman" w:hAnsi="Times New Roman" w:eastAsia="바탕"/>
                      <w:sz w:val="18"/>
                    </w:rPr>
                    <w:t>How. Refrigerate, keep dry, keep out of light</w:t>
                  </w:r>
                </w:p>
              </w:tc>
            </w:tr>
          </w:tbl>
          <w:p/>
          <w:p>
            <w:pPr>
              <w:spacing w:after="120"/>
            </w:pPr>
          </w:p>
          <w:p>
            <w:pPr>
              <w:spacing w:after="80" w:line="276" w:lineRule="auto"/>
              <w:jc w:val="both"/>
            </w:pPr>
            <w:r>
              <w:rPr>
                <w:rFonts w:ascii="Times New Roman" w:hAnsi="Times New Roman" w:eastAsia="바탕"/>
                <w:sz w:val="20"/>
              </w:rPr>
              <w:t>The two categories in bold correspond directly to the top two errors in Table 4 (dose 28.4%, timing 23.2%). Count stopping at five and time of day having only four is not economy aimed at shrinking the set but a reflection of prescriptions not in fact requiring more. Dosing more than five times a day is rare, and anything more frequent is expressed as "every so many hours" rather than as a time of day.</w:t>
            </w:r>
          </w:p>
          <w:p>
            <w:pPr>
              <w:spacing w:before="160" w:after="60"/>
              <w:jc w:val="center"/>
            </w:pPr>
            <w:r>
              <w:drawing>
                <wp:inline xmlns:a="http://schemas.openxmlformats.org/drawingml/2006/main" xmlns:pic="http://schemas.openxmlformats.org/drawingml/2006/picture">
                  <wp:extent cx="5486400" cy="2743200"/>
                  <wp:docPr id="16" name="Picture 16"/>
                  <wp:cNvGraphicFramePr>
                    <a:graphicFrameLocks noChangeAspect="1"/>
                  </wp:cNvGraphicFramePr>
                  <a:graphic>
                    <a:graphicData uri="http://schemas.openxmlformats.org/drawingml/2006/picture">
                      <pic:pic>
                        <pic:nvPicPr>
                          <pic:cNvPr id="0" name="chart17_morpheme_map.png"/>
                          <pic:cNvPicPr/>
                        </pic:nvPicPr>
                        <pic:blipFill>
                          <a:blip r:embed="rId33"/>
                          <a:stretch>
                            <a:fillRect/>
                          </a:stretch>
                        </pic:blipFill>
                        <pic:spPr>
                          <a:xfrm>
                            <a:off x="0" y="0"/>
                            <a:ext cx="5486400" cy="274320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16]</w:t>
            </w:r>
            <w:r>
              <w:rPr>
                <w:rFonts w:ascii="Times New Roman" w:hAnsi="Times New Roman" w:eastAsia="바탕"/>
                <w:color w:val="606068"/>
                <w:sz w:val="18"/>
              </w:rPr>
              <w:t xml:space="preserve"> How the 78 morphemes divide, set against the distribution of medication error. The two red branches map directly onto the leading error types in Table 4. That the size of a branch runs opposite to the size of the error is because the side that needs many drawings and the side that goes wrong often are not the same. Five is enough for count; twenty-six are needed for dosage form. Count stopping at five and time of day having only four is not economising to keep the set small but the fact that prescriptions do not ask for more. Dosing more than five times a day is rare, and anything more frequent is expressed as "every so many hours" rather than as a time of day.</w:t>
            </w:r>
          </w:p>
          <w:p>
            <w:pPr>
              <w:spacing w:after="80" w:line="276" w:lineRule="auto"/>
              <w:jc w:val="both"/>
            </w:pPr>
            <w:r>
              <w:rPr>
                <w:rFonts w:ascii="Times New Roman" w:hAnsi="Times New Roman" w:eastAsia="바탕"/>
                <w:sz w:val="20"/>
              </w:rPr>
              <w:t>The thickest category, conversely, is dosage form. The reason is in §2.3. Once the form is settled the verb and the body site are settled with it, so adding one form adds a whole instruction. The nine allergens follow the list of major allergens whose declaration is mandatory internationally.</w:t>
            </w:r>
          </w:p>
          <w:p>
            <w:pPr>
              <w:spacing w:after="80" w:line="276" w:lineRule="auto"/>
              <w:jc w:val="both"/>
            </w:pPr>
            <w:r>
              <w:rPr>
                <w:rFonts w:ascii="Times New Roman" w:hAnsi="Times New Roman" w:eastAsia="바탕"/>
                <w:sz w:val="20"/>
              </w:rPr>
              <w:t xml:space="preserve">The constraint of the black-and-white silhouette was touched from two directions in §5.7. Professor Namsoo Park of Hyupsung University wrote that in black and white alone it is hard to tell that the egg allergy marking is an egg, and that icons need to be drawn as the real thing; Professor Myoungsoon You of Seoul National University named "the half picture" as a place likely to be misread. The first became the basis, among the fixes after the survey in §5.7, for redrawing </w:t>
            </w:r>
            <w:r>
              <w:rPr>
                <w:rFonts w:ascii="Consolas" w:hAnsi="Consolas" w:eastAsia="Consolas"/>
                <w:sz w:val="19"/>
              </w:rPr>
              <w:t>allergen_egg</w:t>
            </w:r>
            <w:r>
              <w:rPr>
                <w:rFonts w:ascii="Times New Roman" w:hAnsi="Times New Roman" w:eastAsia="바탕"/>
                <w:sz w:val="20"/>
              </w:rPr>
              <w:t xml:space="preserve"> as a cracked egg; the second says that the half drawn by the </w:t>
            </w:r>
            <w:r>
              <w:rPr>
                <w:rFonts w:ascii="Consolas" w:hAnsi="Consolas" w:eastAsia="Consolas"/>
                <w:sz w:val="19"/>
              </w:rPr>
              <w:t>half{}</w:t>
            </w:r>
            <w:r>
              <w:rPr>
                <w:rFonts w:ascii="Times New Roman" w:hAnsi="Times New Roman" w:eastAsia="바탕"/>
                <w:sz w:val="20"/>
              </w:rPr>
              <w:t xml:space="preserve"> operator may not read as meaning a half. We have not fixed the second.</w:t>
            </w:r>
          </w:p>
          <w:p>
            <w:pPr>
              <w:spacing w:after="80" w:line="276" w:lineRule="auto"/>
              <w:jc w:val="both"/>
            </w:pPr>
            <w:r>
              <w:rPr>
                <w:rFonts w:ascii="Times New Roman" w:hAnsi="Times New Roman" w:eastAsia="바탕"/>
                <w:sz w:val="20"/>
              </w:rPr>
              <w:t>E. A. Draffan, retired speech and language therapist and visiting accessibility researcher at Global Symbols, pointed at another layer. Our set is black and white, whereas the symbol systems AAC users are familiar with are usually coloured, and the two look different. It interlocks with the decision in §3.7 to use colour only for the verdict and keep morphemes black and white. Using colour loses users with colour vision deficiency; not using it loses users accustomed to coloured symbols. We chose the former, and we record the cost here.</w:t>
            </w:r>
          </w:p>
          <w:p>
            <w:pPr>
              <w:spacing w:after="80" w:line="276" w:lineRule="auto"/>
              <w:jc w:val="both"/>
            </w:pPr>
            <w:r>
              <w:rPr>
                <w:rFonts w:ascii="Times New Roman" w:hAnsi="Times New Roman" w:eastAsia="바탕"/>
                <w:sz w:val="20"/>
              </w:rPr>
              <w:t>What is missing, the respondents pointed out themselves. Sheron Sir Loon Goh, Pharmacy Lecturer, gave as examples of special instructions "shake before use" and "keep away from children". Neither is among the present 78. Niken Nur Widyakusuma, PhD and pharmacist at Universitas Gadjah Mada in Indonesia, pointed at another layer: telling the medicines apart comes first when several arrive at once, and the present set distinguishes medicines only by dosage form. Receiving two different capsules produces two identical rows.</w:t>
            </w:r>
          </w:p>
          <w:p>
            <w:pPr>
              <w:spacing w:after="80" w:line="276" w:lineRule="auto"/>
              <w:jc w:val="both"/>
            </w:pPr>
            <w:r>
              <w:rPr>
                <w:rFonts w:ascii="Times New Roman" w:hAnsi="Times New Roman" w:eastAsia="바탕"/>
                <w:sz w:val="20"/>
              </w:rPr>
              <w:t>Professor Katarina Vučićević of the University of Belgrade widened the scope of interactions. Over-the-counter products, dietary supplements and underlying conditions may be clinically significant too, not only other medicines. What the verdict of §2.4 handles is the prescribed medicine and the conditions the user registered, so that scope currently lies outside.</w:t>
            </w:r>
          </w:p>
          <w:p>
            <w:pPr>
              <w:spacing w:after="80" w:line="276" w:lineRule="auto"/>
              <w:jc w:val="both"/>
            </w:pPr>
            <w:r>
              <w:rPr>
                <w:rFonts w:ascii="Times New Roman" w:hAnsi="Times New Roman" w:eastAsia="바탕"/>
                <w:sz w:val="20"/>
              </w:rPr>
              <w:t xml:space="preserve">We record here that the set is not closed. Prescriptions keep producing things these 78 cannot draw, and what the app does at that moment is covered by the </w:t>
            </w:r>
            <w:r>
              <w:rPr>
                <w:rFonts w:ascii="Consolas" w:hAnsi="Consolas" w:eastAsia="Consolas"/>
                <w:sz w:val="19"/>
              </w:rPr>
              <w:t>\?concept</w:t>
            </w:r>
            <w:r>
              <w:rPr>
                <w:rFonts w:ascii="Times New Roman" w:hAnsi="Times New Roman" w:eastAsia="바탕"/>
                <w:sz w:val="20"/>
              </w:rPr>
              <w:t xml:space="preserve"> marker in §2.3 and the expansion path in §5.10.</w:t>
            </w:r>
          </w:p>
          <w:p>
            <w:pPr>
              <w:spacing w:after="80" w:line="276" w:lineRule="auto"/>
              <w:jc w:val="both"/>
            </w:pPr>
            <w:r>
              <w:rPr>
                <w:rFonts w:ascii="Times New Roman" w:hAnsi="Times New Roman" w:eastAsia="바탕"/>
                <w:sz w:val="20"/>
              </w:rPr>
              <w:t>Why this structure is needed becomes clear in contrast with the USP standard from the previous section. A single instruction reading "three times a day, after meals, keep refrigerated, contraindicated in pregnancy" can only be conveyed in USP by listing five or six symbols, and will remain so because the licence prohibits combination (USP Pictogram Library License Agreement). In SIGIL it is expressed as follows.</w:t>
            </w:r>
          </w:p>
          <w:p>
            <w:pPr>
              <w:spacing w:after="160"/>
            </w:pPr>
            <w:r>
              <w:rPr>
                <w:rFonts w:ascii="Consolas" w:hAnsi="Consolas" w:eastAsia="Consolas"/>
                <w:sz w:val="18"/>
              </w:rPr>
              <w:t>\three_times_daily{ \capsule_strip{\food_bowl} }</w:t>
              <w:br/>
              <w:t>\capsule_strip{\storage_fridge}</w:t>
              <w:br/>
              <w:t>\no{\state_pregnant}</w:t>
            </w:r>
          </w:p>
          <w:p>
            <w:pPr>
              <w:spacing w:after="80" w:line="276" w:lineRule="auto"/>
              <w:jc w:val="both"/>
            </w:pPr>
            <w:r>
              <w:rPr>
                <w:rFonts w:ascii="Times New Roman" w:hAnsi="Times New Roman" w:eastAsia="바탕"/>
                <w:sz w:val="20"/>
              </w:rPr>
              <w:t>Each line is composed into one picture, with slots opened inside the head for modifiers to be drawn into. Adding a morpheme requires one drawing, and the grammar produces the remaining combinations.</w:t>
            </w:r>
          </w:p>
          <w:p>
            <w:pPr>
              <w:spacing w:after="80" w:line="276" w:lineRule="auto"/>
              <w:jc w:val="both"/>
            </w:pPr>
            <w:r>
              <w:rPr>
                <w:rFonts w:ascii="Times New Roman" w:hAnsi="Times New Roman" w:eastAsia="바탕"/>
                <w:sz w:val="20"/>
              </w:rPr>
              <w:t>The grammar is not merely a set of rules; the parser enforces it. The core of the recursive descent parser is as follows.</w:t>
            </w:r>
          </w:p>
          <w:p>
            <w:pPr>
              <w:spacing w:after="160"/>
            </w:pPr>
            <w:r>
              <w:rPr>
                <w:rFonts w:ascii="Consolas" w:hAnsi="Consolas" w:eastAsia="Consolas"/>
                <w:sz w:val="18"/>
              </w:rPr>
              <w:t>def _pictogram(self, in_slot: bool = False) -&gt; Node:</w:t>
              <w:br/>
              <w:t xml:space="preserve">    if self._peek() != "\\":</w:t>
              <w:br/>
              <w:t xml:space="preserve">        raise ParseError(f"expected '\\' at position {self.i}")</w:t>
              <w:br/>
              <w:t xml:space="preserve">    self.i += 1</w:t>
              <w:br/>
              <w:t xml:space="preserve">    name = self._name()</w:t>
              <w:br/>
              <w:br/>
              <w:t xml:space="preserve">    if self.m.is_operator(name):</w:t>
              <w:br/>
              <w:t xml:space="preserve">        if self._peek() != "{":</w:t>
              <w:br/>
              <w:t xml:space="preserve">            raise ParseError(f"\\{name} requires a child: \\{name}{{...}}")</w:t>
              <w:br/>
              <w:t xml:space="preserve">        ...</w:t>
              <w:br/>
              <w:t xml:space="preserve">        return Node(name=name, kind=NodeKind.OPERATOR, children=[child])</w:t>
              <w:br/>
              <w:br/>
              <w:t xml:space="preserve">    if self.m.is_head(name):</w:t>
              <w:br/>
              <w:t xml:space="preserve">        children = self._slots()</w:t>
              <w:br/>
              <w:t xml:space="preserve">        for c in children:</w:t>
              <w:br/>
              <w:t xml:space="preserve">            if c.kind != NodeKind.MODIFIER:</w:t>
              <w:br/>
              <w:t xml:space="preserve">                raise ParseError(</w:t>
              <w:br/>
              <w:t xml:space="preserve">                    f"\\{name} slots only accept modifiers; got \\{c.name}"</w:t>
              <w:br/>
              <w:t xml:space="preserve">                )</w:t>
              <w:br/>
              <w:t xml:space="preserve">        return Node(name=name, kind=NodeKind.HEAD, children=children)</w:t>
              <w:br/>
              <w:br/>
              <w:t xml:space="preserve">    if self.m.is_modifier(name):</w:t>
              <w:br/>
              <w:t xml:space="preserve">        if not in_slot and not self.m.get(name).standalone:</w:t>
              <w:br/>
              <w:t xml:space="preserve">            raise ParseError(</w:t>
              <w:br/>
              <w:t xml:space="preserve">                f"\\{name} is a modifier; must appear inside a head's slot"</w:t>
              <w:br/>
              <w:t xml:space="preserve">            )</w:t>
              <w:br/>
              <w:t xml:space="preserve">        return Node(name=name, kind=NodeKind.MODIFIER)</w:t>
              <w:br/>
              <w:br/>
              <w:t xml:space="preserve">    raise ParseError(f"unknown macro \\{name}")</w:t>
            </w:r>
          </w:p>
          <w:p>
            <w:pPr>
              <w:spacing w:after="80" w:line="276" w:lineRule="auto"/>
              <w:jc w:val="both"/>
            </w:pPr>
            <w:r>
              <w:rPr>
                <w:rFonts w:ascii="Times New Roman" w:hAnsi="Times New Roman" w:eastAsia="바탕"/>
                <w:sz w:val="20"/>
              </w:rPr>
              <w:t xml:space="preserve">Design intent. Each of the three branches is one clause of the grammar. A modifier outside a slot fails to parse unless it is marked </w:t>
            </w:r>
            <w:r>
              <w:rPr>
                <w:rFonts w:ascii="Consolas" w:hAnsi="Consolas" w:eastAsia="Consolas"/>
                <w:sz w:val="19"/>
              </w:rPr>
              <w:t>standalone</w:t>
            </w:r>
            <w:r>
              <w:rPr>
                <w:rFonts w:ascii="Times New Roman" w:hAnsi="Times New Roman" w:eastAsia="바탕"/>
                <w:sz w:val="20"/>
              </w:rPr>
              <w:t xml:space="preserve"> (the four in §2.2 are morning, noon, evening and night; a time of day stands on its own without modifying anything, so it is allowed to stand alone), a head placed in another head's slot fails as well, and a name absent from the dictionary becomes an error rather than a picture. This matters because the DSL is not written by hand but produced by a language model reading a prescription. If the model invents a plausible name, that has to become a parse error rather than a plausible picture on screen. Putting a deterministic verification layer over probabilistic output on a safety-critical screen is what this parser is for, and the same structure is used for the nutrition verdict in §4.2.</w:t>
            </w:r>
          </w:p>
          <w:p>
            <w:pPr>
              <w:spacing w:before="160" w:after="60"/>
              <w:jc w:val="center"/>
            </w:pPr>
            <w:r>
              <w:drawing>
                <wp:inline xmlns:a="http://schemas.openxmlformats.org/drawingml/2006/main" xmlns:pic="http://schemas.openxmlformats.org/drawingml/2006/picture">
                  <wp:extent cx="5190586" cy="4754880"/>
                  <wp:docPr id="17" name="Picture 17"/>
                  <wp:cNvGraphicFramePr>
                    <a:graphicFrameLocks noChangeAspect="1"/>
                  </wp:cNvGraphicFramePr>
                  <a:graphic>
                    <a:graphicData uri="http://schemas.openxmlformats.org/drawingml/2006/picture">
                      <pic:pic>
                        <pic:nvPicPr>
                          <pic:cNvPr id="0" name="fig02_sigil_sheet.png"/>
                          <pic:cNvPicPr/>
                        </pic:nvPicPr>
                        <pic:blipFill>
                          <a:blip r:embed="rId34"/>
                          <a:stretch>
                            <a:fillRect/>
                          </a:stretch>
                        </pic:blipFill>
                        <pic:spPr>
                          <a:xfrm>
                            <a:off x="0" y="0"/>
                            <a:ext cx="5190586"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17]</w:t>
            </w:r>
            <w:r>
              <w:rPr>
                <w:rFonts w:ascii="Times New Roman" w:hAnsi="Times New Roman" w:eastAsia="바탕"/>
                <w:color w:val="606068"/>
                <w:sz w:val="18"/>
              </w:rPr>
              <w:t xml:space="preserve"> All 78 SIGIL morphemes (57 heads and 21 modifiers). The small image beneath each morpheme is the same glyph reduced to 34 pixels. The reductions are included because these pictures are in practice used on a palm-sized screen, sometimes as a single cell in a list. A picture that is only distinguishable when drawn large cannot be used in this app.</w:t>
            </w:r>
          </w:p>
          <w:p>
            <w:pPr>
              <w:spacing w:after="80" w:line="276" w:lineRule="auto"/>
              <w:jc w:val="both"/>
            </w:pPr>
            <w:r>
              <w:rPr>
                <w:rFonts w:ascii="Times New Roman" w:hAnsi="Times New Roman" w:eastAsia="바탕"/>
                <w:sz w:val="20"/>
              </w:rPr>
              <w:t>Whether 78 is enough was put to us head-on in the survey. It is the first line Professor Kyogu Lee of Seoul National University wrote in the "anything you would add" box:</w:t>
            </w:r>
          </w:p>
          <w:p>
            <w:pPr>
              <w:spacing w:after="40" w:line="276" w:lineRule="auto"/>
              <w:ind w:left="403"/>
            </w:pPr>
            <w:r>
              <w:rPr>
                <w:rFonts w:ascii="Times New Roman" w:hAnsi="Times New Roman" w:eastAsia="바탕"/>
                <w:i/>
                <w:color w:val="606068"/>
                <w:sz w:val="19"/>
              </w:rPr>
              <w:t>"The pictograms define 78 \"words\"; even with recombination, can they really cover the very wide range of medicines and regimens?"</w:t>
            </w:r>
          </w:p>
          <w:p>
            <w:pPr>
              <w:spacing w:after="180" w:line="276" w:lineRule="auto"/>
              <w:ind w:left="403"/>
            </w:pPr>
            <w:r>
              <w:rPr>
                <w:rFonts w:ascii="Times New Roman" w:hAnsi="Times New Roman" w:eastAsia="바탕"/>
                <w:i w:val="0"/>
                <w:color w:val="606068"/>
                <w:sz w:val="19"/>
              </w:rPr>
              <w:t>(Professor Kyogu Lee, Seoul National University)</w:t>
            </w:r>
          </w:p>
          <w:p>
            <w:pPr>
              <w:spacing w:after="80" w:line="276" w:lineRule="auto"/>
              <w:jc w:val="both"/>
            </w:pPr>
            <w:r>
              <w:rPr>
                <w:rFonts w:ascii="Times New Roman" w:hAnsi="Times New Roman" w:eastAsia="바탕"/>
                <w:sz w:val="20"/>
              </w:rPr>
              <w:t>What this section can answer is the arithmetic. Each of the 57 heads has one modifier slot and the dictionary restricts which modifiers may enter it, so the set as it stands can produce 1,258 cells (Figure 12). The 78 is a count of words, not a count of instructions that can be expressed.</w:t>
            </w:r>
          </w:p>
          <w:p>
            <w:pPr>
              <w:spacing w:after="80" w:line="276" w:lineRule="auto"/>
              <w:jc w:val="both"/>
            </w:pPr>
            <w:r>
              <w:rPr>
                <w:rFonts w:ascii="Times New Roman" w:hAnsi="Times New Roman" w:eastAsia="바탕"/>
                <w:sz w:val="20"/>
              </w:rPr>
              <w:t>That answer does not take the whole question, though. How many of the 1,258 make sense we did not count, and we did not survey the distribution of instructions in real prescriptions to see whether they are covered. The top three types clustered in Table 4 of §1.3 can be said to be covered, but that is where errors cluster, not where instructions cluster. We leave this question to stage 4 of §5.10, the procedure that records concepts the app could not build. Only by counting what it fails to make can we learn whether 78 is short.</w:t>
            </w:r>
          </w:p>
          <w:p>
            <w:pPr>
              <w:spacing w:after="80" w:line="276" w:lineRule="auto"/>
              <w:jc w:val="both"/>
            </w:pPr>
            <w:r>
              <w:rPr>
                <w:rFonts w:ascii="Times New Roman" w:hAnsi="Times New Roman" w:eastAsia="바탕"/>
                <w:sz w:val="20"/>
              </w:rPr>
              <w:t>The same response pointed at one more thing, and that one is already fixed: some negative instructions carry no "/" or "X", with alcohol and pregnancy given as examples. §5.2 divided the prohibition marking into three by the nature of the flag and dealt with that place.</w:t>
            </w:r>
          </w:p>
          <w:p>
            <w:pPr>
              <w:spacing w:before="160" w:after="60"/>
              <w:jc w:val="center"/>
            </w:pPr>
            <w:r>
              <w:drawing>
                <wp:inline xmlns:a="http://schemas.openxmlformats.org/drawingml/2006/main" xmlns:pic="http://schemas.openxmlformats.org/drawingml/2006/picture">
                  <wp:extent cx="5486400" cy="4377923"/>
                  <wp:docPr id="18" name="Picture 18"/>
                  <wp:cNvGraphicFramePr>
                    <a:graphicFrameLocks noChangeAspect="1"/>
                  </wp:cNvGraphicFramePr>
                  <a:graphic>
                    <a:graphicData uri="http://schemas.openxmlformats.org/drawingml/2006/picture">
                      <pic:pic>
                        <pic:nvPicPr>
                          <pic:cNvPr id="0" name="fig03_dsl.png"/>
                          <pic:cNvPicPr/>
                        </pic:nvPicPr>
                        <pic:blipFill>
                          <a:blip r:embed="rId35"/>
                          <a:stretch>
                            <a:fillRect/>
                          </a:stretch>
                        </pic:blipFill>
                        <pic:spPr>
                          <a:xfrm>
                            <a:off x="0" y="0"/>
                            <a:ext cx="5486400" cy="4377923"/>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18]</w:t>
            </w:r>
            <w:r>
              <w:rPr>
                <w:rFonts w:ascii="Times New Roman" w:hAnsi="Times New Roman" w:eastAsia="바탕"/>
                <w:color w:val="606068"/>
                <w:sz w:val="18"/>
              </w:rPr>
              <w:t xml:space="preserve"> How one line of DSL becomes one picture. All four examples are outputs from the actual engine and were not redrawn for the diagram. Because modifiers go into slots opened in the head, the combinations arising from 78 morphemes are determined by the grammar rather than by a list.</w:t>
            </w:r>
          </w:p>
          <w:p>
            <w:pPr>
              <w:spacing w:before="180" w:after="40"/>
            </w:pPr>
            <w:r>
              <w:rPr>
                <w:rFonts w:ascii="Times New Roman" w:hAnsi="Times New Roman" w:eastAsia="바탕"/>
                <w:b/>
                <w:sz w:val="23"/>
              </w:rPr>
              <w:t>2.3 VOCA, the spoken instruction engine</w:t>
            </w:r>
          </w:p>
          <w:p>
            <w:pPr>
              <w:spacing w:after="80" w:line="276" w:lineRule="auto"/>
              <w:jc w:val="both"/>
            </w:pPr>
            <w:r>
              <w:rPr>
                <w:rFonts w:ascii="Times New Roman" w:hAnsi="Times New Roman" w:eastAsia="바탕"/>
                <w:sz w:val="20"/>
              </w:rPr>
              <w:t>VOCA (Voice-Output Composition Architecture) does not convert the string read by OCR straight into speech. A prescription contains a great deal the patient does not need to know, and what they do need is scattered.</w:t>
            </w:r>
          </w:p>
          <w:p>
            <w:pPr>
              <w:spacing w:after="80" w:line="276" w:lineRule="auto"/>
              <w:jc w:val="both"/>
            </w:pPr>
            <w:r>
              <w:rPr>
                <w:rFonts w:ascii="Times New Roman" w:hAnsi="Times New Roman" w:eastAsia="바탕"/>
                <w:sz w:val="20"/>
              </w:rPr>
              <w:t xml:space="preserve">VOCA extracts only what is needed, reassembles it and turns it into sentences. The basis for this design lies in research on interactive voice response. A study that gathered older people into focus groups and asked what they found hard about interactive voice response came back with frustration at not being able to reach an operator, waits that were too long, being unable to recover from a mistake, and the absence of shortcuts. Notably, a significant number said they preferred a system that adjusts to them automatically over one they have to adjust themselves, and the authors conclude by proposing a design that detects difficulty during an exchange in progress and routes each person to a different flow (Miller, D. I., Bruce, H., Gagnon, M., Talbot, V. &amp; Messier, C., "Improving Older Adults' Experience with Interactive Voice Response Systems," </w:t>
            </w:r>
            <w:r>
              <w:rPr>
                <w:rFonts w:ascii="Times New Roman" w:hAnsi="Times New Roman" w:eastAsia="바탕"/>
                <w:i/>
                <w:sz w:val="20"/>
              </w:rPr>
              <w:t>Telemedicine and e-Health</w:t>
            </w:r>
            <w:r>
              <w:rPr>
                <w:rFonts w:ascii="Times New Roman" w:hAnsi="Times New Roman" w:eastAsia="바탕"/>
                <w:sz w:val="20"/>
              </w:rPr>
              <w:t xml:space="preserve">, 17(6):452–455, 2011, doi:10.1089/tmj.2010.0204). When the same group later had 185 adults over 65 use four commercial systems, they reported that success and attitude moved together, yet a sizeable subset rated the systems highly despite real difficulty, and those participants tended to have lower full scale IQ. The participants saw interaction with these systems as particularly demanding on attention and concentration (Miller, D. I., Aubé, F., Talbot, V., Gagnon, M. &amp; Messier, C., "Older people's attitudes toward interactive voice response systems," </w:t>
            </w:r>
            <w:r>
              <w:rPr>
                <w:rFonts w:ascii="Times New Roman" w:hAnsi="Times New Roman" w:eastAsia="바탕"/>
                <w:i/>
                <w:sz w:val="20"/>
              </w:rPr>
              <w:t>Telemedicine and e-Health</w:t>
            </w:r>
            <w:r>
              <w:rPr>
                <w:rFonts w:ascii="Times New Roman" w:hAnsi="Times New Roman" w:eastAsia="바탕"/>
                <w:sz w:val="20"/>
              </w:rPr>
              <w:t>, 20(2):152–156, 2014, doi:10.1089/tmj.2013.0028).</w:t>
            </w:r>
          </w:p>
          <w:p>
            <w:pPr>
              <w:spacing w:after="80" w:line="276" w:lineRule="auto"/>
              <w:jc w:val="both"/>
            </w:pPr>
            <w:r>
              <w:rPr>
                <w:rFonts w:ascii="Times New Roman" w:hAnsi="Times New Roman" w:eastAsia="바탕"/>
                <w:sz w:val="20"/>
              </w:rPr>
              <w:t>Two things follow for this app. First, if speech is that demanding on attention, its length is itself a burden. Playing speech is not enough on its own, and what not to say becomes the core of the design. On the second point this app parts from that study. A significant number preferred a system that adjusts itself, and this app has a setting for choosing the speaking rate (§3.5). What is read and when is not left to the user, though, but settled by the screen and the situation, and the place where the rate is chosen was built so that it demands no reading. It is four steps between a tortoise and a hare rather than numbers, and choosing one plays a sentence at that rate immediately. Instead of reading a description and then choosing, one hears it and chooses. That is still not the recommendation followed as given, and which way is better remains an item to ask in the field evaluation of §5.10.</w:t>
            </w:r>
          </w:p>
          <w:p>
            <w:pPr>
              <w:spacing w:after="80" w:line="276" w:lineRule="auto"/>
              <w:jc w:val="both"/>
            </w:pPr>
            <w:r>
              <w:rPr>
                <w:rFonts w:ascii="Times New Roman" w:hAnsi="Times New Roman" w:eastAsia="바탕"/>
                <w:sz w:val="20"/>
              </w:rPr>
              <w:t>How far these two studies carry is worth stating. Both looked at older Canadians using interactive voice response, and the medium of a telephone call differs from this app. Neither had a control group of younger users, so what comes out of them is not a difference by age but what older users found difficult.</w:t>
            </w:r>
          </w:p>
          <w:p>
            <w:pPr>
              <w:spacing w:after="80" w:line="276" w:lineRule="auto"/>
              <w:jc w:val="both"/>
            </w:pPr>
            <w:r>
              <w:rPr>
                <w:rFonts w:ascii="Times New Roman" w:hAnsi="Times New Roman" w:eastAsia="바탕"/>
                <w:sz w:val="20"/>
              </w:rPr>
              <w:t>That study contains one result that appears at first to run against our design: both age groups were more efficient when more options were presented. This concerns the number of options held in a single step, however, and doing so reduces the depth of the menu. It runs in the same direction as the finding in §1.10 that deep hierarchies are particularly unfavourable for non-literate users, and what the two studies point to together is "reduce the steps" rather than "reduce the options." What SnapCare has taken is the extreme of that. There is not a single step on the path to a verdict.</w:t>
            </w:r>
          </w:p>
          <w:p>
            <w:pPr>
              <w:spacing w:after="80" w:line="276" w:lineRule="auto"/>
              <w:jc w:val="both"/>
            </w:pPr>
            <w:r>
              <w:rPr>
                <w:rFonts w:ascii="Times New Roman" w:hAnsi="Times New Roman" w:eastAsia="바탕"/>
                <w:sz w:val="20"/>
              </w:rPr>
              <w:t>What to discard is settled first. One prescription sheet also carries a patient record number, the name of the institution, a prescription code, the prescriber's licence number, the date of issue and a drug code. All six are needed for administration, billing and traceability, and not one of them changes anything the person about to take the medicine has to do. On paper the eye skips them by itself. Speech cannot be skipped. The listener can neither rewind nor run ahead, so every line read aloud buries what comes after it by that much. This information stays on the screen. It is not deleted; it is not read.</w:t>
            </w:r>
          </w:p>
          <w:p>
            <w:pPr>
              <w:spacing w:after="80" w:line="276" w:lineRule="auto"/>
              <w:jc w:val="both"/>
            </w:pPr>
            <w:r>
              <w:rPr>
                <w:rFonts w:ascii="Times New Roman" w:hAnsi="Times New Roman" w:eastAsia="바탕"/>
                <w:sz w:val="20"/>
              </w:rPr>
              <w:t>There is a reason for the order in which what remains is spoken. The dose per intake comes first. In the first formative measurement in §5.1, dose and storage information reached the pictogram from OCR but did not reach the speech and the sentences, and that state is exactly the failure type cited in §1.3: repeating the instruction accurately while being unable to point out how many tablets a day. In Davis et al. (2006), of the 70.7% who could do the former, 34.7% could do the latter. Then comes how to take it, then the closing sentence, and storage is attached only when refrigeration is required. Room temperature is the default and not worth another sentence.</w:t>
            </w:r>
          </w:p>
          <w:p>
            <w:pPr>
              <w:spacing w:before="160" w:after="60"/>
              <w:jc w:val="center"/>
            </w:pPr>
            <w:r>
              <w:drawing>
                <wp:inline xmlns:a="http://schemas.openxmlformats.org/drawingml/2006/main" xmlns:pic="http://schemas.openxmlformats.org/drawingml/2006/picture">
                  <wp:extent cx="5486400" cy="3017520"/>
                  <wp:docPr id="19" name="Picture 19"/>
                  <wp:cNvGraphicFramePr>
                    <a:graphicFrameLocks noChangeAspect="1"/>
                  </wp:cNvGraphicFramePr>
                  <a:graphic>
                    <a:graphicData uri="http://schemas.openxmlformats.org/drawingml/2006/picture">
                      <pic:pic>
                        <pic:nvPicPr>
                          <pic:cNvPr id="0" name="fig26_voca.png"/>
                          <pic:cNvPicPr/>
                        </pic:nvPicPr>
                        <pic:blipFill>
                          <a:blip r:embed="rId36"/>
                          <a:stretch>
                            <a:fillRect/>
                          </a:stretch>
                        </pic:blipFill>
                        <pic:spPr>
                          <a:xfrm>
                            <a:off x="0" y="0"/>
                            <a:ext cx="5486400" cy="301752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19]</w:t>
            </w:r>
            <w:r>
              <w:rPr>
                <w:rFonts w:ascii="Times New Roman" w:hAnsi="Times New Roman" w:eastAsia="바탕"/>
                <w:color w:val="606068"/>
                <w:sz w:val="18"/>
              </w:rPr>
              <w:t xml:space="preserve"> What VOCA discards from one prescription sheet and in what order it says the rest. The six discarded lines are not erased from the screen; they are simply not read aloud. Order is importance because the listener cannot rewind, and the dose per intake comes first because in the first measurement of §5.1 that item was not reaching the speech channel.</w:t>
            </w:r>
          </w:p>
          <w:p>
            <w:pPr>
              <w:spacing w:after="80" w:line="276" w:lineRule="auto"/>
              <w:jc w:val="both"/>
            </w:pPr>
            <w:r>
              <w:rPr>
                <w:rFonts w:ascii="Times New Roman" w:hAnsi="Times New Roman" w:eastAsia="바탕"/>
                <w:sz w:val="20"/>
              </w:rPr>
              <w:t>The verb also changes with the dosage form. A tablet is "take," but eye drops are "put in," an ointment is "apply" and an inhaler is "breathe in." The single word "administer" points to completely different physical actions.</w:t>
            </w:r>
          </w:p>
          <w:p>
            <w:pPr>
              <w:spacing w:after="80" w:line="276" w:lineRule="auto"/>
              <w:jc w:val="both"/>
            </w:pPr>
            <w:r>
              <w:rPr>
                <w:rFonts w:ascii="Times New Roman" w:hAnsi="Times New Roman" w:eastAsia="바탕"/>
                <w:sz w:val="20"/>
              </w:rPr>
              <w:t>The verb is not the only thing that changes. The body site changes too. That eye drops go into the eye is half the instruction, and if the picture has only the bottle and no eye, that half disappears. The body site is therefore derived from the dosage form.</w:t>
            </w:r>
          </w:p>
          <w:p>
            <w:pPr>
              <w:spacing w:after="160"/>
            </w:pPr>
            <w:r>
              <w:rPr>
                <w:rFonts w:ascii="Consolas" w:hAnsi="Consolas" w:eastAsia="Consolas"/>
                <w:sz w:val="18"/>
              </w:rPr>
              <w:t>/**</w:t>
              <w:br/>
              <w:t xml:space="preserve"> * Dosage form → where on the body it is used.</w:t>
              <w:br/>
              <w:t xml:space="preserve"> *</w:t>
              <w:br/>
              <w:t xml:space="preserve"> * That eye drops go 'into the eye' is half the instruction, yet the picture had</w:t>
              <w:br/>
              <w:t xml:space="preserve"> * only the bottle and no eye. The moment OCR identifies the form the site is</w:t>
              <w:br/>
              <w:t xml:space="preserve"> * settled too, so there is no need to ask separately.</w:t>
              <w:br/>
              <w:t xml:space="preserve"> */</w:t>
              <w:br/>
              <w:t>const FORM_SITE: Record&lt;string, string&gt; = {</w:t>
              <w:br/>
              <w:t xml:space="preserve">  eyedrop: 'body_eye',</w:t>
              <w:br/>
              <w:t xml:space="preserve">  cream:   'body_skin',</w:t>
              <w:br/>
              <w:t xml:space="preserve">  inhaler: 'body_mouth',</w:t>
              <w:br/>
              <w:t xml:space="preserve">  syrup:   'body_mouth',</w:t>
              <w:br/>
              <w:t>};</w:t>
            </w:r>
          </w:p>
          <w:p>
            <w:pPr>
              <w:spacing w:after="80" w:line="276" w:lineRule="auto"/>
              <w:jc w:val="both"/>
            </w:pPr>
            <w:r>
              <w:rPr>
                <w:rFonts w:ascii="Times New Roman" w:hAnsi="Times New Roman" w:eastAsia="바탕"/>
                <w:sz w:val="20"/>
              </w:rPr>
              <w:t>Putting all nine dosage forms side by side shows the rule that governs the two channels.</w:t>
            </w:r>
          </w:p>
          <w:p>
            <w:pPr>
              <w:spacing w:after="80" w:line="276" w:lineRule="auto"/>
              <w:jc w:val="both"/>
            </w:pPr>
            <w:r>
              <w:rPr>
                <w:rFonts w:ascii="Times New Roman" w:hAnsi="Times New Roman" w:eastAsia="바탕"/>
                <w:sz w:val="20"/>
              </w:rPr>
              <w:t>[Table 10] Body site and speech derived from the dosage form (all nine forms)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53"/>
              <w:gridCol w:w="1953"/>
              <w:gridCol w:w="1953"/>
              <w:gridCol w:w="1953"/>
              <w:gridCol w:w="1953"/>
            </w:tblGrid>
            <w:tr>
              <w:tc>
                <w:tcPr>
                  <w:tcW w:type="dxa" w:w="1953"/>
                  <w:shd w:val="clear" w:fill="F2F2F2"/>
                </w:tcPr>
                <w:p>
                  <w:r>
                    <w:rPr>
                      <w:rFonts w:ascii="Times New Roman" w:hAnsi="Times New Roman" w:eastAsia="바탕"/>
                      <w:b/>
                      <w:sz w:val="18"/>
                    </w:rPr>
                    <w:t>Dosage form</w:t>
                  </w:r>
                </w:p>
              </w:tc>
              <w:tc>
                <w:tcPr>
                  <w:tcW w:type="dxa" w:w="1953"/>
                  <w:shd w:val="clear" w:fill="F2F2F2"/>
                </w:tcPr>
                <w:p>
                  <w:r>
                    <w:rPr>
                      <w:rFonts w:ascii="Times New Roman" w:hAnsi="Times New Roman" w:eastAsia="바탕"/>
                      <w:b/>
                      <w:sz w:val="18"/>
                    </w:rPr>
                    <w:t>Site in the picture</w:t>
                  </w:r>
                </w:p>
              </w:tc>
              <w:tc>
                <w:tcPr>
                  <w:tcW w:type="dxa" w:w="1953"/>
                  <w:shd w:val="clear" w:fill="F2F2F2"/>
                </w:tcPr>
                <w:p>
                  <w:r>
                    <w:rPr>
                      <w:rFonts w:ascii="Times New Roman" w:hAnsi="Times New Roman" w:eastAsia="바탕"/>
                      <w:b/>
                      <w:sz w:val="18"/>
                    </w:rPr>
                    <w:t>Spoken verb</w:t>
                  </w:r>
                </w:p>
              </w:tc>
              <w:tc>
                <w:tcPr>
                  <w:tcW w:type="dxa" w:w="1953"/>
                  <w:shd w:val="clear" w:fill="F2F2F2"/>
                </w:tcPr>
                <w:p>
                  <w:r>
                    <w:rPr>
                      <w:rFonts w:ascii="Times New Roman" w:hAnsi="Times New Roman" w:eastAsia="바탕"/>
                      <w:b/>
                      <w:sz w:val="18"/>
                    </w:rPr>
                    <w:t>Spoken site</w:t>
                  </w:r>
                </w:p>
              </w:tc>
              <w:tc>
                <w:tcPr>
                  <w:tcW w:type="dxa" w:w="1953"/>
                  <w:shd w:val="clear" w:fill="F2F2F2"/>
                </w:tcPr>
                <w:p>
                  <w:r>
                    <w:rPr>
                      <w:rFonts w:ascii="Times New Roman" w:hAnsi="Times New Roman" w:eastAsia="바탕"/>
                      <w:b/>
                      <w:sz w:val="18"/>
                    </w:rPr>
                    <w:t>Closing sentence</w:t>
                  </w:r>
                </w:p>
              </w:tc>
            </w:tr>
            <w:tr>
              <w:tc>
                <w:tcPr>
                  <w:tcW w:type="dxa" w:w="1953"/>
                </w:tcPr>
                <w:p>
                  <w:r>
                    <w:rPr>
                      <w:rFonts w:ascii="Times New Roman" w:hAnsi="Times New Roman" w:eastAsia="바탕"/>
                      <w:sz w:val="18"/>
                    </w:rPr>
                    <w:t>eyedrop</w:t>
                  </w:r>
                </w:p>
              </w:tc>
              <w:tc>
                <w:tcPr>
                  <w:tcW w:type="dxa" w:w="1953"/>
                </w:tcPr>
                <w:p>
                  <w:r>
                    <w:rPr>
                      <w:rFonts w:ascii="Times New Roman" w:hAnsi="Times New Roman" w:eastAsia="바탕"/>
                      <w:sz w:val="18"/>
                    </w:rPr>
                    <w:t>eye</w:t>
                  </w:r>
                </w:p>
              </w:tc>
              <w:tc>
                <w:tcPr>
                  <w:tcW w:type="dxa" w:w="1953"/>
                </w:tcPr>
                <w:p>
                  <w:r>
                    <w:rPr>
                      <w:rFonts w:ascii="Times New Roman" w:hAnsi="Times New Roman" w:eastAsia="바탕"/>
                      <w:sz w:val="18"/>
                    </w:rPr>
                    <w:t>Put</w:t>
                  </w:r>
                </w:p>
              </w:tc>
              <w:tc>
                <w:tcPr>
                  <w:tcW w:type="dxa" w:w="1953"/>
                </w:tcPr>
                <w:p>
                  <w:r>
                    <w:rPr>
                      <w:rFonts w:ascii="Times New Roman" w:hAnsi="Times New Roman" w:eastAsia="바탕"/>
                      <w:sz w:val="18"/>
                    </w:rPr>
                    <w:t>in the eye</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cream</w:t>
                  </w:r>
                </w:p>
              </w:tc>
              <w:tc>
                <w:tcPr>
                  <w:tcW w:type="dxa" w:w="1953"/>
                </w:tcPr>
                <w:p>
                  <w:r>
                    <w:rPr>
                      <w:rFonts w:ascii="Times New Roman" w:hAnsi="Times New Roman" w:eastAsia="바탕"/>
                      <w:sz w:val="18"/>
                    </w:rPr>
                    <w:t>skin</w:t>
                  </w:r>
                </w:p>
              </w:tc>
              <w:tc>
                <w:tcPr>
                  <w:tcW w:type="dxa" w:w="1953"/>
                </w:tcPr>
                <w:p>
                  <w:r>
                    <w:rPr>
                      <w:rFonts w:ascii="Times New Roman" w:hAnsi="Times New Roman" w:eastAsia="바탕"/>
                      <w:sz w:val="18"/>
                    </w:rPr>
                    <w:t>Apply</w:t>
                  </w:r>
                </w:p>
              </w:tc>
              <w:tc>
                <w:tcPr>
                  <w:tcW w:type="dxa" w:w="1953"/>
                </w:tcPr>
                <w:p>
                  <w:r>
                    <w:rPr>
                      <w:rFonts w:ascii="Times New Roman" w:hAnsi="Times New Roman" w:eastAsia="바탕"/>
                      <w:sz w:val="18"/>
                    </w:rPr>
                    <w:t>on the skin</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inhaler</w:t>
                  </w:r>
                </w:p>
              </w:tc>
              <w:tc>
                <w:tcPr>
                  <w:tcW w:type="dxa" w:w="1953"/>
                </w:tcPr>
                <w:p>
                  <w:r>
                    <w:rPr>
                      <w:rFonts w:ascii="Times New Roman" w:hAnsi="Times New Roman" w:eastAsia="바탕"/>
                      <w:sz w:val="18"/>
                    </w:rPr>
                    <w:t>mouth</w:t>
                  </w:r>
                </w:p>
              </w:tc>
              <w:tc>
                <w:tcPr>
                  <w:tcW w:type="dxa" w:w="1953"/>
                </w:tcPr>
                <w:p>
                  <w:r>
                    <w:rPr>
                      <w:rFonts w:ascii="Times New Roman" w:hAnsi="Times New Roman" w:eastAsia="바탕"/>
                      <w:sz w:val="18"/>
                    </w:rPr>
                    <w:t>Breathe in</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syrup</w:t>
                  </w:r>
                </w:p>
              </w:tc>
              <w:tc>
                <w:tcPr>
                  <w:tcW w:type="dxa" w:w="1953"/>
                </w:tcPr>
                <w:p>
                  <w:r>
                    <w:rPr>
                      <w:rFonts w:ascii="Times New Roman" w:hAnsi="Times New Roman" w:eastAsia="바탕"/>
                      <w:sz w:val="18"/>
                    </w:rPr>
                    <w:t>mouth</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Take as prescribed.</w:t>
                  </w:r>
                </w:p>
              </w:tc>
            </w:tr>
            <w:tr>
              <w:tc>
                <w:tcPr>
                  <w:tcW w:type="dxa" w:w="1953"/>
                </w:tcPr>
                <w:p>
                  <w:r>
                    <w:rPr>
                      <w:rFonts w:ascii="Times New Roman" w:hAnsi="Times New Roman" w:eastAsia="바탕"/>
                      <w:sz w:val="18"/>
                    </w:rPr>
                    <w:t>injection</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Receive</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suppository</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Use</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tablet</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Take as prescribed.</w:t>
                  </w:r>
                </w:p>
              </w:tc>
            </w:tr>
            <w:tr>
              <w:tc>
                <w:tcPr>
                  <w:tcW w:type="dxa" w:w="1953"/>
                </w:tcPr>
                <w:p>
                  <w:r>
                    <w:rPr>
                      <w:rFonts w:ascii="Times New Roman" w:hAnsi="Times New Roman" w:eastAsia="바탕"/>
                      <w:sz w:val="18"/>
                    </w:rPr>
                    <w:t>capsule</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Take as prescribed.</w:t>
                  </w:r>
                </w:p>
              </w:tc>
            </w:tr>
            <w:tr>
              <w:tc>
                <w:tcPr>
                  <w:tcW w:type="dxa" w:w="1953"/>
                </w:tcPr>
                <w:p>
                  <w:r>
                    <w:rPr>
                      <w:rFonts w:ascii="Times New Roman" w:hAnsi="Times New Roman" w:eastAsia="바탕"/>
                      <w:sz w:val="18"/>
                    </w:rPr>
                    <w:t>sachet</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Take as prescribed.</w:t>
                  </w:r>
                </w:p>
              </w:tc>
            </w:tr>
          </w:tbl>
          <w:p/>
          <w:p>
            <w:pPr>
              <w:spacing w:after="120"/>
            </w:pPr>
          </w:p>
          <w:p>
            <w:pPr>
              <w:spacing w:after="80" w:line="276" w:lineRule="auto"/>
              <w:jc w:val="both"/>
            </w:pPr>
            <w:r>
              <w:rPr>
                <w:rFonts w:ascii="Times New Roman" w:hAnsi="Times New Roman" w:eastAsia="바탕"/>
                <w:sz w:val="20"/>
              </w:rPr>
              <w:t>Two forms speak the site and four draw it. This difference is not an oversight. In speech the site is attached only when the verb cannot carry it. "Put" does not say where, so without "in the eye" only half the instruction arrives. "Breathe in" already carries where the breath goes, and so does "Take." Adding "in the mouth" there gains no information and only lengthens the sentence, and the IVR study cited above, which identified the length of options as a cause of failure among older users, is the basis for that judgement. The same economy does not apply to the picture. In a picture the mouth is not a verb but a place, and leaving the place empty makes it a place with nothing in it.</w:t>
            </w:r>
          </w:p>
          <w:p>
            <w:pPr>
              <w:spacing w:after="80" w:line="276" w:lineRule="auto"/>
              <w:jc w:val="both"/>
            </w:pPr>
            <w:r>
              <w:rPr>
                <w:rFonts w:ascii="Times New Roman" w:hAnsi="Times New Roman" w:eastAsia="바탕"/>
                <w:sz w:val="20"/>
              </w:rPr>
              <w:t>That leaves injection and suppository. For these two the verb cannot carry the site, and yet the site is neither spoken nor drawn. This is not economy but a gap we have not filled. A prescription often does not record where an injection goes, and the site varies by drug between arm, abdomen and buttock, so choosing one to draw would be inventing something the prescription does not contain. A suppository has a single site, but standing it up as a picture would require drawing the orientation of a human body, and that is outside what the 78 morphemes currently handle. Both are carried over to the unverified items in §5.9. For now, recording that the verb alone does not complete the instruction is all we can do.</w:t>
            </w:r>
          </w:p>
          <w:p>
            <w:pPr>
              <w:spacing w:after="80" w:line="276" w:lineRule="auto"/>
              <w:jc w:val="both"/>
            </w:pPr>
            <w:r>
              <w:rPr>
                <w:rFonts w:ascii="Times New Roman" w:hAnsi="Times New Roman" w:eastAsia="바탕"/>
                <w:sz w:val="20"/>
              </w:rPr>
              <w:t>One response in §5.7 pointed at a layer this table does not cover. Niken Nur Widyakusuma, PhD and pharmacist at Universitas Gadjah Mada in Indonesia, wrote that "every 8 hours" is better than "three times a day".</w:t>
            </w:r>
          </w:p>
          <w:p>
            <w:pPr>
              <w:spacing w:after="40" w:line="276" w:lineRule="auto"/>
              <w:ind w:left="403"/>
            </w:pPr>
            <w:r>
              <w:rPr>
                <w:rFonts w:ascii="Times New Roman" w:hAnsi="Times New Roman" w:eastAsia="바탕"/>
                <w:i/>
                <w:color w:val="606068"/>
                <w:sz w:val="19"/>
              </w:rPr>
              <w:t>"Instead of 3 times a day, better to say every 8 hours."</w:t>
            </w:r>
          </w:p>
          <w:p>
            <w:pPr>
              <w:spacing w:after="180" w:line="276" w:lineRule="auto"/>
              <w:ind w:left="403"/>
            </w:pPr>
            <w:r>
              <w:rPr>
                <w:rFonts w:ascii="Times New Roman" w:hAnsi="Times New Roman" w:eastAsia="바탕"/>
                <w:i w:val="0"/>
                <w:color w:val="606068"/>
                <w:sz w:val="19"/>
              </w:rPr>
              <w:t>(Niken Nur Widyakusuma, PhD and pharmacist, Universitas Gadjah Mada)</w:t>
            </w:r>
          </w:p>
          <w:p>
            <w:pPr>
              <w:spacing w:after="80" w:line="276" w:lineRule="auto"/>
              <w:jc w:val="both"/>
            </w:pPr>
            <w:r>
              <w:rPr>
                <w:rFonts w:ascii="Times New Roman" w:hAnsi="Times New Roman" w:eastAsia="바탕"/>
                <w:sz w:val="20"/>
              </w:rPr>
              <w:t>This sits on the boundary of our morpheme design. The four time morphemes of §2.2 are morning, midday, evening and night; they cannot draw "every so many hours". Table 9 records that time of day has only four because prescriptions do not ask for more, and this response says that what a prescription asks for may be a different axis altogether. Three times a day says when; every eight hours says the interval, and for a drug such as an antibiotic where blood concentration matters the latter is the clinically correct one. The engine cannot draw an interval, and drawing more morphemes does not fix it, because the axis itself is different. Carried over to stage 5 of §5.10.</w:t>
            </w:r>
          </w:p>
          <w:p>
            <w:pPr>
              <w:spacing w:after="80" w:line="276" w:lineRule="auto"/>
              <w:jc w:val="both"/>
            </w:pPr>
            <w:r>
              <w:rPr>
                <w:rFonts w:ascii="Times New Roman" w:hAnsi="Times New Roman" w:eastAsia="바탕"/>
                <w:sz w:val="20"/>
              </w:rPr>
              <w:t>Design intent. The body site is not asked of the user. Asking means options have to be read, and making people read hierarchies and options is, as established in §1.10, exactly what this app sets out to remove. By the time OCR has read "ophthalmic solution" the site is already determined, so it is something to derive rather than to ask.</w:t>
            </w:r>
          </w:p>
          <w:p>
            <w:pPr>
              <w:spacing w:after="80" w:line="276" w:lineRule="auto"/>
              <w:jc w:val="both"/>
            </w:pPr>
            <w:r>
              <w:rPr>
                <w:rFonts w:ascii="Times New Roman" w:hAnsi="Times New Roman" w:eastAsia="바탕"/>
                <w:sz w:val="20"/>
              </w:rPr>
              <w:t xml:space="preserve">There is judgement in how an unknown dosage form is handled as well. Previously a form absent from the table fell silently to a generic pill bottle picture. Inhaler or nebuliser, a pill bottle appeared on screen, and no record was left of how often that happened. Now a </w:t>
            </w:r>
            <w:r>
              <w:rPr>
                <w:rFonts w:ascii="Consolas" w:hAnsi="Consolas" w:eastAsia="Consolas"/>
                <w:sz w:val="19"/>
              </w:rPr>
              <w:t>\?form</w:t>
            </w:r>
            <w:r>
              <w:rPr>
                <w:rFonts w:ascii="Times New Roman" w:hAnsi="Times New Roman" w:eastAsia="바탕"/>
                <w:sz w:val="20"/>
              </w:rPr>
              <w:t xml:space="preserve"> marker is put in front. It means "we have no picture for this concept," and the online build composes a picture on the spot while the on-device build reports the absence rather than substituting a similar picture. For someone who cannot read, a wrong picture is worse than no picture. Absence falls through to speech, whereas a wrong picture is confidently wrong and the user has no way of knowing it is wrong.</w:t>
            </w:r>
          </w:p>
          <w:p>
            <w:pPr>
              <w:spacing w:after="80" w:line="276" w:lineRule="auto"/>
              <w:jc w:val="both"/>
            </w:pPr>
            <w:r>
              <w:rPr>
                <w:rFonts w:ascii="Times New Roman" w:hAnsi="Times New Roman" w:eastAsia="바탕"/>
                <w:sz w:val="20"/>
              </w:rPr>
              <w:t xml:space="preserve">We accept that this is only a partial solution. A head is also the vessel that carries time of day, count and storage, so when the form is unknown those lines are still drawn on top of a generic bottle. Fixing it properly requires the concept to become a formal morpheme, which is why </w:t>
            </w:r>
            <w:r>
              <w:rPr>
                <w:rFonts w:ascii="Consolas" w:hAnsi="Consolas" w:eastAsia="Consolas"/>
                <w:sz w:val="19"/>
              </w:rPr>
              <w:t>/api/glyph</w:t>
            </w:r>
            <w:r>
              <w:rPr>
                <w:rFonts w:ascii="Times New Roman" w:hAnsi="Times New Roman" w:eastAsia="바탕"/>
                <w:sz w:val="20"/>
              </w:rPr>
              <w:t xml:space="preserve"> writes the list of concepts it could not build to a file. That list is the basis for deciding which morpheme to add next. It accumulates in the order users actually encountered them.</w:t>
            </w:r>
          </w:p>
          <w:p>
            <w:pPr>
              <w:spacing w:before="180" w:after="40"/>
            </w:pPr>
            <w:r>
              <w:rPr>
                <w:rFonts w:ascii="Times New Roman" w:hAnsi="Times New Roman" w:eastAsia="바탕"/>
                <w:b/>
                <w:sz w:val="23"/>
              </w:rPr>
              <w:t>2.4 Deriving a per-person verdict threshold</w:t>
            </w:r>
          </w:p>
          <w:p>
            <w:pPr>
              <w:spacing w:after="80" w:line="276" w:lineRule="auto"/>
              <w:jc w:val="both"/>
            </w:pPr>
            <w:r>
              <w:rPr>
                <w:rFonts w:ascii="Times New Roman" w:hAnsi="Times New Roman" w:eastAsia="바탕"/>
                <w:sz w:val="20"/>
              </w:rPr>
              <w:t>SnapCare is not a tool that reads labels aloud but one that reaches a verdict. And that verdict differs from user to user.</w:t>
            </w:r>
          </w:p>
          <w:p>
            <w:pPr>
              <w:spacing w:after="80" w:line="276" w:lineRule="auto"/>
              <w:jc w:val="both"/>
            </w:pPr>
            <w:r>
              <w:rPr>
                <w:rFonts w:ascii="Times New Roman" w:hAnsi="Times New Roman" w:eastAsia="바탕"/>
                <w:sz w:val="20"/>
              </w:rPr>
              <w:t xml:space="preserve">Most World Health Organization nutrition recommendations are stated as a share of total energy. Free sugars are less than 10% of total energy (equivalent to 50 g, with possible additional benefit from reducing further to 5% or below), saturated fat less than 10%, and trans fat less than 1%. Only salt is given as an absolute amount, less than 5 g a day for adults (2 g sodium), with children needing less in proportion to their energy intake (World Health Organization, </w:t>
            </w:r>
            <w:r>
              <w:rPr>
                <w:rFonts w:ascii="Times New Roman" w:hAnsi="Times New Roman" w:eastAsia="바탕"/>
                <w:i/>
                <w:sz w:val="20"/>
              </w:rPr>
              <w:t>Healthy diet</w:t>
            </w:r>
            <w:r>
              <w:rPr>
                <w:rFonts w:ascii="Times New Roman" w:hAnsi="Times New Roman" w:eastAsia="바탕"/>
                <w:sz w:val="20"/>
              </w:rPr>
              <w:t xml:space="preserve"> fact sheet).</w:t>
            </w:r>
          </w:p>
          <w:p>
            <w:pPr>
              <w:spacing w:after="80" w:line="276" w:lineRule="auto"/>
              <w:jc w:val="both"/>
            </w:pPr>
            <w:r>
              <w:rPr>
                <w:rFonts w:ascii="Times New Roman" w:hAnsi="Times New Roman" w:eastAsia="바탕"/>
                <w:sz w:val="20"/>
              </w:rPr>
              <w:t>This manner of statement matters. Because the recommendations themselves are written as proportions, the correct implementation of the guidance is to derive from that person's energy requirement rather than to hold a fixed table of gram figures. The result is that the same can of drink becomes a warning for a seven-year-old and harmless for an adult.</w:t>
            </w:r>
          </w:p>
          <w:p>
            <w:pPr>
              <w:spacing w:after="80" w:line="276" w:lineRule="auto"/>
              <w:jc w:val="both"/>
            </w:pPr>
            <w:r>
              <w:rPr>
                <w:rFonts w:ascii="Times New Roman" w:hAnsi="Times New Roman" w:eastAsia="바탕"/>
                <w:sz w:val="20"/>
              </w:rPr>
              <w:t>The derivation is six lines in total.</w:t>
            </w:r>
          </w:p>
          <w:p>
            <w:pPr>
              <w:spacing w:after="160"/>
            </w:pPr>
            <w:r>
              <w:rPr>
                <w:rFonts w:ascii="Consolas" w:hAnsi="Consolas" w:eastAsia="Consolas"/>
                <w:sz w:val="18"/>
              </w:rPr>
              <w:t>/** Age band → representative age. The value picked as a picture in the profile</w:t>
              <w:br/>
              <w:t xml:space="preserve"> *  takes precedence over string parsing. */</w:t>
              <w:br/>
              <w:t>const BAND_AGE: Record&lt;NonNullable&lt;Member['ageBand']&gt;, number&gt; = {</w:t>
              <w:br/>
              <w:t xml:space="preserve">  child: 7, teen: 15, adult: 35, senior: 70,</w:t>
              <w:br/>
              <w:t>};</w:t>
              <w:br/>
              <w:br/>
              <w:t>export function referenceFor(member: Member): DailyReference {</w:t>
              <w:br/>
              <w:t xml:space="preserve">  const age = member.ageBand ? BAND_AGE[member.ageBand] : ageFromRole(member.role);</w:t>
              <w:br/>
              <w:t xml:space="preserve">  const { energyKcal, weightKg } = bandFor(age);</w:t>
              <w:br/>
              <w:br/>
              <w:t xml:space="preserve">  // Converting WHO percentage recommendations to grams — this derivation is the</w:t>
              <w:br/>
              <w:t xml:space="preserve">  // core of the engine.</w:t>
              <w:br/>
              <w:t xml:space="preserve">  const sugarsLimit = (energyKcal * 0.10) / KCAL_PER_G.carb;   // free sugars &lt;10 %E</w:t>
              <w:br/>
              <w:t xml:space="preserve">  const satFatLimit = (energyKcal * 0.10) / KCAL_PER_G.fat;    // saturated fat &lt;10 %E</w:t>
              <w:br/>
              <w:br/>
              <w:t xml:space="preserve">  // Salt and fibre are absolute recommendations → scale down for children by</w:t>
              <w:br/>
              <w:t xml:space="preserve">  // the ratio of energy requirement</w:t>
              <w:br/>
              <w:t xml:space="preserve">  const energyRatio = energyKcal / ADULT_ENERGY_KCAL;</w:t>
              <w:br/>
              <w:t xml:space="preserve">  const saltLimit   = ADULT_SALT_LIMIT_G * Math.min(1, energyRatio);</w:t>
              <w:br/>
              <w:t xml:space="preserve">  ...</w:t>
              <w:br/>
              <w:t>}</w:t>
            </w:r>
          </w:p>
          <w:p>
            <w:pPr>
              <w:spacing w:after="80" w:line="276" w:lineRule="auto"/>
              <w:jc w:val="both"/>
            </w:pPr>
            <w:r>
              <w:rPr>
                <w:rFonts w:ascii="Times New Roman" w:hAnsi="Times New Roman" w:eastAsia="바탕"/>
                <w:sz w:val="20"/>
              </w:rPr>
              <w:t>Design intent. Age is folded into four representative values. The user picks one of four pictures rather than entering a number (§3.2), so all the app knows is the band. Computing with the band left as a band would mean hand-building a table of thresholds per band, and then the table would have to be rebuilt whenever WHO guidance changed, with no one able to check where it came from. Folding to a single representative age makes the computation follow the wording of the recommendation directly.</w:t>
            </w:r>
          </w:p>
          <w:p>
            <w:pPr>
              <w:spacing w:after="80" w:line="276" w:lineRule="auto"/>
              <w:jc w:val="both"/>
            </w:pPr>
            <w:r>
              <w:rPr>
                <w:rFonts w:ascii="Times New Roman" w:hAnsi="Times New Roman" w:eastAsia="바탕"/>
                <w:sz w:val="20"/>
              </w:rPr>
              <w:t xml:space="preserve">There is judgement in </w:t>
            </w:r>
            <w:r>
              <w:rPr>
                <w:rFonts w:ascii="Consolas" w:hAnsi="Consolas" w:eastAsia="Consolas"/>
                <w:sz w:val="19"/>
              </w:rPr>
              <w:t>Math.min(1, energyRatio)</w:t>
            </w:r>
            <w:r>
              <w:rPr>
                <w:rFonts w:ascii="Times New Roman" w:hAnsi="Times New Roman" w:eastAsia="바탕"/>
                <w:sz w:val="20"/>
              </w:rPr>
              <w:t xml:space="preserve"> as well. Salt and fibre are recommended as absolute amounts and cannot be converted proportionally. Children are scaled down in proportion to energy requirement (the very recommendation underlying §2.4 says children should have less according to their energy intake), but someone who eats more than an adult does not get a raised salt limit. The recommendation is a ceiling.</w:t>
            </w:r>
          </w:p>
          <w:p>
            <w:pPr>
              <w:spacing w:after="80" w:line="276" w:lineRule="auto"/>
              <w:jc w:val="both"/>
            </w:pPr>
            <w:r>
              <w:rPr>
                <w:rFonts w:ascii="Times New Roman" w:hAnsi="Times New Roman" w:eastAsia="바탕"/>
                <w:sz w:val="20"/>
              </w:rPr>
              <w:t xml:space="preserve">Returning the </w:t>
            </w:r>
            <w:r>
              <w:rPr>
                <w:rFonts w:ascii="Consolas" w:hAnsi="Consolas" w:eastAsia="Consolas"/>
                <w:sz w:val="19"/>
              </w:rPr>
              <w:t>basis</w:t>
            </w:r>
            <w:r>
              <w:rPr>
                <w:rFonts w:ascii="Times New Roman" w:hAnsi="Times New Roman" w:eastAsia="바탕"/>
                <w:sz w:val="20"/>
              </w:rPr>
              <w:t xml:space="preserve"> string alongside is also deliberate. "1,800 kcal at age 70, free sugars under 10%" appears on screen exactly as written (Figure 22(b)). If the user cannot see where a verdict came from, there is no way for them to examine it.</w:t>
            </w:r>
          </w:p>
          <w:p>
            <w:pPr>
              <w:spacing w:after="80" w:line="276" w:lineRule="auto"/>
              <w:jc w:val="both"/>
            </w:pPr>
            <w:r>
              <w:rPr>
                <w:rFonts w:ascii="Times New Roman" w:hAnsi="Times New Roman" w:eastAsia="바탕"/>
                <w:sz w:val="20"/>
              </w:rPr>
              <w:t>What this derivation actually produces is set down here for the four age bands. These are the values the six lines above return.</w:t>
            </w:r>
          </w:p>
          <w:p>
            <w:pPr>
              <w:spacing w:after="80" w:line="276" w:lineRule="auto"/>
              <w:jc w:val="both"/>
            </w:pPr>
            <w:r>
              <w:rPr>
                <w:rFonts w:ascii="Times New Roman" w:hAnsi="Times New Roman" w:eastAsia="바탕"/>
                <w:sz w:val="20"/>
              </w:rPr>
              <w:t>[Table 11] Daily references by age band (output of the code above)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221"/>
              <w:gridCol w:w="1221"/>
              <w:gridCol w:w="1221"/>
              <w:gridCol w:w="1221"/>
              <w:gridCol w:w="1221"/>
              <w:gridCol w:w="1221"/>
              <w:gridCol w:w="1221"/>
              <w:gridCol w:w="1221"/>
            </w:tblGrid>
            <w:tr>
              <w:tc>
                <w:tcPr>
                  <w:tcW w:type="dxa" w:w="1221"/>
                  <w:shd w:val="clear" w:fill="F2F2F2"/>
                </w:tcPr>
                <w:p>
                  <w:r>
                    <w:rPr>
                      <w:rFonts w:ascii="Times New Roman" w:hAnsi="Times New Roman" w:eastAsia="바탕"/>
                      <w:b/>
                      <w:sz w:val="18"/>
                    </w:rPr>
                    <w:t>Age band</w:t>
                  </w:r>
                </w:p>
              </w:tc>
              <w:tc>
                <w:tcPr>
                  <w:tcW w:type="dxa" w:w="1221"/>
                  <w:shd w:val="clear" w:fill="F2F2F2"/>
                </w:tcPr>
                <w:p>
                  <w:r>
                    <w:rPr>
                      <w:rFonts w:ascii="Times New Roman" w:hAnsi="Times New Roman" w:eastAsia="바탕"/>
                      <w:b/>
                      <w:sz w:val="18"/>
                    </w:rPr>
                    <w:t>Energy</w:t>
                  </w:r>
                </w:p>
              </w:tc>
              <w:tc>
                <w:tcPr>
                  <w:tcW w:type="dxa" w:w="1221"/>
                  <w:shd w:val="clear" w:fill="F2F2F2"/>
                </w:tcPr>
                <w:p>
                  <w:r>
                    <w:rPr>
                      <w:rFonts w:ascii="Times New Roman" w:hAnsi="Times New Roman" w:eastAsia="바탕"/>
                      <w:b/>
                      <w:sz w:val="18"/>
                    </w:rPr>
                    <w:t>Free sugars</w:t>
                  </w:r>
                </w:p>
              </w:tc>
              <w:tc>
                <w:tcPr>
                  <w:tcW w:type="dxa" w:w="1221"/>
                  <w:shd w:val="clear" w:fill="F2F2F2"/>
                </w:tcPr>
                <w:p>
                  <w:r>
                    <w:rPr>
                      <w:rFonts w:ascii="Times New Roman" w:hAnsi="Times New Roman" w:eastAsia="바탕"/>
                      <w:b/>
                      <w:sz w:val="18"/>
                    </w:rPr>
                    <w:t>Saturated fat</w:t>
                  </w:r>
                </w:p>
              </w:tc>
              <w:tc>
                <w:tcPr>
                  <w:tcW w:type="dxa" w:w="1221"/>
                  <w:shd w:val="clear" w:fill="F2F2F2"/>
                </w:tcPr>
                <w:p>
                  <w:r>
                    <w:rPr>
                      <w:rFonts w:ascii="Times New Roman" w:hAnsi="Times New Roman" w:eastAsia="바탕"/>
                      <w:b/>
                      <w:sz w:val="18"/>
                    </w:rPr>
                    <w:t>Fat</w:t>
                  </w:r>
                </w:p>
              </w:tc>
              <w:tc>
                <w:tcPr>
                  <w:tcW w:type="dxa" w:w="1221"/>
                  <w:shd w:val="clear" w:fill="F2F2F2"/>
                </w:tcPr>
                <w:p>
                  <w:r>
                    <w:rPr>
                      <w:rFonts w:ascii="Times New Roman" w:hAnsi="Times New Roman" w:eastAsia="바탕"/>
                      <w:b/>
                      <w:sz w:val="18"/>
                    </w:rPr>
                    <w:t>Salt</w:t>
                  </w:r>
                </w:p>
              </w:tc>
              <w:tc>
                <w:tcPr>
                  <w:tcW w:type="dxa" w:w="1221"/>
                  <w:shd w:val="clear" w:fill="F2F2F2"/>
                </w:tcPr>
                <w:p>
                  <w:r>
                    <w:rPr>
                      <w:rFonts w:ascii="Times New Roman" w:hAnsi="Times New Roman" w:eastAsia="바탕"/>
                      <w:b/>
                      <w:sz w:val="18"/>
                    </w:rPr>
                    <w:t>Fibre</w:t>
                  </w:r>
                </w:p>
              </w:tc>
              <w:tc>
                <w:tcPr>
                  <w:tcW w:type="dxa" w:w="1221"/>
                  <w:shd w:val="clear" w:fill="F2F2F2"/>
                </w:tcPr>
                <w:p>
                  <w:r>
                    <w:rPr>
                      <w:rFonts w:ascii="Times New Roman" w:hAnsi="Times New Roman" w:eastAsia="바탕"/>
                      <w:b/>
                      <w:sz w:val="18"/>
                    </w:rPr>
                    <w:t>Protein</w:t>
                  </w:r>
                </w:p>
              </w:tc>
            </w:tr>
            <w:tr>
              <w:tc>
                <w:tcPr>
                  <w:tcW w:type="dxa" w:w="1221"/>
                </w:tcPr>
                <w:p>
                  <w:r>
                    <w:rPr>
                      <w:rFonts w:ascii="Times New Roman" w:hAnsi="Times New Roman" w:eastAsia="바탕"/>
                      <w:sz w:val="18"/>
                    </w:rPr>
                    <w:t>Child (7)</w:t>
                  </w:r>
                </w:p>
              </w:tc>
              <w:tc>
                <w:tcPr>
                  <w:tcW w:type="dxa" w:w="1221"/>
                </w:tcPr>
                <w:p>
                  <w:r>
                    <w:rPr>
                      <w:rFonts w:ascii="Times New Roman" w:hAnsi="Times New Roman" w:eastAsia="바탕"/>
                      <w:sz w:val="18"/>
                    </w:rPr>
                    <w:t>1,800 kcal</w:t>
                  </w:r>
                </w:p>
              </w:tc>
              <w:tc>
                <w:tcPr>
                  <w:tcW w:type="dxa" w:w="1221"/>
                </w:tcPr>
                <w:p>
                  <w:r>
                    <w:rPr>
                      <w:rFonts w:ascii="Times New Roman" w:hAnsi="Times New Roman" w:eastAsia="바탕"/>
                      <w:sz w:val="18"/>
                    </w:rPr>
                    <w:t>45 g</w:t>
                  </w:r>
                </w:p>
              </w:tc>
              <w:tc>
                <w:tcPr>
                  <w:tcW w:type="dxa" w:w="1221"/>
                </w:tcPr>
                <w:p>
                  <w:r>
                    <w:rPr>
                      <w:rFonts w:ascii="Times New Roman" w:hAnsi="Times New Roman" w:eastAsia="바탕"/>
                      <w:sz w:val="18"/>
                    </w:rPr>
                    <w:t>20.0 g</w:t>
                  </w:r>
                </w:p>
              </w:tc>
              <w:tc>
                <w:tcPr>
                  <w:tcW w:type="dxa" w:w="1221"/>
                </w:tcPr>
                <w:p>
                  <w:r>
                    <w:rPr>
                      <w:rFonts w:ascii="Times New Roman" w:hAnsi="Times New Roman" w:eastAsia="바탕"/>
                      <w:sz w:val="18"/>
                    </w:rPr>
                    <w:t>60 g</w:t>
                  </w:r>
                </w:p>
              </w:tc>
              <w:tc>
                <w:tcPr>
                  <w:tcW w:type="dxa" w:w="1221"/>
                </w:tcPr>
                <w:p>
                  <w:r>
                    <w:rPr>
                      <w:rFonts w:ascii="Times New Roman" w:hAnsi="Times New Roman" w:eastAsia="바탕"/>
                      <w:sz w:val="18"/>
                    </w:rPr>
                    <w:t>4.5 g</w:t>
                  </w:r>
                </w:p>
              </w:tc>
              <w:tc>
                <w:tcPr>
                  <w:tcW w:type="dxa" w:w="1221"/>
                </w:tcPr>
                <w:p>
                  <w:r>
                    <w:rPr>
                      <w:rFonts w:ascii="Times New Roman" w:hAnsi="Times New Roman" w:eastAsia="바탕"/>
                      <w:sz w:val="18"/>
                    </w:rPr>
                    <w:t>22.5 g</w:t>
                  </w:r>
                </w:p>
              </w:tc>
              <w:tc>
                <w:tcPr>
                  <w:tcW w:type="dxa" w:w="1221"/>
                </w:tcPr>
                <w:p>
                  <w:r>
                    <w:rPr>
                      <w:rFonts w:ascii="Times New Roman" w:hAnsi="Times New Roman" w:eastAsia="바탕"/>
                      <w:sz w:val="18"/>
                    </w:rPr>
                    <w:t>23.2 g</w:t>
                  </w:r>
                </w:p>
              </w:tc>
            </w:tr>
            <w:tr>
              <w:tc>
                <w:tcPr>
                  <w:tcW w:type="dxa" w:w="1221"/>
                </w:tcPr>
                <w:p>
                  <w:r>
                    <w:rPr>
                      <w:rFonts w:ascii="Times New Roman" w:hAnsi="Times New Roman" w:eastAsia="바탕"/>
                      <w:sz w:val="18"/>
                    </w:rPr>
                    <w:t>Teenager (15)</w:t>
                  </w:r>
                </w:p>
              </w:tc>
              <w:tc>
                <w:tcPr>
                  <w:tcW w:type="dxa" w:w="1221"/>
                </w:tcPr>
                <w:p>
                  <w:r>
                    <w:rPr>
                      <w:rFonts w:ascii="Times New Roman" w:hAnsi="Times New Roman" w:eastAsia="바탕"/>
                      <w:sz w:val="18"/>
                    </w:rPr>
                    <w:t>2,400 kcal</w:t>
                  </w:r>
                </w:p>
              </w:tc>
              <w:tc>
                <w:tcPr>
                  <w:tcW w:type="dxa" w:w="1221"/>
                </w:tcPr>
                <w:p>
                  <w:r>
                    <w:rPr>
                      <w:rFonts w:ascii="Times New Roman" w:hAnsi="Times New Roman" w:eastAsia="바탕"/>
                      <w:sz w:val="18"/>
                    </w:rPr>
                    <w:t>60 g</w:t>
                  </w:r>
                </w:p>
              </w:tc>
              <w:tc>
                <w:tcPr>
                  <w:tcW w:type="dxa" w:w="1221"/>
                </w:tcPr>
                <w:p>
                  <w:r>
                    <w:rPr>
                      <w:rFonts w:ascii="Times New Roman" w:hAnsi="Times New Roman" w:eastAsia="바탕"/>
                      <w:sz w:val="18"/>
                    </w:rPr>
                    <w:t>26.7 g</w:t>
                  </w:r>
                </w:p>
              </w:tc>
              <w:tc>
                <w:tcPr>
                  <w:tcW w:type="dxa" w:w="1221"/>
                </w:tcPr>
                <w:p>
                  <w:r>
                    <w:rPr>
                      <w:rFonts w:ascii="Times New Roman" w:hAnsi="Times New Roman" w:eastAsia="바탕"/>
                      <w:sz w:val="18"/>
                    </w:rPr>
                    <w:t>80 g</w:t>
                  </w:r>
                </w:p>
              </w:tc>
              <w:tc>
                <w:tcPr>
                  <w:tcW w:type="dxa" w:w="1221"/>
                </w:tcPr>
                <w:p>
                  <w:r>
                    <w:rPr>
                      <w:rFonts w:ascii="Times New Roman" w:hAnsi="Times New Roman" w:eastAsia="바탕"/>
                      <w:sz w:val="18"/>
                    </w:rPr>
                    <w:t>5.0 g</w:t>
                  </w:r>
                </w:p>
              </w:tc>
              <w:tc>
                <w:tcPr>
                  <w:tcW w:type="dxa" w:w="1221"/>
                </w:tcPr>
                <w:p>
                  <w:r>
                    <w:rPr>
                      <w:rFonts w:ascii="Times New Roman" w:hAnsi="Times New Roman" w:eastAsia="바탕"/>
                      <w:sz w:val="18"/>
                    </w:rPr>
                    <w:t>25.0 g</w:t>
                  </w:r>
                </w:p>
              </w:tc>
              <w:tc>
                <w:tcPr>
                  <w:tcW w:type="dxa" w:w="1221"/>
                </w:tcPr>
                <w:p>
                  <w:r>
                    <w:rPr>
                      <w:rFonts w:ascii="Times New Roman" w:hAnsi="Times New Roman" w:eastAsia="바탕"/>
                      <w:sz w:val="18"/>
                    </w:rPr>
                    <w:t>48.1 g</w:t>
                  </w:r>
                </w:p>
              </w:tc>
            </w:tr>
            <w:tr>
              <w:tc>
                <w:tcPr>
                  <w:tcW w:type="dxa" w:w="1221"/>
                </w:tcPr>
                <w:p>
                  <w:r>
                    <w:rPr>
                      <w:rFonts w:ascii="Times New Roman" w:hAnsi="Times New Roman" w:eastAsia="바탕"/>
                      <w:sz w:val="18"/>
                    </w:rPr>
                    <w:t>Adult (35)</w:t>
                  </w:r>
                </w:p>
              </w:tc>
              <w:tc>
                <w:tcPr>
                  <w:tcW w:type="dxa" w:w="1221"/>
                </w:tcPr>
                <w:p>
                  <w:r>
                    <w:rPr>
                      <w:rFonts w:ascii="Times New Roman" w:hAnsi="Times New Roman" w:eastAsia="바탕"/>
                      <w:sz w:val="18"/>
                    </w:rPr>
                    <w:t>2,000 kcal</w:t>
                  </w:r>
                </w:p>
              </w:tc>
              <w:tc>
                <w:tcPr>
                  <w:tcW w:type="dxa" w:w="1221"/>
                </w:tcPr>
                <w:p>
                  <w:r>
                    <w:rPr>
                      <w:rFonts w:ascii="Times New Roman" w:hAnsi="Times New Roman" w:eastAsia="바탕"/>
                      <w:sz w:val="18"/>
                    </w:rPr>
                    <w:t>50 g</w:t>
                  </w:r>
                </w:p>
              </w:tc>
              <w:tc>
                <w:tcPr>
                  <w:tcW w:type="dxa" w:w="1221"/>
                </w:tcPr>
                <w:p>
                  <w:r>
                    <w:rPr>
                      <w:rFonts w:ascii="Times New Roman" w:hAnsi="Times New Roman" w:eastAsia="바탕"/>
                      <w:sz w:val="18"/>
                    </w:rPr>
                    <w:t>22.2 g</w:t>
                  </w:r>
                </w:p>
              </w:tc>
              <w:tc>
                <w:tcPr>
                  <w:tcW w:type="dxa" w:w="1221"/>
                </w:tcPr>
                <w:p>
                  <w:r>
                    <w:rPr>
                      <w:rFonts w:ascii="Times New Roman" w:hAnsi="Times New Roman" w:eastAsia="바탕"/>
                      <w:sz w:val="18"/>
                    </w:rPr>
                    <w:t>66.7 g</w:t>
                  </w:r>
                </w:p>
              </w:tc>
              <w:tc>
                <w:tcPr>
                  <w:tcW w:type="dxa" w:w="1221"/>
                </w:tcPr>
                <w:p>
                  <w:r>
                    <w:rPr>
                      <w:rFonts w:ascii="Times New Roman" w:hAnsi="Times New Roman" w:eastAsia="바탕"/>
                      <w:sz w:val="18"/>
                    </w:rPr>
                    <w:t>5.0 g</w:t>
                  </w:r>
                </w:p>
              </w:tc>
              <w:tc>
                <w:tcPr>
                  <w:tcW w:type="dxa" w:w="1221"/>
                </w:tcPr>
                <w:p>
                  <w:r>
                    <w:rPr>
                      <w:rFonts w:ascii="Times New Roman" w:hAnsi="Times New Roman" w:eastAsia="바탕"/>
                      <w:sz w:val="18"/>
                    </w:rPr>
                    <w:t>25.0 g</w:t>
                  </w:r>
                </w:p>
              </w:tc>
              <w:tc>
                <w:tcPr>
                  <w:tcW w:type="dxa" w:w="1221"/>
                </w:tcPr>
                <w:p>
                  <w:r>
                    <w:rPr>
                      <w:rFonts w:ascii="Times New Roman" w:hAnsi="Times New Roman" w:eastAsia="바탕"/>
                      <w:sz w:val="18"/>
                    </w:rPr>
                    <w:t>51.5 g</w:t>
                  </w:r>
                </w:p>
              </w:tc>
            </w:tr>
            <w:tr>
              <w:tc>
                <w:tcPr>
                  <w:tcW w:type="dxa" w:w="1221"/>
                </w:tcPr>
                <w:p>
                  <w:r>
                    <w:rPr>
                      <w:rFonts w:ascii="Times New Roman" w:hAnsi="Times New Roman" w:eastAsia="바탕"/>
                      <w:sz w:val="18"/>
                    </w:rPr>
                    <w:t>Older adult (70)</w:t>
                  </w:r>
                </w:p>
              </w:tc>
              <w:tc>
                <w:tcPr>
                  <w:tcW w:type="dxa" w:w="1221"/>
                </w:tcPr>
                <w:p>
                  <w:r>
                    <w:rPr>
                      <w:rFonts w:ascii="Times New Roman" w:hAnsi="Times New Roman" w:eastAsia="바탕"/>
                      <w:sz w:val="18"/>
                    </w:rPr>
                    <w:t>1,800 kcal</w:t>
                  </w:r>
                </w:p>
              </w:tc>
              <w:tc>
                <w:tcPr>
                  <w:tcW w:type="dxa" w:w="1221"/>
                </w:tcPr>
                <w:p>
                  <w:r>
                    <w:rPr>
                      <w:rFonts w:ascii="Times New Roman" w:hAnsi="Times New Roman" w:eastAsia="바탕"/>
                      <w:sz w:val="18"/>
                    </w:rPr>
                    <w:t>45 g</w:t>
                  </w:r>
                </w:p>
              </w:tc>
              <w:tc>
                <w:tcPr>
                  <w:tcW w:type="dxa" w:w="1221"/>
                </w:tcPr>
                <w:p>
                  <w:r>
                    <w:rPr>
                      <w:rFonts w:ascii="Times New Roman" w:hAnsi="Times New Roman" w:eastAsia="바탕"/>
                      <w:sz w:val="18"/>
                    </w:rPr>
                    <w:t>20.0 g</w:t>
                  </w:r>
                </w:p>
              </w:tc>
              <w:tc>
                <w:tcPr>
                  <w:tcW w:type="dxa" w:w="1221"/>
                </w:tcPr>
                <w:p>
                  <w:r>
                    <w:rPr>
                      <w:rFonts w:ascii="Times New Roman" w:hAnsi="Times New Roman" w:eastAsia="바탕"/>
                      <w:sz w:val="18"/>
                    </w:rPr>
                    <w:t>60 g</w:t>
                  </w:r>
                </w:p>
              </w:tc>
              <w:tc>
                <w:tcPr>
                  <w:tcW w:type="dxa" w:w="1221"/>
                </w:tcPr>
                <w:p>
                  <w:r>
                    <w:rPr>
                      <w:rFonts w:ascii="Times New Roman" w:hAnsi="Times New Roman" w:eastAsia="바탕"/>
                      <w:sz w:val="18"/>
                    </w:rPr>
                    <w:t>4.5 g</w:t>
                  </w:r>
                </w:p>
              </w:tc>
              <w:tc>
                <w:tcPr>
                  <w:tcW w:type="dxa" w:w="1221"/>
                </w:tcPr>
                <w:p>
                  <w:r>
                    <w:rPr>
                      <w:rFonts w:ascii="Times New Roman" w:hAnsi="Times New Roman" w:eastAsia="바탕"/>
                      <w:sz w:val="18"/>
                    </w:rPr>
                    <w:t>22.5 g</w:t>
                  </w:r>
                </w:p>
              </w:tc>
              <w:tc>
                <w:tcPr>
                  <w:tcW w:type="dxa" w:w="1221"/>
                </w:tcPr>
                <w:p>
                  <w:r>
                    <w:rPr>
                      <w:rFonts w:ascii="Times New Roman" w:hAnsi="Times New Roman" w:eastAsia="바탕"/>
                      <w:sz w:val="18"/>
                    </w:rPr>
                    <w:t>49.8 g</w:t>
                  </w:r>
                </w:p>
              </w:tc>
            </w:tr>
          </w:tbl>
          <w:p/>
          <w:p>
            <w:pPr>
              <w:spacing w:after="120"/>
            </w:pPr>
          </w:p>
          <w:p>
            <w:pPr>
              <w:spacing w:after="80" w:line="276" w:lineRule="auto"/>
              <w:jc w:val="both"/>
            </w:pPr>
            <w:r>
              <w:rPr>
                <w:rFonts w:ascii="Times New Roman" w:hAnsi="Times New Roman" w:eastAsia="바탕"/>
                <w:sz w:val="20"/>
              </w:rPr>
              <w:t>The table is included so that a reviewer can check the arithmetic. On the deployment, the home screen in Figure 15 shows 27.5 g of free sugars as 61%, and 27.5 divided by 45 is 61.1%. The percentage on screen comes straight out of the derivation in this table.</w:t>
            </w:r>
          </w:p>
          <w:p>
            <w:pPr>
              <w:spacing w:after="80" w:line="276" w:lineRule="auto"/>
              <w:jc w:val="both"/>
            </w:pPr>
            <w:r>
              <w:rPr>
                <w:rFonts w:ascii="Times New Roman" w:hAnsi="Times New Roman" w:eastAsia="바탕"/>
                <w:sz w:val="20"/>
              </w:rPr>
              <w:t>The table also shows that child and older adult share an energy figure of 1,800 kcal while their protein targets part at 23.2 g and 49.8 g. Protein alone is derived from body weight (0.83 g per kg), with the representative weight set at 28 kg for a child and 60 kg for an older adult.</w:t>
            </w:r>
          </w:p>
          <w:p>
            <w:pPr>
              <w:spacing w:before="160" w:after="60"/>
              <w:jc w:val="center"/>
            </w:pPr>
            <w:r>
              <w:drawing>
                <wp:inline xmlns:a="http://schemas.openxmlformats.org/drawingml/2006/main" xmlns:pic="http://schemas.openxmlformats.org/drawingml/2006/picture">
                  <wp:extent cx="5486400" cy="2651760"/>
                  <wp:docPr id="20" name="Picture 20"/>
                  <wp:cNvGraphicFramePr>
                    <a:graphicFrameLocks noChangeAspect="1"/>
                  </wp:cNvGraphicFramePr>
                  <a:graphic>
                    <a:graphicData uri="http://schemas.openxmlformats.org/drawingml/2006/picture">
                      <pic:pic>
                        <pic:nvPicPr>
                          <pic:cNvPr id="0" name="fig15_verdict_flow.png"/>
                          <pic:cNvPicPr/>
                        </pic:nvPicPr>
                        <pic:blipFill>
                          <a:blip r:embed="rId37"/>
                          <a:stretch>
                            <a:fillRect/>
                          </a:stretch>
                        </pic:blipFill>
                        <pic:spPr>
                          <a:xfrm>
                            <a:off x="0" y="0"/>
                            <a:ext cx="5486400" cy="265176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20]</w:t>
            </w:r>
            <w:r>
              <w:rPr>
                <w:rFonts w:ascii="Times New Roman" w:hAnsi="Times New Roman" w:eastAsia="바탕"/>
                <w:color w:val="606068"/>
                <w:sz w:val="18"/>
              </w:rPr>
              <w:t xml:space="preserve"> The path by which the verdict threshold is derived. The user chooses only the two boxes at the top; the rest is computation. It is a derivation rather than a table because the WHO recommendation is itself written as a proportion of total energy, so when the recommendation changes one constant is edited instead of a table being rebuilt.</w:t>
            </w:r>
          </w:p>
          <w:p>
            <w:pPr>
              <w:spacing w:after="80" w:line="276" w:lineRule="auto"/>
              <w:jc w:val="both"/>
            </w:pPr>
            <w:r>
              <w:rPr>
                <w:rFonts w:ascii="Times New Roman" w:hAnsi="Times New Roman" w:eastAsia="바탕"/>
                <w:sz w:val="20"/>
              </w:rPr>
              <w:t>The pharmacy segment of §5.7 twice pointed at a risk this derivation can create. Professor and pharmacist So-Young Lee of Chungnam National University wrote that an interaction warning can itself prompt unilateral discontinuation.</w:t>
            </w:r>
          </w:p>
          <w:p>
            <w:pPr>
              <w:spacing w:after="40" w:line="276" w:lineRule="auto"/>
              <w:ind w:left="403"/>
            </w:pPr>
            <w:r>
              <w:rPr>
                <w:rFonts w:ascii="Times New Roman" w:hAnsi="Times New Roman" w:eastAsia="바탕"/>
                <w:i/>
                <w:color w:val="606068"/>
                <w:sz w:val="19"/>
              </w:rPr>
              <w:t>"For drug interactions too, even where the dose of the co-administered drug has been reduced in consideration of it, or the prescription has already been adjusted, seeing such a warning may lead the patient to stop the therapy on their own. In clinical situations a drug is sometimes used for the patient's treatment in full knowledge of an interaction."</w:t>
            </w:r>
          </w:p>
          <w:p>
            <w:pPr>
              <w:spacing w:after="180" w:line="276" w:lineRule="auto"/>
              <w:ind w:left="403"/>
            </w:pPr>
            <w:r>
              <w:rPr>
                <w:rFonts w:ascii="Times New Roman" w:hAnsi="Times New Roman" w:eastAsia="바탕"/>
                <w:i w:val="0"/>
                <w:color w:val="606068"/>
                <w:sz w:val="19"/>
              </w:rPr>
              <w:t>(Professor and pharmacist So-Young Lee, Chungnam National University)</w:t>
            </w:r>
          </w:p>
          <w:p>
            <w:pPr>
              <w:spacing w:after="80" w:line="276" w:lineRule="auto"/>
              <w:jc w:val="both"/>
            </w:pPr>
            <w:r>
              <w:rPr>
                <w:rFonts w:ascii="Times New Roman" w:hAnsi="Times New Roman" w:eastAsia="바탕"/>
                <w:sz w:val="20"/>
              </w:rPr>
              <w:t>Professor Katarina Vučićević of the University of Belgrade in Serbia offered one answer: attach an instruction to contact the doctor or pharmacist to the warning. As it stands this app says only what not to do on an avoid verdict and does not say whom to ask. The design of this section, which made the verdict a derivation, was treating the verdict as an endpoint.</w:t>
            </w:r>
          </w:p>
          <w:p>
            <w:pPr>
              <w:spacing w:after="80" w:line="276" w:lineRule="auto"/>
              <w:jc w:val="both"/>
            </w:pPr>
            <w:r>
              <w:rPr>
                <w:rFonts w:ascii="Times New Roman" w:hAnsi="Times New Roman" w:eastAsia="바탕"/>
                <w:sz w:val="20"/>
              </w:rPr>
              <w:t>The user's conditions are then added. Diabetes narrows the sugar threshold, taking a blood thinner makes ibuprofen-class drugs something to avoid, and pregnancy or breastfeeding changes the contraindication list.</w:t>
            </w:r>
          </w:p>
          <w:p>
            <w:pPr>
              <w:spacing w:before="180" w:after="40"/>
            </w:pPr>
            <w:r>
              <w:rPr>
                <w:rFonts w:ascii="Times New Roman" w:hAnsi="Times New Roman" w:eastAsia="바탕"/>
                <w:b/>
                <w:sz w:val="23"/>
              </w:rPr>
              <w:t>2.5 Collecting conditions and inferring allergies</w:t>
            </w:r>
          </w:p>
          <w:p>
            <w:pPr>
              <w:spacing w:after="80" w:line="276" w:lineRule="auto"/>
              <w:jc w:val="both"/>
            </w:pPr>
            <w:r>
              <w:rPr>
                <w:rFonts w:ascii="Times New Roman" w:hAnsi="Times New Roman" w:eastAsia="바탕"/>
                <w:sz w:val="20"/>
              </w:rPr>
              <w:t xml:space="preserve">As established in the previous section, about 43% of adults with diabetes do not know they have it (International Diabetes Federation, </w:t>
            </w:r>
            <w:r>
              <w:rPr>
                <w:rFonts w:ascii="Times New Roman" w:hAnsi="Times New Roman" w:eastAsia="바탕"/>
                <w:i/>
                <w:sz w:val="20"/>
              </w:rPr>
              <w:t>IDF Diabetes Atlas</w:t>
            </w:r>
            <w:r>
              <w:rPr>
                <w:rFonts w:ascii="Times New Roman" w:hAnsi="Times New Roman" w:eastAsia="바탕"/>
                <w:sz w:val="20"/>
              </w:rPr>
              <w:t>, 11th ed., 2025), and for allergies there is a large gap between self-report and confirmed diagnosis.</w:t>
            </w:r>
          </w:p>
          <w:p>
            <w:pPr>
              <w:spacing w:after="80" w:line="276" w:lineRule="auto"/>
              <w:jc w:val="both"/>
            </w:pPr>
            <w:r>
              <w:rPr>
                <w:rFonts w:ascii="Times New Roman" w:hAnsi="Times New Roman" w:eastAsia="바탕"/>
                <w:sz w:val="20"/>
              </w:rPr>
              <w:t>The question "what are you allergic to" can therefore only be answered by someone who has been tested. SnapCare splits this question three ways.</w:t>
            </w:r>
          </w:p>
          <w:p>
            <w:pPr>
              <w:spacing w:after="80" w:line="276" w:lineRule="auto"/>
              <w:jc w:val="both"/>
            </w:pPr>
            <w:r>
              <w:rPr>
                <w:rFonts w:ascii="Times New Roman" w:hAnsi="Times New Roman" w:eastAsia="바탕"/>
                <w:sz w:val="20"/>
              </w:rPr>
              <w:t>[Table 12] How conditions are asked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55"/>
              <w:gridCol w:w="3255"/>
              <w:gridCol w:w="3255"/>
            </w:tblGrid>
            <w:tr>
              <w:tc>
                <w:tcPr>
                  <w:tcW w:type="dxa" w:w="3255"/>
                  <w:shd w:val="clear" w:fill="F2F2F2"/>
                </w:tcPr>
                <w:p>
                  <w:r>
                    <w:rPr>
                      <w:rFonts w:ascii="Times New Roman" w:hAnsi="Times New Roman" w:eastAsia="바탕"/>
                      <w:b/>
                      <w:sz w:val="18"/>
                    </w:rPr>
                    <w:t>Branch</w:t>
                  </w:r>
                </w:p>
              </w:tc>
              <w:tc>
                <w:tcPr>
                  <w:tcW w:type="dxa" w:w="3255"/>
                  <w:shd w:val="clear" w:fill="F2F2F2"/>
                </w:tcPr>
                <w:p>
                  <w:r>
                    <w:rPr>
                      <w:rFonts w:ascii="Times New Roman" w:hAnsi="Times New Roman" w:eastAsia="바탕"/>
                      <w:b/>
                      <w:sz w:val="18"/>
                    </w:rPr>
                    <w:t>Form of the question</w:t>
                  </w:r>
                </w:p>
              </w:tc>
              <w:tc>
                <w:tcPr>
                  <w:tcW w:type="dxa" w:w="3255"/>
                  <w:shd w:val="clear" w:fill="F2F2F2"/>
                </w:tcPr>
                <w:p>
                  <w:r>
                    <w:rPr>
                      <w:rFonts w:ascii="Times New Roman" w:hAnsi="Times New Roman" w:eastAsia="바탕"/>
                      <w:b/>
                      <w:sz w:val="18"/>
                    </w:rPr>
                    <w:t>Example</w:t>
                  </w:r>
                </w:p>
              </w:tc>
            </w:tr>
            <w:tr>
              <w:tc>
                <w:tcPr>
                  <w:tcW w:type="dxa" w:w="3255"/>
                </w:tcPr>
                <w:p>
                  <w:r>
                    <w:rPr>
                      <w:rFonts w:ascii="Times New Roman" w:hAnsi="Times New Roman" w:eastAsia="바탕"/>
                      <w:sz w:val="18"/>
                    </w:rPr>
                    <w:t>What you know now</w:t>
                  </w:r>
                </w:p>
              </w:tc>
              <w:tc>
                <w:tcPr>
                  <w:tcW w:type="dxa" w:w="3255"/>
                </w:tcPr>
                <w:p>
                  <w:r>
                    <w:rPr>
                      <w:rFonts w:ascii="Times New Roman" w:hAnsi="Times New Roman" w:eastAsia="바탕"/>
                      <w:sz w:val="18"/>
                    </w:rPr>
                    <w:t>Current state</w:t>
                  </w:r>
                </w:p>
              </w:tc>
              <w:tc>
                <w:tcPr>
                  <w:tcW w:type="dxa" w:w="3255"/>
                </w:tcPr>
                <w:p>
                  <w:r>
                    <w:rPr>
                      <w:rFonts w:ascii="Times New Roman" w:hAnsi="Times New Roman" w:eastAsia="바탕"/>
                      <w:sz w:val="18"/>
                    </w:rPr>
                    <w:t>Pregnant, breastfeeding</w:t>
                  </w:r>
                </w:p>
              </w:tc>
            </w:tr>
            <w:tr>
              <w:tc>
                <w:tcPr>
                  <w:tcW w:type="dxa" w:w="3255"/>
                </w:tcPr>
                <w:p>
                  <w:r>
                    <w:rPr>
                      <w:rFonts w:ascii="Times New Roman" w:hAnsi="Times New Roman" w:eastAsia="바탕"/>
                      <w:sz w:val="18"/>
                    </w:rPr>
                    <w:t>What you have experienced</w:t>
                  </w:r>
                </w:p>
              </w:tc>
              <w:tc>
                <w:tcPr>
                  <w:tcW w:type="dxa" w:w="3255"/>
                </w:tcPr>
                <w:p>
                  <w:r>
                    <w:rPr>
                      <w:rFonts w:ascii="Times New Roman" w:hAnsi="Times New Roman" w:eastAsia="바탕"/>
                      <w:sz w:val="18"/>
                    </w:rPr>
                    <w:t>Experience</w:t>
                  </w:r>
                </w:p>
              </w:tc>
              <w:tc>
                <w:tcPr>
                  <w:tcW w:type="dxa" w:w="3255"/>
                </w:tcPr>
                <w:p>
                  <w:r>
                    <w:rPr>
                      <w:rFonts w:ascii="Times New Roman" w:hAnsi="Times New Roman" w:eastAsia="바탕"/>
                      <w:sz w:val="18"/>
                    </w:rPr>
                    <w:t>Ever felt unwell after eating something</w:t>
                  </w:r>
                </w:p>
              </w:tc>
            </w:tr>
            <w:tr>
              <w:tc>
                <w:tcPr>
                  <w:tcW w:type="dxa" w:w="3255"/>
                </w:tcPr>
                <w:p>
                  <w:r>
                    <w:rPr>
                      <w:rFonts w:ascii="Times New Roman" w:hAnsi="Times New Roman" w:eastAsia="바탕"/>
                      <w:sz w:val="18"/>
                    </w:rPr>
                    <w:t>What you have been told</w:t>
                  </w:r>
                </w:p>
              </w:tc>
              <w:tc>
                <w:tcPr>
                  <w:tcW w:type="dxa" w:w="3255"/>
                </w:tcPr>
                <w:p>
                  <w:r>
                    <w:rPr>
                      <w:rFonts w:ascii="Times New Roman" w:hAnsi="Times New Roman" w:eastAsia="바탕"/>
                      <w:sz w:val="18"/>
                    </w:rPr>
                    <w:t>Diagnosis</w:t>
                  </w:r>
                </w:p>
              </w:tc>
              <w:tc>
                <w:tcPr>
                  <w:tcW w:type="dxa" w:w="3255"/>
                </w:tcPr>
                <w:p>
                  <w:r>
                    <w:rPr>
                      <w:rFonts w:ascii="Times New Roman" w:hAnsi="Times New Roman" w:eastAsia="바탕"/>
                      <w:sz w:val="18"/>
                    </w:rPr>
                    <w:t>Diabetes, hypertension</w:t>
                  </w:r>
                </w:p>
              </w:tc>
            </w:tr>
          </w:tbl>
          <w:p/>
          <w:p>
            <w:pPr>
              <w:spacing w:after="120"/>
            </w:pPr>
          </w:p>
          <w:p>
            <w:pPr>
              <w:spacing w:before="160" w:after="60"/>
              <w:jc w:val="center"/>
            </w:pPr>
            <w:r>
              <w:drawing>
                <wp:inline xmlns:a="http://schemas.openxmlformats.org/drawingml/2006/main" xmlns:pic="http://schemas.openxmlformats.org/drawingml/2006/picture">
                  <wp:extent cx="5486400" cy="2011680"/>
                  <wp:docPr id="21" name="Picture 21"/>
                  <wp:cNvGraphicFramePr>
                    <a:graphicFrameLocks noChangeAspect="1"/>
                  </wp:cNvGraphicFramePr>
                  <a:graphic>
                    <a:graphicData uri="http://schemas.openxmlformats.org/drawingml/2006/picture">
                      <pic:pic>
                        <pic:nvPicPr>
                          <pic:cNvPr id="0" name="fig16_conditions.png"/>
                          <pic:cNvPicPr/>
                        </pic:nvPicPr>
                        <pic:blipFill>
                          <a:blip r:embed="rId38"/>
                          <a:stretch>
                            <a:fillRect/>
                          </a:stretch>
                        </pic:blipFill>
                        <pic:spPr>
                          <a:xfrm>
                            <a:off x="0" y="0"/>
                            <a:ext cx="5486400" cy="20116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21]</w:t>
            </w:r>
            <w:r>
              <w:rPr>
                <w:rFonts w:ascii="Times New Roman" w:hAnsi="Times New Roman" w:eastAsia="바탕"/>
                <w:color w:val="606068"/>
                <w:sz w:val="18"/>
              </w:rPr>
              <w:t xml:space="preserve"> The three ways of asking about conditions (§2.5). The further right, the fewer people can answer. Existing apps ask only the third column, and as established in §1.5, 43% of adults with diabetes and 44% of adults with hypertension cannot answer it. That is why the first two columns are there.</w:t>
            </w:r>
          </w:p>
          <w:p>
            <w:pPr>
              <w:spacing w:after="80" w:line="276" w:lineRule="auto"/>
              <w:jc w:val="both"/>
            </w:pPr>
            <w:r>
              <w:rPr>
                <w:rFonts w:ascii="Times New Roman" w:hAnsi="Times New Roman" w:eastAsia="바탕"/>
                <w:sz w:val="20"/>
              </w:rPr>
              <w:t>The three kinds in Table 12 are the ones the user is asked about. A fourth exists in the data model and is never asked: conditions a person cannot know of themselves, which surface only once meal records accumulate, and which are kept off the self-report list altogether. What sits there at present is soy and sesame. The reason those two were chosen is the argument of §1.5. Without ever having been tested, there is no way to know one reacts to them, and asking returns "no".</w:t>
            </w:r>
          </w:p>
          <w:p>
            <w:pPr>
              <w:spacing w:after="80" w:line="276" w:lineRule="auto"/>
              <w:jc w:val="both"/>
            </w:pPr>
            <w:r>
              <w:rPr>
                <w:rFonts w:ascii="Times New Roman" w:hAnsi="Times New Roman" w:eastAsia="바탕"/>
                <w:sz w:val="20"/>
              </w:rPr>
              <w:t>The app also infers allergies the user does not know about. It runs Fisher's exact test over the food diary to find ingredients recurring in meals after which the user felt unwell. A minimum evidence threshold and multiple-comparison correction (Bonferroni) are applied, and the result is presented as an observation rather than a diagnosis and is not written into the profile until the user confirms it.</w:t>
            </w:r>
          </w:p>
          <w:p>
            <w:pPr>
              <w:spacing w:after="80" w:line="276" w:lineRule="auto"/>
              <w:jc w:val="both"/>
            </w:pPr>
            <w:r>
              <w:rPr>
                <w:rFonts w:ascii="Times New Roman" w:hAnsi="Times New Roman" w:eastAsia="바탕"/>
                <w:sz w:val="20"/>
              </w:rPr>
              <w:t>Whether this inference stays silent when it should has been pinned down with tests. In a feature that puts statistical inference on screen, the dangerous side is not missing something but declaring something that is not there. The tests confirm the following. It flags an ingredient when trouble recurs with that one ingredient, it does not flag on coincidental overlap alone, it says nothing when records are few no matter how high the proportion, and it does not allow the comparison at all when there are no meals without trouble to serve as a control. It also raises the bar as more ingredients are examined, does not count unanswered meals as data, and does not group peanuts together with tree nuts. Fisher's test itself is pinned against known values.</w:t>
            </w:r>
          </w:p>
          <w:p>
            <w:pPr>
              <w:spacing w:after="80" w:line="276" w:lineRule="auto"/>
              <w:jc w:val="both"/>
            </w:pPr>
            <w:r>
              <w:rPr>
                <w:rFonts w:ascii="Times New Roman" w:hAnsi="Times New Roman" w:eastAsia="바탕"/>
                <w:sz w:val="20"/>
              </w:rPr>
              <w:t>The pattern of symptoms is considered too. Hives and swelling, which suggest allergy, are separated from bloating, which suggests intolerance, so that the same ingredient may be presented one way or the other. Being told it is an allergy and being told something is hard to digest lead the user to different actions.</w:t>
            </w:r>
          </w:p>
          <w:p>
            <w:pPr>
              <w:spacing w:after="80" w:line="276" w:lineRule="auto"/>
              <w:jc w:val="both"/>
            </w:pPr>
            <w:r>
              <w:rPr>
                <w:rFonts w:ascii="Times New Roman" w:hAnsi="Times New Roman" w:eastAsia="바탕"/>
                <w:sz w:val="20"/>
              </w:rPr>
              <w:t>The conditions for staying silent are longer than the test itself.</w:t>
            </w:r>
          </w:p>
          <w:p>
            <w:pPr>
              <w:spacing w:after="160"/>
            </w:pPr>
            <w:r>
              <w:rPr>
                <w:rFonts w:ascii="Consolas" w:hAnsi="Consolas" w:eastAsia="Consolas"/>
                <w:sz w:val="18"/>
              </w:rPr>
              <w:t>export function findTriggers(log: MealFeedback[]): SuspectedTrigger[] {</w:t>
              <w:br/>
              <w:t xml:space="preserve">  // Only ingredients that actually appear in the log are tested. Testing an</w:t>
              <w:br/>
              <w:t xml:space="preserve">  // ingredient never eaten only inflates the Bonferroni denominator and kills</w:t>
              <w:br/>
              <w:t xml:space="preserve">  // the real signal.</w:t>
              <w:br/>
              <w:t xml:space="preserve">  const flags = new Set&lt;ItemFlag&gt;();</w:t>
              <w:br/>
              <w:t xml:space="preserve">  for (const m of log) for (const f of flagsOf(m.tags)) flags.add(f);</w:t>
              <w:br/>
              <w:br/>
              <w:t xml:space="preserve">  const testable = [...flags]</w:t>
              <w:br/>
              <w:t xml:space="preserve">    .map((f) =&gt; ({ flag: f, condition: conditionForFlag(f) }))</w:t>
              <w:br/>
              <w:t xml:space="preserve">    .filter((x): x is { flag: ItemFlag; condition: ConditionDef } =&gt; x.condition !== undefined);</w:t>
              <w:br/>
              <w:t xml:space="preserve">  if (testable.length === 0) return [];</w:t>
              <w:br/>
              <w:br/>
              <w:t xml:space="preserve">  const threshold = ALPHA / testable.length;   // Bonferroni</w:t>
              <w:br/>
              <w:br/>
              <w:t xml:space="preserve">  for (const { flag, condition } of testable) {</w:t>
              <w:br/>
              <w:t xml:space="preserve">    const withIt = log.filter((m) =&gt; flagsOf(m.tags).includes(flag));</w:t>
              <w:br/>
              <w:t xml:space="preserve">    const without = log.filter((m) =&gt; !flagsOf(m.tags).includes(flag));</w:t>
              <w:br/>
              <w:br/>
              <w:t xml:space="preserve">    const a = withIt.filter((m) =&gt; m.reaction === 'unwell').length;</w:t>
              <w:br/>
              <w:t xml:space="preserve">    const b = withIt.length - a;</w:t>
              <w:br/>
              <w:t xml:space="preserve">    const c = without.filter((m) =&gt; m.reaction === 'unwell').length;</w:t>
              <w:br/>
              <w:t xml:space="preserve">    const d = without.length - c;</w:t>
              <w:br/>
              <w:br/>
              <w:t xml:space="preserve">    if (a &lt; MIN_UNWELL || withIt.length &lt; MIN_EATEN || without.length &lt; MIN_CONTROL) continue;</w:t>
              <w:br/>
              <w:br/>
              <w:t xml:space="preserve">    const p = fisherRightTail(a, b, c, d);</w:t>
              <w:br/>
              <w:t xml:space="preserve">    if (p &gt; threshold) continue;</w:t>
              <w:br/>
              <w:t xml:space="preserve">    ...</w:t>
              <w:br/>
              <w:t xml:space="preserve">  }</w:t>
              <w:br/>
              <w:t>}</w:t>
            </w:r>
          </w:p>
          <w:p>
            <w:pPr>
              <w:spacing w:after="80" w:line="276" w:lineRule="auto"/>
              <w:jc w:val="both"/>
            </w:pPr>
            <w:r>
              <w:rPr>
                <w:rFonts w:ascii="Times New Roman" w:hAnsi="Times New Roman" w:eastAsia="바탕"/>
                <w:sz w:val="20"/>
              </w:rPr>
              <w:t xml:space="preserve">The four values form a 2x2 table: </w:t>
            </w:r>
            <w:r>
              <w:rPr>
                <w:rFonts w:ascii="Consolas" w:hAnsi="Consolas" w:eastAsia="Consolas"/>
                <w:sz w:val="19"/>
              </w:rPr>
              <w:t>a</w:t>
            </w:r>
            <w:r>
              <w:rPr>
                <w:rFonts w:ascii="Times New Roman" w:hAnsi="Times New Roman" w:eastAsia="바탕"/>
                <w:sz w:val="20"/>
              </w:rPr>
              <w:t xml:space="preserve"> is the number of times the ingredient was eaten and the person felt unwell, </w:t>
            </w:r>
            <w:r>
              <w:rPr>
                <w:rFonts w:ascii="Consolas" w:hAnsi="Consolas" w:eastAsia="Consolas"/>
                <w:sz w:val="19"/>
              </w:rPr>
              <w:t>b</w:t>
            </w:r>
            <w:r>
              <w:rPr>
                <w:rFonts w:ascii="Times New Roman" w:hAnsi="Times New Roman" w:eastAsia="바탕"/>
                <w:sz w:val="20"/>
              </w:rPr>
              <w:t xml:space="preserve"> eaten and fine, </w:t>
            </w:r>
            <w:r>
              <w:rPr>
                <w:rFonts w:ascii="Consolas" w:hAnsi="Consolas" w:eastAsia="Consolas"/>
                <w:sz w:val="19"/>
              </w:rPr>
              <w:t>c</w:t>
            </w:r>
            <w:r>
              <w:rPr>
                <w:rFonts w:ascii="Times New Roman" w:hAnsi="Times New Roman" w:eastAsia="바탕"/>
                <w:sz w:val="20"/>
              </w:rPr>
              <w:t xml:space="preserve"> not eaten and unwell, </w:t>
            </w:r>
            <w:r>
              <w:rPr>
                <w:rFonts w:ascii="Consolas" w:hAnsi="Consolas" w:eastAsia="Consolas"/>
                <w:sz w:val="19"/>
              </w:rPr>
              <w:t>d</w:t>
            </w:r>
            <w:r>
              <w:rPr>
                <w:rFonts w:ascii="Times New Roman" w:hAnsi="Times New Roman" w:eastAsia="바탕"/>
                <w:sz w:val="20"/>
              </w:rPr>
              <w:t xml:space="preserve"> not eaten and fine. Design intent. The two </w:t>
            </w:r>
            <w:r>
              <w:rPr>
                <w:rFonts w:ascii="Consolas" w:hAnsi="Consolas" w:eastAsia="Consolas"/>
                <w:sz w:val="19"/>
              </w:rPr>
              <w:t>continue</w:t>
            </w:r>
            <w:r>
              <w:rPr>
                <w:rFonts w:ascii="Times New Roman" w:hAnsi="Times New Roman" w:eastAsia="바탕"/>
                <w:sz w:val="20"/>
              </w:rPr>
              <w:t xml:space="preserve"> lines are most of what this function does. The first looks at the amount of evidence: the number of times trouble occurred, the number of times the ingredient was eaten, and the number of meals without it. Without the last, the comparison does not hold, because an ingredient present in every meal was present on every occasion of trouble and would pass any test at all.</w:t>
            </w:r>
          </w:p>
          <w:p>
            <w:pPr>
              <w:spacing w:after="80" w:line="276" w:lineRule="auto"/>
              <w:jc w:val="both"/>
            </w:pPr>
            <w:r>
              <w:rPr>
                <w:rFonts w:ascii="Times New Roman" w:hAnsi="Times New Roman" w:eastAsia="바탕"/>
                <w:sz w:val="20"/>
              </w:rPr>
              <w:t xml:space="preserve">The threshold on the second line is </w:t>
            </w:r>
            <w:r>
              <w:rPr>
                <w:rFonts w:ascii="Consolas" w:hAnsi="Consolas" w:eastAsia="Consolas"/>
                <w:sz w:val="19"/>
              </w:rPr>
              <w:t>ALPHA / number of ingredients tested</w:t>
            </w:r>
            <w:r>
              <w:rPr>
                <w:rFonts w:ascii="Times New Roman" w:hAnsi="Times New Roman" w:eastAsia="바탕"/>
                <w:sz w:val="20"/>
              </w:rPr>
              <w:t>. Examining ten ingredients makes the threshold one tenth. Putting twenty ingredients each against a 5% threshold catches about one even when nothing is related, and putting that one on screen as "you may be allergic to this" is the worst thing this feature could do.</w:t>
            </w:r>
          </w:p>
          <w:p>
            <w:pPr>
              <w:spacing w:after="80" w:line="276" w:lineRule="auto"/>
              <w:jc w:val="both"/>
            </w:pPr>
            <w:r>
              <w:rPr>
                <w:rFonts w:ascii="Times New Roman" w:hAnsi="Times New Roman" w:eastAsia="바탕"/>
                <w:sz w:val="20"/>
              </w:rPr>
              <w:t>Narrowing the tested set to ingredients that actually appear in the log follows the same reasoning. Including ingredients never eaten only enlarges the denominator and pushes the real signal below the threshold. A device for being conservative, carried too far, becomes a device for finding nothing.</w:t>
            </w:r>
          </w:p>
          <w:p>
            <w:pPr>
              <w:spacing w:after="80" w:line="276" w:lineRule="auto"/>
              <w:jc w:val="both"/>
            </w:pPr>
            <w:r>
              <w:rPr>
                <w:rFonts w:ascii="Times New Roman" w:hAnsi="Times New Roman" w:eastAsia="바탕"/>
                <w:sz w:val="20"/>
              </w:rPr>
              <w:t>Fisher's exact test was used because the samples are small. Chi-square cannot be used when expected frequencies fall below 5, and food diary tables always look like that. It is rare for a person to record eating one ingredient twenty times and how often trouble followed.</w:t>
            </w:r>
          </w:p>
          <w:p>
            <w:pPr>
              <w:spacing w:after="80" w:line="276" w:lineRule="auto"/>
              <w:jc w:val="both"/>
            </w:pPr>
            <w:r>
              <w:rPr>
                <w:rFonts w:ascii="Times New Roman" w:hAnsi="Times New Roman" w:eastAsia="바탕"/>
                <w:sz w:val="20"/>
              </w:rPr>
              <w:t>A response arrived that shakes the premise this whole section rests on. Asked whether the app could change health outcomes, Professor Namsoo Park of Hyupsung University answered:</w:t>
            </w:r>
          </w:p>
          <w:p>
            <w:pPr>
              <w:spacing w:after="40" w:line="276" w:lineRule="auto"/>
              <w:ind w:left="403"/>
            </w:pPr>
            <w:r>
              <w:rPr>
                <w:rFonts w:ascii="Times New Roman" w:hAnsi="Times New Roman" w:eastAsia="바탕"/>
                <w:i/>
                <w:color w:val="606068"/>
                <w:sz w:val="19"/>
              </w:rPr>
              <w:t>"(There is an instruction reading "select any that apply to you", for instance; if that instruction cannot be read, how is the app to be used well?)"</w:t>
            </w:r>
          </w:p>
          <w:p>
            <w:pPr>
              <w:spacing w:after="180" w:line="276" w:lineRule="auto"/>
              <w:ind w:left="403"/>
            </w:pPr>
            <w:r>
              <w:rPr>
                <w:rFonts w:ascii="Times New Roman" w:hAnsi="Times New Roman" w:eastAsia="바탕"/>
                <w:i w:val="0"/>
                <w:color w:val="606068"/>
                <w:sz w:val="19"/>
              </w:rPr>
              <w:t>(Professor Namsoo Park, Hyupsung University)</w:t>
            </w:r>
          </w:p>
          <w:p>
            <w:pPr>
              <w:spacing w:after="80" w:line="276" w:lineRule="auto"/>
              <w:jc w:val="both"/>
            </w:pPr>
            <w:r>
              <w:rPr>
                <w:rFonts w:ascii="Times New Roman" w:hAnsi="Times New Roman" w:eastAsia="바탕"/>
                <w:sz w:val="20"/>
              </w:rPr>
              <w:t>This section says we ask the user for their conditions. But the instruction to pick conditions is itself text. Here is the place where an app built for people who cannot read puts a written question to them. §3.2 answers the same problem by having age chosen from four pictures, and the conditions screen is likewise picture and speech (Figure 21). Whether "select any that apply to you" itself carries without being read, however, we have not confirmed by asking people. Of everything §5.9 records as untested with people, this is the sorest place.</w:t>
            </w:r>
          </w:p>
          <w:p>
            <w:pPr>
              <w:spacing w:before="180" w:after="40"/>
            </w:pPr>
            <w:r>
              <w:rPr>
                <w:rFonts w:ascii="Times New Roman" w:hAnsi="Times New Roman" w:eastAsia="바탕"/>
                <w:b/>
                <w:sz w:val="23"/>
              </w:rPr>
              <w:t>2.6 How this differs from existing approaches</w:t>
            </w:r>
          </w:p>
          <w:p>
            <w:pPr>
              <w:spacing w:after="80" w:line="276" w:lineRule="auto"/>
              <w:jc w:val="both"/>
            </w:pPr>
            <w:r>
              <w:rPr>
                <w:rFonts w:ascii="Times New Roman" w:hAnsi="Times New Roman" w:eastAsia="바탕"/>
                <w:sz w:val="20"/>
              </w:rPr>
              <w:t>This section sets out how SnapCare differs from what already exists. Two comparators are taken. One is the general health and nutrition app, the other is the de facto standard for pharmaceutical pictograms, the United States Pharmacopeia set. The first says it addresses the same users but addresses them in text, and the second does not use text but cannot combine.</w:t>
            </w:r>
          </w:p>
          <w:p>
            <w:pPr>
              <w:spacing w:after="80" w:line="276" w:lineRule="auto"/>
              <w:jc w:val="both"/>
            </w:pPr>
            <w:r>
              <w:rPr>
                <w:rFonts w:ascii="Times New Roman" w:hAnsi="Times New Roman" w:eastAsia="바탕"/>
                <w:sz w:val="20"/>
              </w:rPr>
              <w:t>[Table 13] Existing approaches compared with SnapCare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53"/>
              <w:gridCol w:w="1953"/>
              <w:gridCol w:w="1953"/>
              <w:gridCol w:w="1953"/>
              <w:gridCol w:w="1953"/>
            </w:tblGrid>
            <w:tr>
              <w:tc>
                <w:tcPr>
                  <w:tcW w:type="dxa" w:w="1953"/>
                  <w:shd w:val="clear" w:fill="F2F2F2"/>
                </w:tcPr>
                <w:p>
                  <w:r>
                    <w:rPr>
                      <w:rFonts w:ascii="Times New Roman" w:hAnsi="Times New Roman" w:eastAsia="바탕"/>
                      <w:b/>
                      <w:sz w:val="18"/>
                    </w:rPr>
                    <w:t>Item</w:t>
                  </w:r>
                </w:p>
              </w:tc>
              <w:tc>
                <w:tcPr>
                  <w:tcW w:type="dxa" w:w="1953"/>
                  <w:shd w:val="clear" w:fill="F2F2F2"/>
                </w:tcPr>
                <w:p>
                  <w:r>
                    <w:rPr>
                      <w:rFonts w:ascii="Times New Roman" w:hAnsi="Times New Roman" w:eastAsia="바탕"/>
                      <w:b/>
                      <w:sz w:val="18"/>
                    </w:rPr>
                    <w:t>General health app</w:t>
                  </w:r>
                </w:p>
              </w:tc>
              <w:tc>
                <w:tcPr>
                  <w:tcW w:type="dxa" w:w="1953"/>
                  <w:shd w:val="clear" w:fill="F2F2F2"/>
                </w:tcPr>
                <w:p>
                  <w:r>
                    <w:rPr>
                      <w:rFonts w:ascii="Times New Roman" w:hAnsi="Times New Roman" w:eastAsia="바탕"/>
                      <w:b/>
                      <w:sz w:val="18"/>
                    </w:rPr>
                    <w:t>Medication reminder app</w:t>
                  </w:r>
                </w:p>
              </w:tc>
              <w:tc>
                <w:tcPr>
                  <w:tcW w:type="dxa" w:w="1953"/>
                  <w:shd w:val="clear" w:fill="F2F2F2"/>
                </w:tcPr>
                <w:p>
                  <w:r>
                    <w:rPr>
                      <w:rFonts w:ascii="Times New Roman" w:hAnsi="Times New Roman" w:eastAsia="바탕"/>
                      <w:b/>
                      <w:sz w:val="18"/>
                    </w:rPr>
                    <w:t>USP pictogram standard</w:t>
                  </w:r>
                </w:p>
              </w:tc>
              <w:tc>
                <w:tcPr>
                  <w:tcW w:type="dxa" w:w="1953"/>
                  <w:shd w:val="clear" w:fill="F2F2F2"/>
                </w:tcPr>
                <w:p>
                  <w:r>
                    <w:rPr>
                      <w:rFonts w:ascii="Times New Roman" w:hAnsi="Times New Roman" w:eastAsia="바탕"/>
                      <w:b/>
                      <w:sz w:val="18"/>
                    </w:rPr>
                    <w:t>SnapCare</w:t>
                  </w:r>
                </w:p>
              </w:tc>
            </w:tr>
            <w:tr>
              <w:tc>
                <w:tcPr>
                  <w:tcW w:type="dxa" w:w="1953"/>
                </w:tcPr>
                <w:p>
                  <w:r>
                    <w:rPr>
                      <w:rFonts w:ascii="Times New Roman" w:hAnsi="Times New Roman" w:eastAsia="바탕"/>
                      <w:sz w:val="18"/>
                    </w:rPr>
                    <w:t>Input</w:t>
                  </w:r>
                </w:p>
              </w:tc>
              <w:tc>
                <w:tcPr>
                  <w:tcW w:type="dxa" w:w="1953"/>
                </w:tcPr>
                <w:p>
                  <w:r>
                    <w:rPr>
                      <w:rFonts w:ascii="Times New Roman" w:hAnsi="Times New Roman" w:eastAsia="바탕"/>
                      <w:sz w:val="18"/>
                    </w:rPr>
                    <w:t>Typing and search</w:t>
                  </w:r>
                </w:p>
              </w:tc>
              <w:tc>
                <w:tcPr>
                  <w:tcW w:type="dxa" w:w="1953"/>
                </w:tcPr>
                <w:p>
                  <w:r>
                    <w:rPr>
                      <w:rFonts w:ascii="Times New Roman" w:hAnsi="Times New Roman" w:eastAsia="바탕"/>
                      <w:sz w:val="18"/>
                    </w:rPr>
                    <w:t>The person types in medicine name, dose and time</w:t>
                  </w:r>
                </w:p>
              </w:tc>
              <w:tc>
                <w:tcPr>
                  <w:tcW w:type="dxa" w:w="1953"/>
                </w:tcPr>
                <w:p>
                  <w:r>
                    <w:rPr>
                      <w:rFonts w:ascii="Times New Roman" w:hAnsi="Times New Roman" w:eastAsia="바탕"/>
                      <w:sz w:val="18"/>
                    </w:rPr>
                    <w:t>(not applicable)</w:t>
                  </w:r>
                </w:p>
              </w:tc>
              <w:tc>
                <w:tcPr>
                  <w:tcW w:type="dxa" w:w="1953"/>
                </w:tcPr>
                <w:p>
                  <w:r>
                    <w:rPr>
                      <w:rFonts w:ascii="Times New Roman" w:hAnsi="Times New Roman" w:eastAsia="바탕"/>
                      <w:sz w:val="18"/>
                    </w:rPr>
                    <w:t>One photograph</w:t>
                  </w:r>
                </w:p>
              </w:tc>
            </w:tr>
            <w:tr>
              <w:tc>
                <w:tcPr>
                  <w:tcW w:type="dxa" w:w="1953"/>
                </w:tcPr>
                <w:p>
                  <w:r>
                    <w:rPr>
                      <w:rFonts w:ascii="Times New Roman" w:hAnsi="Times New Roman" w:eastAsia="바탕"/>
                      <w:sz w:val="18"/>
                    </w:rPr>
                    <w:t>Output</w:t>
                  </w:r>
                </w:p>
              </w:tc>
              <w:tc>
                <w:tcPr>
                  <w:tcW w:type="dxa" w:w="1953"/>
                </w:tcPr>
                <w:p>
                  <w:r>
                    <w:rPr>
                      <w:rFonts w:ascii="Times New Roman" w:hAnsi="Times New Roman" w:eastAsia="바탕"/>
                      <w:sz w:val="18"/>
                    </w:rPr>
                    <w:t>Mostly text</w:t>
                  </w:r>
                </w:p>
              </w:tc>
              <w:tc>
                <w:tcPr>
                  <w:tcW w:type="dxa" w:w="1953"/>
                </w:tcPr>
                <w:p>
                  <w:r>
                    <w:rPr>
                      <w:rFonts w:ascii="Times New Roman" w:hAnsi="Times New Roman" w:eastAsia="바탕"/>
                      <w:sz w:val="18"/>
                    </w:rPr>
                    <w:t>Notification text</w:t>
                  </w:r>
                </w:p>
              </w:tc>
              <w:tc>
                <w:tcPr>
                  <w:tcW w:type="dxa" w:w="1953"/>
                </w:tcPr>
                <w:p>
                  <w:r>
                    <w:rPr>
                      <w:rFonts w:ascii="Times New Roman" w:hAnsi="Times New Roman" w:eastAsia="바탕"/>
                      <w:sz w:val="18"/>
                    </w:rPr>
                    <w:t>81 static pictures</w:t>
                  </w:r>
                </w:p>
              </w:tc>
              <w:tc>
                <w:tcPr>
                  <w:tcW w:type="dxa" w:w="1953"/>
                </w:tcPr>
                <w:p>
                  <w:r>
                    <w:rPr>
                      <w:rFonts w:ascii="Times New Roman" w:hAnsi="Times New Roman" w:eastAsia="바탕"/>
                      <w:sz w:val="18"/>
                    </w:rPr>
                    <w:t>Composed pictogram + speech + colour</w:t>
                  </w:r>
                </w:p>
              </w:tc>
            </w:tr>
            <w:tr>
              <w:tc>
                <w:tcPr>
                  <w:tcW w:type="dxa" w:w="1953"/>
                </w:tcPr>
                <w:p>
                  <w:r>
                    <w:rPr>
                      <w:rFonts w:ascii="Times New Roman" w:hAnsi="Times New Roman" w:eastAsia="바탕"/>
                      <w:sz w:val="18"/>
                    </w:rPr>
                    <w:t>What it answers</w:t>
                  </w:r>
                </w:p>
              </w:tc>
              <w:tc>
                <w:tcPr>
                  <w:tcW w:type="dxa" w:w="1953"/>
                </w:tcPr>
                <w:p>
                  <w:r>
                    <w:rPr>
                      <w:rFonts w:ascii="Times New Roman" w:hAnsi="Times New Roman" w:eastAsia="바탕"/>
                      <w:sz w:val="18"/>
                    </w:rPr>
                    <w:t>Information for a search term</w:t>
                  </w:r>
                </w:p>
              </w:tc>
              <w:tc>
                <w:tcPr>
                  <w:tcW w:type="dxa" w:w="1953"/>
                </w:tcPr>
                <w:p>
                  <w:r>
                    <w:rPr>
                      <w:rFonts w:ascii="Times New Roman" w:hAnsi="Times New Roman" w:eastAsia="바탕"/>
                      <w:sz w:val="18"/>
                    </w:rPr>
                    <w:t>When</w:t>
                  </w:r>
                </w:p>
              </w:tc>
              <w:tc>
                <w:tcPr>
                  <w:tcW w:type="dxa" w:w="1953"/>
                </w:tcPr>
                <w:p>
                  <w:r>
                    <w:rPr>
                      <w:rFonts w:ascii="Times New Roman" w:hAnsi="Times New Roman" w:eastAsia="바탕"/>
                      <w:sz w:val="18"/>
                    </w:rPr>
                    <w:t>(not applicable)</w:t>
                  </w:r>
                </w:p>
              </w:tc>
              <w:tc>
                <w:tcPr>
                  <w:tcW w:type="dxa" w:w="1953"/>
                </w:tcPr>
                <w:p>
                  <w:r>
                    <w:rPr>
                      <w:rFonts w:ascii="Times New Roman" w:hAnsi="Times New Roman" w:eastAsia="바탕"/>
                      <w:sz w:val="18"/>
                    </w:rPr>
                    <w:t>What, how much, when, and what to avoid</w:t>
                  </w:r>
                </w:p>
              </w:tc>
            </w:tr>
            <w:tr>
              <w:tc>
                <w:tcPr>
                  <w:tcW w:type="dxa" w:w="1953"/>
                </w:tcPr>
                <w:p>
                  <w:r>
                    <w:rPr>
                      <w:rFonts w:ascii="Times New Roman" w:hAnsi="Times New Roman" w:eastAsia="바탕"/>
                      <w:sz w:val="18"/>
                    </w:rPr>
                    <w:t>Combination</w:t>
                  </w:r>
                </w:p>
              </w:tc>
              <w:tc>
                <w:tcPr>
                  <w:tcW w:type="dxa" w:w="1953"/>
                </w:tcPr>
                <w:p>
                  <w:r>
                    <w:rPr>
                      <w:rFonts w:ascii="Times New Roman" w:hAnsi="Times New Roman" w:eastAsia="바탕"/>
                      <w:sz w:val="18"/>
                    </w:rPr>
                    <w:t>—</w:t>
                  </w:r>
                </w:p>
              </w:tc>
              <w:tc>
                <w:tcPr>
                  <w:tcW w:type="dxa" w:w="1953"/>
                </w:tcPr>
                <w:p>
                  <w:r>
                    <w:rPr>
                      <w:rFonts w:ascii="Times New Roman" w:hAnsi="Times New Roman" w:eastAsia="바탕"/>
                      <w:sz w:val="18"/>
                    </w:rPr>
                    <w:t>—</w:t>
                  </w:r>
                </w:p>
              </w:tc>
              <w:tc>
                <w:tcPr>
                  <w:tcW w:type="dxa" w:w="1953"/>
                </w:tcPr>
                <w:p>
                  <w:r>
                    <w:rPr>
                      <w:rFonts w:ascii="Times New Roman" w:hAnsi="Times New Roman" w:eastAsia="바탕"/>
                      <w:b/>
                      <w:sz w:val="18"/>
                    </w:rPr>
                    <w:t>Prohibited by licence</w:t>
                  </w:r>
                </w:p>
              </w:tc>
              <w:tc>
                <w:tcPr>
                  <w:tcW w:type="dxa" w:w="1953"/>
                </w:tcPr>
                <w:p>
                  <w:r>
                    <w:rPr>
                      <w:rFonts w:ascii="Times New Roman" w:hAnsi="Times New Roman" w:eastAsia="바탕"/>
                      <w:sz w:val="18"/>
                    </w:rPr>
                    <w:t>Combined by grammar</w:t>
                  </w:r>
                </w:p>
              </w:tc>
            </w:tr>
            <w:tr>
              <w:tc>
                <w:tcPr>
                  <w:tcW w:type="dxa" w:w="1953"/>
                </w:tcPr>
                <w:p>
                  <w:r>
                    <w:rPr>
                      <w:rFonts w:ascii="Times New Roman" w:hAnsi="Times New Roman" w:eastAsia="바탕"/>
                      <w:sz w:val="18"/>
                    </w:rPr>
                    <w:t>Verdict threshold</w:t>
                  </w:r>
                </w:p>
              </w:tc>
              <w:tc>
                <w:tcPr>
                  <w:tcW w:type="dxa" w:w="1953"/>
                </w:tcPr>
                <w:p>
                  <w:r>
                    <w:rPr>
                      <w:rFonts w:ascii="Times New Roman" w:hAnsi="Times New Roman" w:eastAsia="바탕"/>
                      <w:sz w:val="18"/>
                    </w:rPr>
                    <w:t>Fixed table or none</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(not applicable)</w:t>
                  </w:r>
                </w:p>
              </w:tc>
              <w:tc>
                <w:tcPr>
                  <w:tcW w:type="dxa" w:w="1953"/>
                </w:tcPr>
                <w:p>
                  <w:r>
                    <w:rPr>
                      <w:rFonts w:ascii="Times New Roman" w:hAnsi="Times New Roman" w:eastAsia="바탕"/>
                      <w:sz w:val="18"/>
                    </w:rPr>
                    <w:t>Derived from personal energy requirement</w:t>
                  </w:r>
                </w:p>
              </w:tc>
            </w:tr>
            <w:tr>
              <w:tc>
                <w:tcPr>
                  <w:tcW w:type="dxa" w:w="1953"/>
                </w:tcPr>
                <w:p>
                  <w:r>
                    <w:rPr>
                      <w:rFonts w:ascii="Times New Roman" w:hAnsi="Times New Roman" w:eastAsia="바탕"/>
                      <w:sz w:val="18"/>
                    </w:rPr>
                    <w:t>Assumption</w:t>
                  </w:r>
                </w:p>
              </w:tc>
              <w:tc>
                <w:tcPr>
                  <w:tcW w:type="dxa" w:w="1953"/>
                </w:tcPr>
                <w:p>
                  <w:r>
                    <w:rPr>
                      <w:rFonts w:ascii="Times New Roman" w:hAnsi="Times New Roman" w:eastAsia="바탕"/>
                      <w:sz w:val="18"/>
                    </w:rPr>
                    <w:t>User knows their diagnosis</w:t>
                  </w:r>
                </w:p>
              </w:tc>
              <w:tc>
                <w:tcPr>
                  <w:tcW w:type="dxa" w:w="1953"/>
                </w:tcPr>
                <w:p>
                  <w:r>
                    <w:rPr>
                      <w:rFonts w:ascii="Times New Roman" w:hAnsi="Times New Roman" w:eastAsia="바탕"/>
                      <w:sz w:val="18"/>
                    </w:rPr>
                    <w:t>User can read a prescription and copy it across</w:t>
                  </w:r>
                </w:p>
              </w:tc>
              <w:tc>
                <w:tcPr>
                  <w:tcW w:type="dxa" w:w="1953"/>
                </w:tcPr>
                <w:p>
                  <w:r>
                    <w:rPr>
                      <w:rFonts w:ascii="Times New Roman" w:hAnsi="Times New Roman" w:eastAsia="바탕"/>
                      <w:sz w:val="18"/>
                    </w:rPr>
                    <w:t>—</w:t>
                  </w:r>
                </w:p>
              </w:tc>
              <w:tc>
                <w:tcPr>
                  <w:tcW w:type="dxa" w:w="1953"/>
                </w:tcPr>
                <w:p>
                  <w:r>
                    <w:rPr>
                      <w:rFonts w:ascii="Times New Roman" w:hAnsi="Times New Roman" w:eastAsia="바탕"/>
                      <w:sz w:val="18"/>
                    </w:rPr>
                    <w:t>Neither diagnosis nor reading assumed</w:t>
                  </w:r>
                </w:p>
              </w:tc>
            </w:tr>
            <w:tr>
              <w:tc>
                <w:tcPr>
                  <w:tcW w:type="dxa" w:w="1953"/>
                </w:tcPr>
                <w:p>
                  <w:r>
                    <w:rPr>
                      <w:rFonts w:ascii="Times New Roman" w:hAnsi="Times New Roman" w:eastAsia="바탕"/>
                      <w:sz w:val="18"/>
                    </w:rPr>
                    <w:t>Adherence record</w:t>
                  </w:r>
                </w:p>
              </w:tc>
              <w:tc>
                <w:tcPr>
                  <w:tcW w:type="dxa" w:w="1953"/>
                </w:tcPr>
                <w:p>
                  <w:r>
                    <w:rPr>
                      <w:rFonts w:ascii="Times New Roman" w:hAnsi="Times New Roman" w:eastAsia="바탕"/>
                      <w:sz w:val="18"/>
                    </w:rPr>
                    <w:t>—</w:t>
                  </w:r>
                </w:p>
              </w:tc>
              <w:tc>
                <w:tcPr>
                  <w:tcW w:type="dxa" w:w="1953"/>
                </w:tcPr>
                <w:p>
                  <w:r>
                    <w:rPr>
                      <w:rFonts w:ascii="Times New Roman" w:hAnsi="Times New Roman" w:eastAsia="바탕"/>
                      <w:sz w:val="18"/>
                    </w:rPr>
                    <w:t>The person taps to say so</w:t>
                  </w:r>
                </w:p>
              </w:tc>
              <w:tc>
                <w:tcPr>
                  <w:tcW w:type="dxa" w:w="1953"/>
                </w:tcPr>
                <w:p>
                  <w:r>
                    <w:rPr>
                      <w:rFonts w:ascii="Times New Roman" w:hAnsi="Times New Roman" w:eastAsia="바탕"/>
                      <w:sz w:val="18"/>
                    </w:rPr>
                    <w:t>—</w:t>
                  </w:r>
                </w:p>
              </w:tc>
              <w:tc>
                <w:tcPr>
                  <w:tcW w:type="dxa" w:w="1953"/>
                </w:tcPr>
                <w:p>
                  <w:r>
                    <w:rPr>
                      <w:rFonts w:ascii="Times New Roman" w:hAnsi="Times New Roman" w:eastAsia="바탕"/>
                      <w:sz w:val="18"/>
                    </w:rPr>
                    <w:t>Also comes from a paired box's dispense log</w:t>
                  </w:r>
                </w:p>
              </w:tc>
            </w:tr>
            <w:tr>
              <w:tc>
                <w:tcPr>
                  <w:tcW w:type="dxa" w:w="1953"/>
                </w:tcPr>
                <w:p>
                  <w:r>
                    <w:rPr>
                      <w:rFonts w:ascii="Times New Roman" w:hAnsi="Times New Roman" w:eastAsia="바탕"/>
                      <w:sz w:val="18"/>
                    </w:rPr>
                    <w:t>Comprehension check</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Only post hoc studies</w:t>
                  </w:r>
                </w:p>
              </w:tc>
              <w:tc>
                <w:tcPr>
                  <w:tcW w:type="dxa" w:w="1953"/>
                </w:tcPr>
                <w:p>
                  <w:r>
                    <w:rPr>
                      <w:rFonts w:ascii="Times New Roman" w:hAnsi="Times New Roman" w:eastAsia="바탕"/>
                      <w:sz w:val="18"/>
                    </w:rPr>
                    <w:t>Measured automatically before release</w:t>
                  </w:r>
                </w:p>
              </w:tc>
            </w:tr>
            <w:tr>
              <w:tc>
                <w:tcPr>
                  <w:tcW w:type="dxa" w:w="1953"/>
                </w:tcPr>
                <w:p>
                  <w:r>
                    <w:rPr>
                      <w:rFonts w:ascii="Times New Roman" w:hAnsi="Times New Roman" w:eastAsia="바탕"/>
                      <w:sz w:val="18"/>
                    </w:rPr>
                    <w:t>Network</w:t>
                  </w:r>
                </w:p>
              </w:tc>
              <w:tc>
                <w:tcPr>
                  <w:tcW w:type="dxa" w:w="1953"/>
                </w:tcPr>
                <w:p>
                  <w:r>
                    <w:rPr>
                      <w:rFonts w:ascii="Times New Roman" w:hAnsi="Times New Roman" w:eastAsia="바탕"/>
                      <w:sz w:val="18"/>
                    </w:rPr>
                    <w:t>Required</w:t>
                  </w:r>
                </w:p>
              </w:tc>
              <w:tc>
                <w:tcPr>
                  <w:tcW w:type="dxa" w:w="1953"/>
                </w:tcPr>
                <w:p>
                  <w:r>
                    <w:rPr>
                      <w:rFonts w:ascii="Times New Roman" w:hAnsi="Times New Roman" w:eastAsia="바탕"/>
                      <w:sz w:val="18"/>
                    </w:rPr>
                    <w:t>Notification on device</w:t>
                  </w:r>
                </w:p>
              </w:tc>
              <w:tc>
                <w:tcPr>
                  <w:tcW w:type="dxa" w:w="1953"/>
                </w:tcPr>
                <w:p>
                  <w:r>
                    <w:rPr>
                      <w:rFonts w:ascii="Times New Roman" w:hAnsi="Times New Roman" w:eastAsia="바탕"/>
                      <w:sz w:val="18"/>
                    </w:rPr>
                    <w:t>—</w:t>
                  </w:r>
                </w:p>
              </w:tc>
              <w:tc>
                <w:tcPr>
                  <w:tcW w:type="dxa" w:w="1953"/>
                </w:tcPr>
                <w:p>
                  <w:r>
                    <w:rPr>
                      <w:rFonts w:ascii="Times New Roman" w:hAnsi="Times New Roman" w:eastAsia="바탕"/>
                      <w:sz w:val="18"/>
                    </w:rPr>
                    <w:t>Verdict computed on device</w:t>
                  </w:r>
                </w:p>
              </w:tc>
            </w:tr>
          </w:tbl>
          <w:p/>
          <w:p>
            <w:pPr>
              <w:spacing w:after="120"/>
            </w:pPr>
          </w:p>
          <w:p>
            <w:pPr>
              <w:spacing w:after="80" w:line="276" w:lineRule="auto"/>
              <w:jc w:val="both"/>
            </w:pPr>
            <w:r>
              <w:rPr>
                <w:rFonts w:ascii="Times New Roman" w:hAnsi="Times New Roman" w:eastAsia="바탕"/>
                <w:sz w:val="20"/>
              </w:rPr>
              <w:t>The rows of the table are not independent of one another. Fixing the input as a single photograph in the first row means the user does not say what they photographed, so the app has to determine it itself (§3.3), and deciding in the fifth row not to assume a diagnosis changes how conditions are asked altogether (§2.5). Settling one brings the rest with it, and the starting point is the first constraint in §2.1.</w:t>
            </w:r>
          </w:p>
          <w:p>
            <w:pPr>
              <w:spacing w:after="80" w:line="276" w:lineRule="auto"/>
              <w:jc w:val="both"/>
            </w:pPr>
            <w:r>
              <w:rPr>
                <w:rFonts w:ascii="Times New Roman" w:hAnsi="Times New Roman" w:eastAsia="바탕"/>
                <w:sz w:val="20"/>
              </w:rPr>
              <w:t>The middle column was added because §1.13 widened the target. The moment one speaks of people who find it hard to take medicine as directed, what stands immediately alongside is the medication reminder app, and without setting down how this differs from that category, the proposal reads as one more reminder app.</w:t>
            </w:r>
          </w:p>
          <w:p>
            <w:pPr>
              <w:spacing w:after="80" w:line="276" w:lineRule="auto"/>
              <w:jc w:val="both"/>
            </w:pPr>
            <w:r>
              <w:rPr>
                <w:rFonts w:ascii="Times New Roman" w:hAnsi="Times New Roman" w:eastAsia="바탕"/>
                <w:sz w:val="20"/>
              </w:rPr>
              <w:t xml:space="preserve">There is work that actually counted that category. Across two app stores, 272 medication reminder apps were found and scored against seventeen desirable features: the median number of features per app was 3.0 (interquartile range 4.0), and only 18 apps had nine or more. The most common features were flexible scheduling at 56.3% (153/272), medication tracking history at 54.8% (149/272), a snooze option at 34.9% (95/272), and </w:t>
            </w:r>
            <w:r>
              <w:rPr>
                <w:rFonts w:ascii="Times New Roman" w:hAnsi="Times New Roman" w:eastAsia="바탕"/>
                <w:b/>
                <w:sz w:val="20"/>
              </w:rPr>
              <w:t>visual aids at 32.4% (88/272)</w:t>
            </w:r>
            <w:r>
              <w:rPr>
                <w:rFonts w:ascii="Times New Roman" w:hAnsi="Times New Roman" w:eastAsia="바탕"/>
                <w:sz w:val="20"/>
              </w:rPr>
              <w:t xml:space="preserve"> (Santo, K., Richtering, S. S., Chalmers, J., Thiagalingam, A., Chow, C. K. &amp; Redfern, J., "Mobile Phone Apps to Improve Medication Adherence: A Systematic Stepwise Process to Identify High-Quality Apps," </w:t>
            </w:r>
            <w:r>
              <w:rPr>
                <w:rFonts w:ascii="Times New Roman" w:hAnsi="Times New Roman" w:eastAsia="바탕"/>
                <w:i/>
                <w:sz w:val="20"/>
              </w:rPr>
              <w:t>JMIR mHealth and uHealth</w:t>
            </w:r>
            <w:r>
              <w:rPr>
                <w:rFonts w:ascii="Times New Roman" w:hAnsi="Times New Roman" w:eastAsia="바탕"/>
                <w:sz w:val="20"/>
              </w:rPr>
              <w:t>, 4(4):e132, 2016, doi:10.2196/mhealth.6742). Two things go with those figures: it is from 2016 and from Australian app stores, so it cannot be said to describe the category today, and we found no more recent census than this.</w:t>
            </w:r>
          </w:p>
          <w:p>
            <w:pPr>
              <w:spacing w:after="80" w:line="276" w:lineRule="auto"/>
              <w:jc w:val="both"/>
            </w:pPr>
            <w:r>
              <w:rPr>
                <w:rFonts w:ascii="Times New Roman" w:hAnsi="Times New Roman" w:eastAsia="바탕"/>
                <w:sz w:val="20"/>
              </w:rPr>
              <w:t>Even so, what the middle column states is a difference in kind rather than in number of features. A reminder app works only after the user has typed in the medicine name, the dose and the time, which is to assume that a prescription can be read and copied across. The person this document has dealt with since §1.1 does not meet that assumption, and the people added in §1.13 are in conditions where that copying across is itself the burden. And what a reminder app answers is when, one thing, whereas the errors shown in Table 4 of §1.3 cluster into three: what, how much and when.</w:t>
            </w:r>
          </w:p>
          <w:p>
            <w:pPr>
              <w:spacing w:after="80" w:line="276" w:lineRule="auto"/>
              <w:jc w:val="both"/>
            </w:pPr>
            <w:r>
              <w:rPr>
                <w:rFonts w:ascii="Times New Roman" w:hAnsi="Times New Roman" w:eastAsia="바탕"/>
                <w:sz w:val="20"/>
              </w:rPr>
              <w:t>The heaviest row in the table is the fourth, composition. As §1.9 showed, the USP set's licence forbids derivative works, so those 81 symbols cannot be joined to one another. Given that one prescription usually carries several instructions, that is not a small constraint. "Three times a day, with food, for a week" is three instructions, and with a fixed set there is nothing to do but place three pictures side by side. Composing by grammar means the combinations available from the same 78 morphemes are settled by a rule rather than by a list (§2.2).</w:t>
            </w:r>
          </w:p>
          <w:p>
            <w:pPr>
              <w:spacing w:after="80" w:line="276" w:lineRule="auto"/>
              <w:jc w:val="both"/>
            </w:pPr>
            <w:r>
              <w:rPr>
                <w:rFonts w:ascii="Times New Roman" w:hAnsi="Times New Roman" w:eastAsia="바탕"/>
                <w:sz w:val="20"/>
              </w:rPr>
              <w:t>The fourth row is larger than it looks as well. An app that judges from a fixed table applies one threshold, say "warn above 25 g of sugar", to every user. The WHO recommendation is itself written as a proportion of total energy, so that approach is the source rounded once. Derived as in §2.4, the same can of drink is a warning for a seven-year-old and not for an adult. This is a question of what is being measured, not of precision.</w:t>
            </w:r>
          </w:p>
          <w:p>
            <w:pPr>
              <w:spacing w:after="80" w:line="276" w:lineRule="auto"/>
              <w:jc w:val="both"/>
            </w:pPr>
            <w:r>
              <w:rPr>
                <w:rFonts w:ascii="Times New Roman" w:hAnsi="Times New Roman" w:eastAsia="바탕"/>
                <w:sz w:val="20"/>
              </w:rPr>
              <w:t>One row has to be read again against the survey of §5.7. In the fifth row we record not presuming a diagnosis as a differentiator, and yet 9 of the 12 pharmacy respondents answered that a pharmacist should review the instructions this app produces every time. Not asking about a diagnosis and reaching a verdict alone are different things, and what we removed is the first, not the second. What §2.6 claims as a differentiator is what the user is not asked, not that the process completes without a professional.</w:t>
            </w:r>
          </w:p>
          <w:p>
            <w:pPr>
              <w:spacing w:after="80" w:line="276" w:lineRule="auto"/>
              <w:jc w:val="both"/>
            </w:pPr>
            <w:r>
              <w:rPr>
                <w:rFonts w:ascii="Times New Roman" w:hAnsi="Times New Roman" w:eastAsia="바탕"/>
                <w:sz w:val="20"/>
              </w:rPr>
              <w:t>The last two rows are where we consider this work to have put something new. We did not find, within the range we looked over, a procedure that measures pictogram comprehension automatically before release (the same qualification as in §1.11), and §5.2 sets out both the procedure and its results. The remaining rows are design choices rather than distinct contributions, and the grounds for each are given in §2.1 through §2.5.</w:t>
            </w:r>
          </w:p>
          <w:p>
            <w:pPr>
              <w:spacing w:after="80" w:line="276" w:lineRule="auto"/>
              <w:jc w:val="both"/>
            </w:pPr>
            <w:r>
              <w:rPr>
                <w:rFonts w:ascii="Times New Roman" w:hAnsi="Times New Roman" w:eastAsia="바탕"/>
                <w:sz w:val="20"/>
              </w:rPr>
              <w:t>The limits of this comparison are set down too. We treated the general health app as a single type, though there is much variation within it, and we did not survey individual products systematically. The left-hand column is a set of features we observed repeatedly within the range we looked at, not the result of a market study. An answer aimed at that limit came out of the survey, and because it would bring down what this section claims, it is set down in full rather than trimmed. In the "anything you would add that we did not ask" box, the team leader at the GC Medi-AI Uisarang Service Centre (name withheld) wrote five things:</w:t>
            </w:r>
          </w:p>
          <w:p>
            <w:pPr>
              <w:spacing w:after="40" w:line="276" w:lineRule="auto"/>
              <w:ind w:left="403"/>
            </w:pPr>
            <w:r>
              <w:rPr>
                <w:rFonts w:ascii="Times New Roman" w:hAnsi="Times New Roman" w:eastAsia="바탕"/>
                <w:i/>
                <w:color w:val="606068"/>
                <w:sz w:val="19"/>
              </w:rPr>
              <w:t>"1. Korean prescriptions carry a barcode, and only the barcode needs reading, so scanning the whole sheet is inefficient. 2. Apps that read the barcode and can guide people with disabilities already exist. 3. Medication counselling is the duty of the pharmacist, and of the doctor for in-hospital prescribing, and there are already many solutions for it. 4. For a business model aimed at people who cannot read, the market is too small relative to the investment. 5. Electronic prescriptions are already being prepared. Once they are electronic this is useless."</w:t>
            </w:r>
          </w:p>
          <w:p>
            <w:pPr>
              <w:spacing w:after="180" w:line="276" w:lineRule="auto"/>
              <w:ind w:left="403"/>
            </w:pPr>
            <w:r>
              <w:rPr>
                <w:rFonts w:ascii="Times New Roman" w:hAnsi="Times New Roman" w:eastAsia="바탕"/>
                <w:i w:val="0"/>
                <w:color w:val="606068"/>
                <w:sz w:val="19"/>
              </w:rPr>
              <w:t>((name withheld), Team Leader, GC Medi-AI, Uisarang Service Centre)</w:t>
            </w:r>
          </w:p>
          <w:p>
            <w:pPr>
              <w:spacing w:after="80" w:line="276" w:lineRule="auto"/>
              <w:jc w:val="both"/>
            </w:pPr>
            <w:r>
              <w:rPr>
                <w:rFonts w:ascii="Times New Roman" w:hAnsi="Times New Roman" w:eastAsia="바탕"/>
                <w:sz w:val="20"/>
              </w:rPr>
              <w:t>Each of the five is taken in turn. Points 1 and 5 assume Korea, and they are right. If Korean prescriptions carry a barcode and electronic prescriptions are on the way, photographing a sheet and reading its letters will soon be unnecessary in Korea. Those two, however, are Korean conditions. Whether the countries in Table 1 of §1.1 also have prescription barcodes and electronic prescriptions we did not investigate, so we do not assert that they do not. What is clear is that what this response rests on is the domestic system, and where this app is aimed is not where that system stands. The range in which the response is right and the range in which we stand are simply different, and which range is larger this document cannot answer. Points 2 and 3 are things we did not verify: we did not survey individual products systematically, so we may not have seen everything that already exists. Point 4 is not the kind of thing this document can answer. Whether market size is the right basis for deciding what gets built is not a question this proposal takes up, and that the judgement divides at all may itself be why the place §1.4 calls the last step is empty.</w:t>
            </w:r>
          </w:p>
          <w:p>
            <w:pPr>
              <w:spacing w:after="80" w:line="276" w:lineRule="auto"/>
              <w:jc w:val="both"/>
            </w:pPr>
            <w:r>
              <w:rPr>
                <w:rFonts w:ascii="Times New Roman" w:hAnsi="Times New Roman" w:eastAsia="바탕"/>
                <w:sz w:val="20"/>
              </w:rPr>
              <w:t>This response is set down here not because it can be answered. Half of it cannot.</w:t>
            </w:r>
          </w:p>
          <w:p>
            <w:pPr>
              <w:spacing w:before="180" w:after="40"/>
            </w:pPr>
            <w:r>
              <w:rPr>
                <w:rFonts w:ascii="Times New Roman" w:hAnsi="Times New Roman" w:eastAsia="바탕"/>
                <w:b/>
                <w:sz w:val="23"/>
              </w:rPr>
              <w:t>2.7 The three core functions</w:t>
            </w:r>
          </w:p>
          <w:p>
            <w:pPr>
              <w:spacing w:after="80" w:line="276" w:lineRule="auto"/>
              <w:jc w:val="both"/>
            </w:pPr>
            <w:r>
              <w:rPr>
                <w:rFonts w:ascii="Times New Roman" w:hAnsi="Times New Roman" w:eastAsia="바탕"/>
                <w:b/>
                <w:sz w:val="20"/>
              </w:rPr>
              <w:t>Function 1. Prescriptions as picture and speech (Prescription Comprehension)</w:t>
            </w:r>
          </w:p>
          <w:p>
            <w:pPr>
              <w:spacing w:after="80" w:line="276" w:lineRule="auto"/>
              <w:jc w:val="both"/>
            </w:pPr>
            <w:r>
              <w:rPr>
                <w:rFonts w:ascii="Times New Roman" w:hAnsi="Times New Roman" w:eastAsia="바탕"/>
                <w:sz w:val="20"/>
              </w:rPr>
              <w:t>When the user photographs a prescription, OCR (Tesseract.js) extracts the text inside the browser and SIGIL and VOCA process it in parallel. Six pieces of information are extracted from a prescription: which medicine, how many times a day, when, under what conditions, how to store it, and who must not take it.</w:t>
            </w:r>
          </w:p>
          <w:p>
            <w:pPr>
              <w:spacing w:before="160" w:after="60"/>
              <w:jc w:val="center"/>
            </w:pPr>
            <w:r>
              <w:drawing>
                <wp:inline xmlns:a="http://schemas.openxmlformats.org/drawingml/2006/main" xmlns:pic="http://schemas.openxmlformats.org/drawingml/2006/picture">
                  <wp:extent cx="5486400" cy="4389120"/>
                  <wp:docPr id="22" name="Picture 22"/>
                  <wp:cNvGraphicFramePr>
                    <a:graphicFrameLocks noChangeAspect="1"/>
                  </wp:cNvGraphicFramePr>
                  <a:graphic>
                    <a:graphicData uri="http://schemas.openxmlformats.org/drawingml/2006/picture">
                      <pic:pic>
                        <pic:nvPicPr>
                          <pic:cNvPr id="0" name="panelA_flow.png"/>
                          <pic:cNvPicPr/>
                        </pic:nvPicPr>
                        <pic:blipFill>
                          <a:blip r:embed="rId39"/>
                          <a:stretch>
                            <a:fillRect/>
                          </a:stretch>
                        </pic:blipFill>
                        <pic:spPr>
                          <a:xfrm>
                            <a:off x="0" y="0"/>
                            <a:ext cx="5486400" cy="438912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22]</w:t>
            </w:r>
            <w:r>
              <w:rPr>
                <w:rFonts w:ascii="Times New Roman" w:hAnsi="Times New Roman" w:eastAsia="바탕"/>
                <w:color w:val="606068"/>
                <w:sz w:val="18"/>
              </w:rPr>
              <w:t xml:space="preserve"> From capture to verdict. (a) Capture screen. The user does not choose what is being photographed. (b) Recognition in progress. Not hiding this stage is deliberate. A screen that has stopped with no indication reads as a fault. (c) Prescription verdict. From top to bottom: what it is, whether it is safe, what to do, what that means, and when, with the checking step of §3.8 attached at the foot. "How many do you take at a time?" is asked aloud and answered by pointing at a picture; it can be skipped, and the medicine information stays below it. The grey speaker circles that used to sit on every row are absent because §3.5 removed them; what remains is on the header and the pictogram cards, places that are not rows. The previews in (a) and (b) are empty because the browser automating the capture has no camera; on a real device the screen is filled.</w:t>
            </w:r>
          </w:p>
          <w:p>
            <w:pPr>
              <w:spacing w:after="80" w:line="276" w:lineRule="auto"/>
              <w:jc w:val="both"/>
            </w:pPr>
            <w:r>
              <w:rPr>
                <w:rFonts w:ascii="Times New Roman" w:hAnsi="Times New Roman" w:eastAsia="바탕"/>
                <w:b/>
                <w:sz w:val="20"/>
              </w:rPr>
              <w:t>Function 2. Verdicts on food and nutrition labels (Personalized Verdict)</w:t>
            </w:r>
          </w:p>
          <w:p>
            <w:pPr>
              <w:spacing w:after="80" w:line="276" w:lineRule="auto"/>
              <w:jc w:val="both"/>
            </w:pPr>
            <w:r>
              <w:rPr>
                <w:rFonts w:ascii="Times New Roman" w:hAnsi="Times New Roman" w:eastAsia="바탕"/>
                <w:sz w:val="20"/>
              </w:rPr>
              <w:t>When a nutrition label is photographed, OCR reads the figures inside the browser and, if a barcode is present, product information is looked up. When a meal is photographed, a nutrition estimation model on the device (EfficientNet-B0, 224px, trained on Nutrition5k) regresses five values: energy, mass, fat, carbohydrate and protein. The model is exported to ONNX and runs in the browser, and at 16 MB it is cached by the service worker (§4.5). Its measured accuracy is in §5.5.</w:t>
            </w:r>
          </w:p>
          <w:p>
            <w:pPr>
              <w:spacing w:after="80" w:line="276" w:lineRule="auto"/>
              <w:jc w:val="both"/>
            </w:pPr>
            <w:r>
              <w:rPr>
                <w:rFonts w:ascii="Times New Roman" w:hAnsi="Times New Roman" w:eastAsia="바탕"/>
                <w:sz w:val="20"/>
              </w:rPr>
              <w:t>Whichever path a value arrives by, it has to pass the same physical checks before it is used in a verdict: value ranges, subset relations (saturated fat ≤ total fat), mass balance, and the Atwater identity (4·carbohydrate + 4·protein + 9·fat ≈ energy). Why these checks are necessary is set out with actual cases in §5.</w:t>
            </w:r>
          </w:p>
          <w:p>
            <w:pPr>
              <w:spacing w:before="160" w:after="60"/>
              <w:jc w:val="center"/>
            </w:pPr>
            <w:r>
              <w:drawing>
                <wp:inline xmlns:a="http://schemas.openxmlformats.org/drawingml/2006/main" xmlns:pic="http://schemas.openxmlformats.org/drawingml/2006/picture">
                  <wp:extent cx="5344160" cy="4754880"/>
                  <wp:docPr id="23" name="Picture 23"/>
                  <wp:cNvGraphicFramePr>
                    <a:graphicFrameLocks noChangeAspect="1"/>
                  </wp:cNvGraphicFramePr>
                  <a:graphic>
                    <a:graphicData uri="http://schemas.openxmlformats.org/drawingml/2006/picture">
                      <pic:pic>
                        <pic:nvPicPr>
                          <pic:cNvPr id="0" name="panelB_nutrition.png"/>
                          <pic:cNvPicPr/>
                        </pic:nvPicPr>
                        <pic:blipFill>
                          <a:blip r:embed="rId40"/>
                          <a:stretch>
                            <a:fillRect/>
                          </a:stretch>
                        </pic:blipFill>
                        <pic:spPr>
                          <a:xfrm>
                            <a:off x="0" y="0"/>
                            <a:ext cx="5344160"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23]</w:t>
            </w:r>
            <w:r>
              <w:rPr>
                <w:rFonts w:ascii="Times New Roman" w:hAnsi="Times New Roman" w:eastAsia="바탕"/>
                <w:color w:val="606068"/>
                <w:sz w:val="18"/>
              </w:rPr>
              <w:t xml:space="preserve"> After the verdict. (a) Nutrition label verdict. The figures are not transcribed but converted into the share they occupy of this person's daily reference. (b) Today's running total. Not a single verdict but the day's sum. The source attribution at the bottom has never been removed from the screen. (c) Device link. The result of placing the schedule the app produced into the dispenser trays; because of the constraint in §4.3 this button acts as top-level navigation.</w:t>
            </w:r>
          </w:p>
          <w:p>
            <w:pPr>
              <w:spacing w:after="80" w:line="276" w:lineRule="auto"/>
              <w:jc w:val="both"/>
            </w:pPr>
            <w:r>
              <w:rPr>
                <w:rFonts w:ascii="Times New Roman" w:hAnsi="Times New Roman" w:eastAsia="바탕"/>
                <w:b/>
                <w:sz w:val="20"/>
              </w:rPr>
              <w:t>Function 3. Automatic pill dispenser link (Device Link)</w:t>
            </w:r>
          </w:p>
          <w:p>
            <w:pPr>
              <w:spacing w:after="80" w:line="276" w:lineRule="auto"/>
              <w:jc w:val="both"/>
            </w:pPr>
            <w:r>
              <w:rPr>
                <w:rFonts w:ascii="Times New Roman" w:hAnsi="Times New Roman" w:eastAsia="바탕"/>
                <w:sz w:val="20"/>
              </w:rPr>
              <w:t>The dosing schedule produced by the app is sent to the device. The device is based on a Raspberry Pi 3B with three trays, an LED ring, a buzzer, a confirmation button and a real-time clock (DS1302). Three is the number of servos fitted to the machine we built; the firmware reserves pins for eight layers and the paper form accepts eight as well, so plugging a fourth servo into the pin already reserved for it is the whole job, with no configuration to edit.</w:t>
            </w:r>
          </w:p>
          <w:p>
            <w:pPr>
              <w:spacing w:after="80" w:line="276" w:lineRule="auto"/>
              <w:jc w:val="both"/>
            </w:pPr>
            <w:r>
              <w:rPr>
                <w:rFonts w:ascii="Times New Roman" w:hAnsi="Times New Roman" w:eastAsia="바탕"/>
                <w:sz w:val="20"/>
              </w:rPr>
              <w:t xml:space="preserve">The risk that comes with it is written down by the firmware itself, so it is carried across here. An SG90 servo reports nothing, so the machine has no way of knowing whether a hopper is fitted in a given position. Accepting all eight therefore means accepting a schedule that names a tray which does not exist, and that dose is then never dispensed while raising no error at all: no jam, no indication, a machine that looks perfectly healthy. Recording the number actually fitted in </w:t>
            </w:r>
            <w:r>
              <w:rPr>
                <w:rFonts w:ascii="Consolas" w:hAnsi="Consolas" w:eastAsia="Consolas"/>
                <w:sz w:val="19"/>
              </w:rPr>
              <w:t>SNAPCARE_TRAYS</w:t>
            </w:r>
            <w:r>
              <w:rPr>
                <w:rFonts w:ascii="Times New Roman" w:hAnsi="Times New Roman" w:eastAsia="바탕"/>
                <w:sz w:val="20"/>
              </w:rPr>
              <w:t xml:space="preserve"> blocks such a schedule at the point where it is accepted, and the machine this document measures has three.</w:t>
            </w:r>
          </w:p>
          <w:p>
            <w:pPr>
              <w:spacing w:after="80" w:line="276" w:lineRule="auto"/>
              <w:jc w:val="both"/>
            </w:pPr>
            <w:r>
              <w:rPr>
                <w:rFonts w:ascii="Times New Roman" w:hAnsi="Times New Roman" w:eastAsia="바탕"/>
                <w:sz w:val="20"/>
              </w:rPr>
              <w:t>The design of the transmission path is the result of several constraints applying at once. This is detailed in §4.</w:t>
            </w:r>
          </w:p>
          <w:p>
            <w:pPr>
              <w:spacing w:before="160" w:after="60"/>
              <w:jc w:val="center"/>
            </w:pPr>
            <w:r>
              <w:drawing>
                <wp:inline xmlns:a="http://schemas.openxmlformats.org/drawingml/2006/main" xmlns:pic="http://schemas.openxmlformats.org/drawingml/2006/picture">
                  <wp:extent cx="5486400" cy="2852928"/>
                  <wp:docPr id="24" name="Picture 24"/>
                  <wp:cNvGraphicFramePr>
                    <a:graphicFrameLocks noChangeAspect="1"/>
                  </wp:cNvGraphicFramePr>
                  <a:graphic>
                    <a:graphicData uri="http://schemas.openxmlformats.org/drawingml/2006/picture">
                      <pic:pic>
                        <pic:nvPicPr>
                          <pic:cNvPr id="0" name="fig10_dispenser.png"/>
                          <pic:cNvPicPr/>
                        </pic:nvPicPr>
                        <pic:blipFill>
                          <a:blip r:embed="rId41"/>
                          <a:stretch>
                            <a:fillRect/>
                          </a:stretch>
                        </pic:blipFill>
                        <pic:spPr>
                          <a:xfrm>
                            <a:off x="0" y="0"/>
                            <a:ext cx="5486400" cy="2852928"/>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24]</w:t>
            </w:r>
            <w:r>
              <w:rPr>
                <w:rFonts w:ascii="Times New Roman" w:hAnsi="Times New Roman" w:eastAsia="바탕"/>
                <w:color w:val="606068"/>
                <w:sz w:val="18"/>
              </w:rPr>
              <w:t xml:space="preserve"> The dispenser's wiring and the device's own console. On the left is the wiring drawn from the pin map, on the right the same firmware running on a laptop with only the servo driver swapped for a recording stub. The API, the scheduler and the storage are the same code that runs on the device. These two are shown instead of a photograph because what gets decided here is not visible in a photograph. Splitting the power rails in two is an example. One SG90 under load draws about 700 mA, and pulling that from the same rail as the Pi causes a brownout, and the file in use at that instant happens to be the one recording whether this dose has already been dispensed. The two missed doses in the dose log at the lower right matter for the same reason. If a dose that was not dispensed is not recorded as not dispensed, every subsequent dose number is off by one.</w:t>
            </w:r>
          </w:p>
          <w:p>
            <w:pPr>
              <w:spacing w:after="80" w:line="276" w:lineRule="auto"/>
              <w:jc w:val="both"/>
            </w:pPr>
            <w:r>
              <w:rPr>
                <w:rFonts w:ascii="Times New Roman" w:hAnsi="Times New Roman" w:eastAsia="바탕"/>
                <w:sz w:val="20"/>
              </w:rPr>
              <w:t>Who these three are for drew a different answer in the survey. E. A. Draffan, retired speech and language therapist and visiting accessibility researcher at Global Symbols, wrote:</w:t>
            </w:r>
          </w:p>
          <w:p>
            <w:pPr>
              <w:spacing w:after="40" w:line="276" w:lineRule="auto"/>
              <w:ind w:left="403"/>
            </w:pPr>
            <w:r>
              <w:rPr>
                <w:rFonts w:ascii="Times New Roman" w:hAnsi="Times New Roman" w:eastAsia="바탕"/>
                <w:i/>
                <w:color w:val="606068"/>
                <w:sz w:val="19"/>
              </w:rPr>
              <w:t>"I think the idea of this app is good but may suit many people and not just AAC or those with literacy difficulties but it is hard to judge how easy it would be to actually use the app"</w:t>
            </w:r>
          </w:p>
          <w:p>
            <w:pPr>
              <w:spacing w:after="180" w:line="276" w:lineRule="auto"/>
              <w:ind w:left="403"/>
            </w:pPr>
            <w:r>
              <w:rPr>
                <w:rFonts w:ascii="Times New Roman" w:hAnsi="Times New Roman" w:eastAsia="바탕"/>
                <w:i w:val="0"/>
                <w:color w:val="606068"/>
                <w:sz w:val="19"/>
              </w:rPr>
              <w:t>(E. A. Draffan, retired speech and language therapist and visiting accessibility researcher, Global Symbols · University of Southampton)</w:t>
            </w:r>
          </w:p>
          <w:p>
            <w:pPr>
              <w:spacing w:after="80" w:line="276" w:lineRule="auto"/>
              <w:jc w:val="both"/>
            </w:pPr>
            <w:r>
              <w:rPr>
                <w:rFonts w:ascii="Times New Roman" w:hAnsi="Times New Roman" w:eastAsia="바탕"/>
                <w:sz w:val="20"/>
              </w:rPr>
              <w:t>The first half says we scoped the audience narrowly. From §1.1 onward this document has counted non-literate adults, but one photograph producing a picture and a spoken sentence may be of use to people who can read as well. Among the respondents in §5.7 there was in fact one who wrote that even they, in their forties, found the images hard to grasp at once (§5.7.9). Whether the audience should be drawn wider this document does not judge. What it records is that drawing it narrowly narrowed the evidence, not the users.</w:t>
            </w:r>
          </w:p>
          <w:p>
            <w:pPr>
              <w:spacing w:after="80" w:line="276" w:lineRule="auto"/>
              <w:jc w:val="both"/>
            </w:pPr>
            <w:r>
              <w:rPr>
                <w:rFonts w:ascii="Times New Roman" w:hAnsi="Times New Roman" w:eastAsia="바탕"/>
                <w:sz w:val="20"/>
              </w:rPr>
              <w:t>The second half bears more directly on this section. Reading about three functions is no way to judge whether they are easy to use, which is the same thing §5.9 records as the absence of testing with people. This section can set down what was built; whether it is easy to use becomes an answer only when people are asked, in §5.10.</w:t>
            </w:r>
          </w:p>
        </w:tc>
      </w:tr>
    </w:tbl>
    <w:p w14:paraId="0F7F618F" w14:textId="77777777" w:rsidR="00AA5CE3" w:rsidRDefault="00AA5CE3">
      <w:pPr>
        <w:spacing w:after="0"/>
        <w:ind w:left="-1440" w:right="10464"/>
        <w:rPr>
          <w:rFonts w:ascii="Arial" w:eastAsia="Arial" w:hAnsi="Arial" w:cs="Arial"/>
        </w:rPr>
      </w:pPr>
    </w:p>
    <w:tbl>
      <w:tblPr>
        <w:tblStyle w:val="a6"/>
        <w:tblW w:w="9715" w:type="dxa"/>
        <w:tblInd w:w="-365" w:type="dxa"/>
        <w:tblLayout w:type="fixed"/>
        <w:tblLook w:val="0400" w:firstRow="0" w:lastRow="0" w:firstColumn="0" w:lastColumn="0" w:noHBand="0" w:noVBand="1"/>
      </w:tblPr>
      <w:tblGrid>
        <w:gridCol w:w="9715"/>
      </w:tblGrid>
      <w:tr w:rsidR="00AA5CE3" w14:paraId="7BD67589" w14:textId="77777777">
        <w:trPr>
          <w:trHeight w:val="585"/>
        </w:trPr>
        <w:tc>
          <w:tcPr>
            <w:tcW w:w="9715" w:type="dxa"/>
            <w:tcBorders>
              <w:top w:val="single" w:sz="4" w:space="0" w:color="000000"/>
              <w:left w:val="single" w:sz="4" w:space="0" w:color="000000"/>
              <w:bottom w:val="single" w:sz="4" w:space="0" w:color="000000"/>
              <w:right w:val="single" w:sz="4" w:space="0" w:color="000000"/>
            </w:tcBorders>
            <w:shd w:val="clear" w:color="auto" w:fill="F2F2F2"/>
          </w:tcPr>
          <w:p w14:paraId="798BD893" w14:textId="2E8824C2" w:rsidR="00AA5CE3" w:rsidRDefault="00DB0314">
            <w:pPr>
              <w:rPr>
                <w:rFonts w:ascii="Arial" w:eastAsia="Arial" w:hAnsi="Arial" w:cs="Arial"/>
                <w:color w:val="002060"/>
                <w:sz w:val="24"/>
                <w:szCs w:val="24"/>
              </w:rPr>
            </w:pPr>
            <w:r>
              <w:rPr>
                <w:rFonts w:ascii="Arial" w:eastAsia="Arial" w:hAnsi="Arial" w:cs="Arial"/>
                <w:b/>
                <w:bCs/>
                <w:color w:val="002060"/>
                <w:sz w:val="28"/>
                <w:szCs w:val="28"/>
              </w:rPr>
              <w:lastRenderedPageBreak/>
              <w:t xml:space="preserve">□ </w:t>
            </w:r>
            <w:r w:rsidR="00223ACC" w:rsidRPr="00223ACC">
              <w:rPr>
                <w:rFonts w:ascii="Arial" w:eastAsia="Arial" w:hAnsi="Arial" w:cs="Arial"/>
                <w:b/>
                <w:bCs/>
                <w:color w:val="002060"/>
                <w:sz w:val="28"/>
                <w:szCs w:val="28"/>
              </w:rPr>
              <w:t>User Flow of the Web App</w:t>
            </w:r>
          </w:p>
          <w:p w14:paraId="0500695B" w14:textId="376FD01C" w:rsidR="00AA5CE3" w:rsidRDefault="00DD6CEC">
            <w:pPr>
              <w:rPr>
                <w:rFonts w:ascii="Arial" w:eastAsia="Arial" w:hAnsi="Arial" w:cs="Arial"/>
              </w:rPr>
            </w:pPr>
            <w:r w:rsidRPr="00DD6CEC">
              <w:rPr>
                <w:rFonts w:ascii="Arial" w:eastAsia="Arial" w:hAnsi="Arial" w:cs="Arial"/>
              </w:rPr>
              <w:t>Include a simple flowchart or process diagram illustrating the step-by-step user journey through your web application.</w:t>
            </w:r>
          </w:p>
        </w:tc>
      </w:tr>
      <w:tr w:rsidR="00AA5CE3" w14:paraId="4CA59956" w14:textId="77777777">
        <w:trPr>
          <w:trHeight w:val="342"/>
        </w:trPr>
        <w:tc>
          <w:tcPr>
            <w:tcW w:w="9715" w:type="dxa"/>
            <w:tcBorders>
              <w:top w:val="single" w:sz="4" w:space="0" w:color="000000"/>
              <w:left w:val="single" w:sz="4" w:space="0" w:color="000000"/>
              <w:bottom w:val="single" w:sz="4" w:space="0" w:color="000000"/>
              <w:right w:val="single" w:sz="4" w:space="0" w:color="000000"/>
            </w:tcBorders>
          </w:tcPr>
          <w:p w14:paraId="6D6812C9" w14:textId="64B5B4D3" w:rsidR="00AA5CE3" w:rsidRDefault="00DB0314">
            <w:pPr>
              <w:rPr>
                <w:rFonts w:ascii="Arial" w:eastAsia="Arial" w:hAnsi="Arial" w:cs="Arial"/>
              </w:rPr>
            </w:pPr>
            <w:r>
              <w:rPr>
                <w:rFonts w:ascii="Arial" w:eastAsia="Arial" w:hAnsi="Arial" w:cs="Arial"/>
                <w:b/>
                <w:bCs/>
              </w:rPr>
              <w:t>Content with Images (</w:t>
            </w:r>
            <w:r w:rsidR="00931699">
              <w:rPr>
                <w:rFonts w:ascii="Arial" w:hAnsi="Arial" w:cs="Arial" w:hint="eastAsia"/>
                <w:b/>
                <w:bCs/>
              </w:rPr>
              <w:t>User Flow image</w:t>
            </w:r>
            <w:r>
              <w:rPr>
                <w:rFonts w:ascii="Arial" w:eastAsia="Arial" w:hAnsi="Arial" w:cs="Arial"/>
                <w:b/>
                <w:bCs/>
              </w:rPr>
              <w:t>)</w:t>
            </w:r>
          </w:p>
        </w:tc>
      </w:tr>
      <w:tr w:rsidR="00223ACC" w14:paraId="1AAD109F" w14:textId="77777777" w:rsidTr="00A13D48">
        <w:trPr>
          <w:trHeight w:val="3136"/>
        </w:trPr>
        <w:tc>
          <w:tcPr>
            <w:tcW w:w="9715" w:type="dxa"/>
            <w:tcBorders>
              <w:top w:val="single" w:sz="4" w:space="0" w:color="000000"/>
              <w:left w:val="single" w:sz="4" w:space="0" w:color="000000"/>
              <w:bottom w:val="single" w:sz="4" w:space="0" w:color="000000"/>
              <w:right w:val="single" w:sz="4" w:space="0" w:color="000000"/>
            </w:tcBorders>
          </w:tcPr>
          <w:p w14:paraId="5E0FAEAD" w14:textId="77777777" w:rsidR="00223ACC" w:rsidRDefault="00223ACC">
            <w:pPr>
              <w:spacing w:before="180" w:after="40"/>
              <w:rPr>
                <w:rFonts w:ascii="Arial" w:eastAsia="Arial" w:hAnsi="Arial" w:cs="Arial"/>
              </w:rPr>
            </w:pPr>
            <w:r>
              <w:rPr>
                <w:rFonts w:ascii="Times New Roman" w:hAnsi="Times New Roman" w:eastAsia="바탕"/>
                <w:b/>
                <w:sz w:val="23"/>
              </w:rPr>
              <w:t>3.1 The overall flow</w:t>
            </w:r>
          </w:p>
          <w:p>
            <w:pPr>
              <w:spacing w:after="80" w:line="276" w:lineRule="auto"/>
              <w:jc w:val="both"/>
            </w:pPr>
            <w:r>
              <w:rPr>
                <w:rFonts w:ascii="Times New Roman" w:hAnsi="Times New Roman" w:eastAsia="바탕"/>
                <w:sz w:val="20"/>
              </w:rPr>
              <w:t xml:space="preserve">SnapCare's user flow is built on the principle of running from a single photograph to a verdict without branching. As cited in the previous section, a deep hierarchy takes non-literate users 65.5 seconds on average against 25 seconds for a flat list (Medhi, I., Toyama, K., Joshi, A., Athavankar, U. &amp; Cutrell, E., "A Comparison of List vs. Hierarchical UIs on Mobile Phones for Non-literate Users," </w:t>
            </w:r>
            <w:r>
              <w:rPr>
                <w:rFonts w:ascii="Times New Roman" w:hAnsi="Times New Roman" w:eastAsia="바탕"/>
                <w:i/>
                <w:sz w:val="20"/>
              </w:rPr>
              <w:t>INTERACT 2013</w:t>
            </w:r>
            <w:r>
              <w:rPr>
                <w:rFonts w:ascii="Times New Roman" w:hAnsi="Times New Roman" w:eastAsia="바탕"/>
                <w:sz w:val="20"/>
              </w:rPr>
              <w:t>, LNCS 8118:497–504). Choices on the path to a verdict were therefore minimised.</w:t>
            </w:r>
          </w:p>
          <w:p>
            <w:pPr>
              <w:spacing w:before="160" w:after="60"/>
              <w:jc w:val="center"/>
            </w:pPr>
            <w:r>
              <w:drawing>
                <wp:inline xmlns:a="http://schemas.openxmlformats.org/drawingml/2006/main" xmlns:pic="http://schemas.openxmlformats.org/drawingml/2006/picture">
                  <wp:extent cx="5486400" cy="3200400"/>
                  <wp:docPr id="25" name="Picture 25"/>
                  <wp:cNvGraphicFramePr>
                    <a:graphicFrameLocks noChangeAspect="1"/>
                  </wp:cNvGraphicFramePr>
                  <a:graphic>
                    <a:graphicData uri="http://schemas.openxmlformats.org/drawingml/2006/picture">
                      <pic:pic>
                        <pic:nvPicPr>
                          <pic:cNvPr id="0" name="fig11_userflow.png"/>
                          <pic:cNvPicPr/>
                        </pic:nvPicPr>
                        <pic:blipFill>
                          <a:blip r:embed="rId42"/>
                          <a:stretch>
                            <a:fillRect/>
                          </a:stretch>
                        </pic:blipFill>
                        <pic:spPr>
                          <a:xfrm>
                            <a:off x="0" y="0"/>
                            <a:ext cx="5486400" cy="320040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25]</w:t>
            </w:r>
            <w:r>
              <w:rPr>
                <w:rFonts w:ascii="Times New Roman" w:hAnsi="Times New Roman" w:eastAsia="바탕"/>
                <w:color w:val="606068"/>
                <w:sz w:val="18"/>
              </w:rPr>
              <w:t xml:space="preserve"> The overall user flow. Beneath each step is the reason that step is shaped as it is. What to look for in the diagram is that there is no point anywhere requiring reading.</w:t>
            </w:r>
          </w:p>
          <w:p>
            <w:pPr>
              <w:spacing w:after="80" w:line="276" w:lineRule="auto"/>
              <w:jc w:val="both"/>
            </w:pPr>
            <w:r>
              <w:rPr>
                <w:rFonts w:ascii="Times New Roman" w:hAnsi="Times New Roman" w:eastAsia="바탕"/>
                <w:sz w:val="20"/>
              </w:rPr>
              <w:t>The whole flow is the following five steps.</w:t>
            </w:r>
          </w:p>
          <w:p>
            <w:pPr>
              <w:spacing w:after="80" w:line="276" w:lineRule="auto"/>
              <w:jc w:val="both"/>
            </w:pPr>
            <w:r>
              <w:rPr>
                <w:rFonts w:ascii="Times New Roman" w:hAnsi="Times New Roman" w:eastAsia="바탕"/>
                <w:sz w:val="20"/>
              </w:rPr>
              <w:t>[Table 14] The steps of the user flow and what each requires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Step</w:t>
                  </w:r>
                </w:p>
              </w:tc>
              <w:tc>
                <w:tcPr>
                  <w:tcW w:type="dxa" w:w="2429"/>
                  <w:shd w:val="clear" w:fill="F2F2F2"/>
                </w:tcPr>
                <w:p>
                  <w:r>
                    <w:rPr>
                      <w:rFonts w:ascii="Times New Roman" w:hAnsi="Times New Roman" w:eastAsia="바탕"/>
                      <w:b/>
                      <w:sz w:val="18"/>
                    </w:rPr>
                    <w:t>Screen</w:t>
                  </w:r>
                </w:p>
              </w:tc>
              <w:tc>
                <w:tcPr>
                  <w:tcW w:type="dxa" w:w="2429"/>
                  <w:shd w:val="clear" w:fill="F2F2F2"/>
                </w:tcPr>
                <w:p>
                  <w:r>
                    <w:rPr>
                      <w:rFonts w:ascii="Times New Roman" w:hAnsi="Times New Roman" w:eastAsia="바탕"/>
                      <w:b/>
                      <w:sz w:val="18"/>
                    </w:rPr>
                    <w:t>What the user does</w:t>
                  </w:r>
                </w:p>
              </w:tc>
              <w:tc>
                <w:tcPr>
                  <w:tcW w:type="dxa" w:w="2429"/>
                  <w:shd w:val="clear" w:fill="F2F2F2"/>
                </w:tcPr>
                <w:p>
                  <w:r>
                    <w:rPr>
                      <w:rFonts w:ascii="Times New Roman" w:hAnsi="Times New Roman" w:eastAsia="바탕"/>
                      <w:b/>
                      <w:sz w:val="18"/>
                    </w:rPr>
                    <w:t>Text to read</w:t>
                  </w:r>
                </w:p>
              </w:tc>
            </w:tr>
            <w:tr>
              <w:tc>
                <w:tcPr>
                  <w:tcW w:type="dxa" w:w="2429"/>
                </w:tcPr>
                <w:p>
                  <w:r>
                    <w:rPr>
                      <w:rFonts w:ascii="Times New Roman" w:hAnsi="Times New Roman" w:eastAsia="바탕"/>
                      <w:sz w:val="18"/>
                    </w:rPr>
                    <w:t>1</w:t>
                  </w:r>
                </w:p>
              </w:tc>
              <w:tc>
                <w:tcPr>
                  <w:tcW w:type="dxa" w:w="2429"/>
                </w:tcPr>
                <w:p>
                  <w:r>
                    <w:rPr>
                      <w:rFonts w:ascii="Times New Roman" w:hAnsi="Times New Roman" w:eastAsia="바탕"/>
                      <w:sz w:val="18"/>
                    </w:rPr>
                    <w:t>Choosing text size and setting a picture key</w:t>
                  </w:r>
                </w:p>
              </w:tc>
              <w:tc>
                <w:tcPr>
                  <w:tcW w:type="dxa" w:w="2429"/>
                </w:tcPr>
                <w:p>
                  <w:r>
                    <w:rPr>
                      <w:rFonts w:ascii="Times New Roman" w:hAnsi="Times New Roman" w:eastAsia="바탕"/>
                      <w:sz w:val="18"/>
                    </w:rPr>
                    <w:t>Press the line you can read, tap four pictures in order</w:t>
                  </w:r>
                </w:p>
              </w:tc>
              <w:tc>
                <w:tcPr>
                  <w:tcW w:type="dxa" w:w="2429"/>
                </w:tcPr>
                <w:p>
                  <w:r>
                    <w:rPr>
                      <w:rFonts w:ascii="Times New Roman" w:hAnsi="Times New Roman" w:eastAsia="바탕"/>
                      <w:sz w:val="18"/>
                    </w:rPr>
                    <w:t>None (picture + speech)</w:t>
                  </w:r>
                </w:p>
              </w:tc>
            </w:tr>
            <w:tr>
              <w:tc>
                <w:tcPr>
                  <w:tcW w:type="dxa" w:w="2429"/>
                </w:tcPr>
                <w:p>
                  <w:r>
                    <w:rPr>
                      <w:rFonts w:ascii="Times New Roman" w:hAnsi="Times New Roman" w:eastAsia="바탕"/>
                      <w:sz w:val="18"/>
                    </w:rPr>
                    <w:t>2</w:t>
                  </w:r>
                </w:p>
              </w:tc>
              <w:tc>
                <w:tcPr>
                  <w:tcW w:type="dxa" w:w="2429"/>
                </w:tcPr>
                <w:p>
                  <w:r>
                    <w:rPr>
                      <w:rFonts w:ascii="Times New Roman" w:hAnsi="Times New Roman" w:eastAsia="바탕"/>
                      <w:sz w:val="18"/>
                    </w:rPr>
                    <w:t>Profile setup</w:t>
                  </w:r>
                </w:p>
              </w:tc>
              <w:tc>
                <w:tcPr>
                  <w:tcW w:type="dxa" w:w="2429"/>
                </w:tcPr>
                <w:p>
                  <w:r>
                    <w:rPr>
                      <w:rFonts w:ascii="Times New Roman" w:hAnsi="Times New Roman" w:eastAsia="바탕"/>
                      <w:sz w:val="18"/>
                    </w:rPr>
                    <w:t>Choose age and conditions</w:t>
                  </w:r>
                </w:p>
              </w:tc>
              <w:tc>
                <w:tcPr>
                  <w:tcW w:type="dxa" w:w="2429"/>
                </w:tcPr>
                <w:p>
                  <w:r>
                    <w:rPr>
                      <w:rFonts w:ascii="Times New Roman" w:hAnsi="Times New Roman" w:eastAsia="바탕"/>
                      <w:sz w:val="18"/>
                    </w:rPr>
                    <w:t>None (picture selection)</w:t>
                  </w:r>
                </w:p>
              </w:tc>
            </w:tr>
            <w:tr>
              <w:tc>
                <w:tcPr>
                  <w:tcW w:type="dxa" w:w="2429"/>
                </w:tcPr>
                <w:p>
                  <w:r>
                    <w:rPr>
                      <w:rFonts w:ascii="Times New Roman" w:hAnsi="Times New Roman" w:eastAsia="바탕"/>
                      <w:sz w:val="18"/>
                    </w:rPr>
                    <w:t>3</w:t>
                  </w:r>
                </w:p>
              </w:tc>
              <w:tc>
                <w:tcPr>
                  <w:tcW w:type="dxa" w:w="2429"/>
                </w:tcPr>
                <w:p>
                  <w:r>
                    <w:rPr>
                      <w:rFonts w:ascii="Times New Roman" w:hAnsi="Times New Roman" w:eastAsia="바탕"/>
                      <w:sz w:val="18"/>
                    </w:rPr>
                    <w:t>Home</w:t>
                  </w:r>
                </w:p>
              </w:tc>
              <w:tc>
                <w:tcPr>
                  <w:tcW w:type="dxa" w:w="2429"/>
                </w:tcPr>
                <w:p>
                  <w:r>
                    <w:rPr>
                      <w:rFonts w:ascii="Times New Roman" w:hAnsi="Times New Roman" w:eastAsia="바탕"/>
                      <w:sz w:val="18"/>
                    </w:rPr>
                    <w:t>Press the capture button</w:t>
                  </w:r>
                </w:p>
              </w:tc>
              <w:tc>
                <w:tcPr>
                  <w:tcW w:type="dxa" w:w="2429"/>
                </w:tcPr>
                <w:p>
                  <w:r>
                    <w:rPr>
                      <w:rFonts w:ascii="Times New Roman" w:hAnsi="Times New Roman" w:eastAsia="바탕"/>
                      <w:sz w:val="18"/>
                    </w:rPr>
                    <w:t>None</w:t>
                  </w:r>
                </w:p>
              </w:tc>
            </w:tr>
            <w:tr>
              <w:tc>
                <w:tcPr>
                  <w:tcW w:type="dxa" w:w="2429"/>
                </w:tcPr>
                <w:p>
                  <w:r>
                    <w:rPr>
                      <w:rFonts w:ascii="Times New Roman" w:hAnsi="Times New Roman" w:eastAsia="바탕"/>
                      <w:sz w:val="18"/>
                    </w:rPr>
                    <w:t>4</w:t>
                  </w:r>
                </w:p>
              </w:tc>
              <w:tc>
                <w:tcPr>
                  <w:tcW w:type="dxa" w:w="2429"/>
                </w:tcPr>
                <w:p>
                  <w:r>
                    <w:rPr>
                      <w:rFonts w:ascii="Times New Roman" w:hAnsi="Times New Roman" w:eastAsia="바탕"/>
                      <w:sz w:val="18"/>
                    </w:rPr>
                    <w:t>Capture</w:t>
                  </w:r>
                </w:p>
              </w:tc>
              <w:tc>
                <w:tcPr>
                  <w:tcW w:type="dxa" w:w="2429"/>
                </w:tcPr>
                <w:p>
                  <w:r>
                    <w:rPr>
                      <w:rFonts w:ascii="Times New Roman" w:hAnsi="Times New Roman" w:eastAsia="바탕"/>
                      <w:sz w:val="18"/>
                    </w:rPr>
                    <w:t>Point and shoot</w:t>
                  </w:r>
                </w:p>
              </w:tc>
              <w:tc>
                <w:tcPr>
                  <w:tcW w:type="dxa" w:w="2429"/>
                </w:tcPr>
                <w:p>
                  <w:r>
                    <w:rPr>
                      <w:rFonts w:ascii="Times New Roman" w:hAnsi="Times New Roman" w:eastAsia="바탕"/>
                      <w:sz w:val="18"/>
                    </w:rPr>
                    <w:t>None</w:t>
                  </w:r>
                </w:p>
              </w:tc>
            </w:tr>
            <w:tr>
              <w:tc>
                <w:tcPr>
                  <w:tcW w:type="dxa" w:w="2429"/>
                </w:tcPr>
                <w:p>
                  <w:r>
                    <w:rPr>
                      <w:rFonts w:ascii="Times New Roman" w:hAnsi="Times New Roman" w:eastAsia="바탕"/>
                      <w:sz w:val="18"/>
                    </w:rPr>
                    <w:t>5</w:t>
                  </w:r>
                </w:p>
              </w:tc>
              <w:tc>
                <w:tcPr>
                  <w:tcW w:type="dxa" w:w="2429"/>
                </w:tcPr>
                <w:p>
                  <w:r>
                    <w:rPr>
                      <w:rFonts w:ascii="Times New Roman" w:hAnsi="Times New Roman" w:eastAsia="바탕"/>
                      <w:sz w:val="18"/>
                    </w:rPr>
                    <w:t>Verdict</w:t>
                  </w:r>
                </w:p>
              </w:tc>
              <w:tc>
                <w:tcPr>
                  <w:tcW w:type="dxa" w:w="2429"/>
                </w:tcPr>
                <w:p>
                  <w:r>
                    <w:rPr>
                      <w:rFonts w:ascii="Times New Roman" w:hAnsi="Times New Roman" w:eastAsia="바탕"/>
                      <w:sz w:val="18"/>
                    </w:rPr>
                    <w:t>Look and listen</w:t>
                  </w:r>
                </w:p>
              </w:tc>
              <w:tc>
                <w:tcPr>
                  <w:tcW w:type="dxa" w:w="2429"/>
                </w:tcPr>
                <w:p>
                  <w:r>
                    <w:rPr>
                      <w:rFonts w:ascii="Times New Roman" w:hAnsi="Times New Roman" w:eastAsia="바탕"/>
                      <w:sz w:val="18"/>
                    </w:rPr>
                    <w:t>None</w:t>
                  </w:r>
                </w:p>
              </w:tc>
            </w:tr>
          </w:tbl>
          <w:p/>
          <w:p>
            <w:pPr>
              <w:spacing w:after="120"/>
            </w:pPr>
          </w:p>
          <w:p>
            <w:pPr>
              <w:spacing w:after="80" w:line="276" w:lineRule="auto"/>
              <w:jc w:val="both"/>
            </w:pPr>
            <w:r>
              <w:rPr>
                <w:rFonts w:ascii="Times New Roman" w:hAnsi="Times New Roman" w:eastAsia="바탕"/>
                <w:sz w:val="20"/>
              </w:rPr>
              <w:t>The last column of Table 14 is the point of this design. At no step is the user required to read or type.</w:t>
            </w:r>
          </w:p>
          <w:p>
            <w:pPr>
              <w:spacing w:after="80" w:line="276" w:lineRule="auto"/>
              <w:jc w:val="both"/>
            </w:pPr>
            <w:r>
              <w:rPr>
                <w:rFonts w:ascii="Times New Roman" w:hAnsi="Times New Roman" w:eastAsia="바탕"/>
                <w:sz w:val="20"/>
              </w:rPr>
              <w:t>There is one more thing absent from the table. There is no step for going back. If the photograph was wrong, take another; if the verdict is unwelcome, close it. Intermediate steps such as cancel, edit and confirm were left out because each of them requires reading "what is being asked right now." Of the five steps, 1 and 2 are passed through only once, so from the second use the real path is three steps: press on the home screen, shoot, look.</w:t>
            </w:r>
          </w:p>
          <w:p>
            <w:pPr>
              <w:spacing w:after="80" w:line="276" w:lineRule="auto"/>
              <w:jc w:val="both"/>
            </w:pPr>
            <w:r>
              <w:rPr>
                <w:rFonts w:ascii="Times New Roman" w:hAnsi="Times New Roman" w:eastAsia="바탕"/>
                <w:sz w:val="20"/>
              </w:rPr>
              <w:t>One thing should be noted, though. The shortness of this flow is a constraint as much as a result of the design. Removing choices also removed what the user can tell the app. Because the user does not choose what they photographed, there is nothing on screen to correct a misclassification, and taking another photograph is the only recourse. This is recorded as an unverified item in §5.9.</w:t>
            </w:r>
          </w:p>
          <w:p>
            <w:pPr>
              <w:spacing w:before="180" w:after="40"/>
            </w:pPr>
            <w:r>
              <w:rPr>
                <w:rFonts w:ascii="Times New Roman" w:hAnsi="Times New Roman" w:eastAsia="바탕"/>
                <w:b/>
                <w:sz w:val="23"/>
              </w:rPr>
              <w:t>3.2 First run and profile setup</w:t>
            </w:r>
          </w:p>
          <w:p>
            <w:pPr>
              <w:spacing w:after="80" w:line="276" w:lineRule="auto"/>
              <w:jc w:val="both"/>
            </w:pPr>
            <w:r>
              <w:rPr>
                <w:rFonts w:ascii="Times New Roman" w:hAnsi="Times New Roman" w:eastAsia="바탕"/>
                <w:sz w:val="20"/>
              </w:rPr>
              <w:t>Opening the app for the first time asks two things and then goes straight to a screen that does something. It asks for a text size and it sets a picture key. The text size is settled by one action, "tap the smallest line you can read". Rather than reading the names of sizes and choosing among them, the user answers by tapping what is in fact legible, which is the structure of an eye chart.</w:t>
            </w:r>
          </w:p>
          <w:p>
            <w:pPr>
              <w:spacing w:after="80" w:line="276" w:lineRule="auto"/>
              <w:jc w:val="both"/>
            </w:pPr>
            <w:r>
              <w:rPr>
                <w:rFonts w:ascii="Times New Roman" w:hAnsi="Times New Roman" w:eastAsia="바탕"/>
                <w:sz w:val="20"/>
              </w:rPr>
              <w:t>Five guide cards used to stand between those two steps, and they were removed. Four of the five are already said by the screens themselves. The camera is the largest circle in the middle of the home screen; the verdict colour is shown as colour by the verdict screen; that it is judged for you is said by the person satellite and its badge; and reminders are offered on the spot when a prescription is photographed. To explain again what has been built so as to need no explanation is to say one does not believe in the building. And for the users of this app five slides are a wall to climb before starting, when those five slides were the first screen of an app that says it demands no reading.</w:t>
            </w:r>
          </w:p>
          <w:p>
            <w:pPr>
              <w:spacing w:after="80" w:line="276" w:lineRule="auto"/>
              <w:jc w:val="both"/>
            </w:pPr>
            <w:r>
              <w:rPr>
                <w:rFonts w:ascii="Times New Roman" w:hAnsi="Times New Roman" w:eastAsia="바탕"/>
                <w:sz w:val="20"/>
              </w:rPr>
              <w:t>The remaining one could not be removed. The gesture of pressing and holding text to hear it (§3.5) appears nowhere on screen. The read-aloud button in the bottom bar reads the whole screen, so sound itself is not blocked, but hearing one line again is only possible through that gesture, and wanting to hear one medicine name or one dose time again is exactly that case. So instead of removing it, it was moved to where it is used. It appears once on first arrival at the verdict screen and does not appear again. That is the first place the gesture is actually useful, and what has been learned can be tried on that same screen.</w:t>
            </w:r>
          </w:p>
          <w:p>
            <w:pPr>
              <w:spacing w:after="80" w:line="276" w:lineRule="auto"/>
              <w:jc w:val="both"/>
            </w:pPr>
            <w:r>
              <w:rPr>
                <w:rFonts w:ascii="Times New Roman" w:hAnsi="Times New Roman" w:eastAsia="바탕"/>
                <w:sz w:val="20"/>
              </w:rPr>
              <w:t>Measuring these two screens with the accessibility sweep of §4.4 caught one thing. The text-size screen has no point that reaches sound at all: no read-aloud button, no marker for sweeping to hear, no element wired to speech. What is on the screen is the sentence "tap the smallest line you can read" and five lines of that same sentence at different sizes. On the first screen this app offers to someone opening it for the first time, a person who cannot read has no route to sound.</w:t>
            </w:r>
          </w:p>
          <w:p>
            <w:pPr>
              <w:spacing w:after="80" w:line="276" w:lineRule="auto"/>
              <w:jc w:val="both"/>
            </w:pPr>
            <w:r>
              <w:rPr>
                <w:rFonts w:ascii="Times New Roman" w:hAnsi="Times New Roman" w:eastAsia="바탕"/>
                <w:sz w:val="20"/>
              </w:rPr>
              <w:t>Both why this is recorded as a defect and why the order was kept belong here. The principle of §2.1 is that reading is not required on the path to a judgement, and the instruction on this screen has to be read. The task on this screen, though, is shaped so that it can be answered without reading the instruction. The same sentence stands in five sizes with a pointing finger on the one currently chosen, so there is not much interpretation available other than pressing one of the pressable things. And no choice is a wrong answer: the size chosen can be changed in Settings at any time.</w:t>
            </w:r>
          </w:p>
          <w:p>
            <w:pPr>
              <w:spacing w:after="80" w:line="276" w:lineRule="auto"/>
              <w:jc w:val="both"/>
            </w:pPr>
            <w:r>
              <w:rPr>
                <w:rFonts w:ascii="Times New Roman" w:hAnsi="Times New Roman" w:eastAsia="바탕"/>
                <w:sz w:val="20"/>
              </w:rPr>
              <w:t>Even so, this is a place where we fall short of the standard we set ourselves. What Myojeong Choi, Researcher at the Korea Disabled People's Development Institute, raised in §5.7 was that without spoken guidance at the early steps the later procedure can be blocked, and removing the five guide cards emptied the place in front. Attaching read-aloud to this screen is not difficult and belongs to stage 4 of §5.10.</w:t>
            </w:r>
          </w:p>
          <w:p>
            <w:pPr>
              <w:spacing w:after="80" w:line="276" w:lineRule="auto"/>
              <w:jc w:val="both"/>
            </w:pPr>
            <w:r>
              <w:rPr>
                <w:rFonts w:ascii="Times New Roman" w:hAnsi="Times New Roman" w:eastAsia="바탕"/>
                <w:sz w:val="20"/>
              </w:rPr>
              <w:t>Age and conditions are set on the person screen. That step is needed because of the verdict method described in §2.4. Since thresholds are derived from the user's energy requirement, no verdict is possible without knowing the age band.</w:t>
            </w:r>
          </w:p>
          <w:p>
            <w:pPr>
              <w:spacing w:after="80" w:line="276" w:lineRule="auto"/>
              <w:jc w:val="both"/>
            </w:pPr>
            <w:r>
              <w:rPr>
                <w:rFonts w:ascii="Times New Roman" w:hAnsi="Times New Roman" w:eastAsia="바탕"/>
                <w:sz w:val="20"/>
              </w:rPr>
              <w:t>Age is not entered as a number. Four bands (child, teenager, adult, older adult) are chosen through our own morphemes (</w:t>
            </w:r>
            <w:r>
              <w:rPr>
                <w:rFonts w:ascii="Consolas" w:hAnsi="Consolas" w:eastAsia="Consolas"/>
                <w:sz w:val="19"/>
              </w:rPr>
              <w:t>state_child</w:t>
            </w:r>
            <w:r>
              <w:rPr>
                <w:rFonts w:ascii="Times New Roman" w:hAnsi="Times New Roman" w:eastAsia="바탕"/>
                <w:sz w:val="20"/>
              </w:rPr>
              <w:t xml:space="preserve">, </w:t>
            </w:r>
            <w:r>
              <w:rPr>
                <w:rFonts w:ascii="Consolas" w:hAnsi="Consolas" w:eastAsia="Consolas"/>
                <w:sz w:val="19"/>
              </w:rPr>
              <w:t>state_teen</w:t>
            </w:r>
            <w:r>
              <w:rPr>
                <w:rFonts w:ascii="Times New Roman" w:hAnsi="Times New Roman" w:eastAsia="바탕"/>
                <w:sz w:val="20"/>
              </w:rPr>
              <w:t xml:space="preserve">, </w:t>
            </w:r>
            <w:r>
              <w:rPr>
                <w:rFonts w:ascii="Consolas" w:hAnsi="Consolas" w:eastAsia="Consolas"/>
                <w:sz w:val="19"/>
              </w:rPr>
              <w:t>state_adult</w:t>
            </w:r>
            <w:r>
              <w:rPr>
                <w:rFonts w:ascii="Times New Roman" w:hAnsi="Times New Roman" w:eastAsia="바탕"/>
                <w:sz w:val="20"/>
              </w:rPr>
              <w:t xml:space="preserve">, </w:t>
            </w:r>
            <w:r>
              <w:rPr>
                <w:rFonts w:ascii="Consolas" w:hAnsi="Consolas" w:eastAsia="Consolas"/>
                <w:sz w:val="19"/>
              </w:rPr>
              <w:t>state_elderly</w:t>
            </w:r>
            <w:r>
              <w:rPr>
                <w:rFonts w:ascii="Times New Roman" w:hAnsi="Times New Roman" w:eastAsia="바탕"/>
                <w:sz w:val="20"/>
              </w:rPr>
              <w:t>). There is a reason emoji were not used. Emoji are drawn differently on every device, and the emoji that might stand for a teenager (🧑‍🎓) actually means "graduate," which means nothing at all to a child who does not attend school. The four morphemes are drawn as one family, so placed side by side the difference in age is visible as form. Conditions are likewise offered as picture cards along the three branches of §2.5 (what you know now, what you have experienced, what you have been told).</w:t>
            </w:r>
          </w:p>
          <w:p>
            <w:pPr>
              <w:spacing w:after="80" w:line="276" w:lineRule="auto"/>
              <w:jc w:val="both"/>
            </w:pPr>
            <w:r>
              <w:rPr>
                <w:rFonts w:ascii="Times New Roman" w:hAnsi="Times New Roman" w:eastAsia="바탕"/>
                <w:sz w:val="20"/>
              </w:rPr>
              <w:t>Originally this screen asked the user to choose a face first. It was a step of picking one of eight person pictures, and after testing it was removed from the first run. A face is only a marker with no bearing on the verdict (it indicates who someone is), yet it was the first thing demanded on screen, which made the first demand met by a new user a choice with no value attached. That in turn makes the questions after it, age and conditions, read with the same weight, and those two do carry weight. The face was moved to the settings screen.</w:t>
            </w:r>
          </w:p>
          <w:p>
            <w:pPr>
              <w:spacing w:after="80" w:line="276" w:lineRule="auto"/>
              <w:jc w:val="both"/>
            </w:pPr>
            <w:r>
              <w:rPr>
                <w:rFonts w:ascii="Times New Roman" w:hAnsi="Times New Roman" w:eastAsia="바탕"/>
                <w:sz w:val="20"/>
              </w:rPr>
              <w:t>The step can be skipped, but if it is, the home screen keeps displaying "showing adult thresholds." This is to prevent a default from being applied silently. The reason for this indicator connects directly to the claim in §2.4 that the verdict differs per person. A verdict produced without knowing the age still appears in the same greens and reds on screen, and if the screen does not say whom the verdict was computed for, the user reads it as an answer computed for them.</w:t>
            </w:r>
          </w:p>
          <w:p>
            <w:pPr>
              <w:spacing w:after="80" w:line="276" w:lineRule="auto"/>
              <w:jc w:val="both"/>
            </w:pPr>
            <w:r>
              <w:rPr>
                <w:rFonts w:ascii="Times New Roman" w:hAnsi="Times New Roman" w:eastAsia="바탕"/>
                <w:sz w:val="20"/>
              </w:rPr>
              <w:t>The lock is a picture key rather than a text password. Four pictograms chosen in advance from twelve are pressed in order. The number of combinations is comparable to a four-digit PIN while what has to be remembered is pictures rather than digits, so users who cannot handle letters and numbers can use it. Only a hash of the sequence is stored (§4.6).</w:t>
            </w:r>
          </w:p>
          <w:p>
            <w:pPr>
              <w:spacing w:after="80" w:line="276" w:lineRule="auto"/>
              <w:jc w:val="both"/>
            </w:pPr>
            <w:r>
              <w:rPr>
                <w:rFonts w:ascii="Times New Roman" w:hAnsi="Times New Roman" w:eastAsia="바탕"/>
                <w:sz w:val="20"/>
              </w:rPr>
              <w:t>The list of household members sits on this same lock screen (§3.6). It has the same structure as an operating system lock screen, and because choosing a face and unlocking finish on one screen there is no need to build a separate way back after choosing wrongly. Someone using the phone alone never sees the list. Asking a single person to choose is asking them to make a choice that does not exist.</w:t>
            </w:r>
          </w:p>
          <w:p>
            <w:pPr>
              <w:spacing w:before="160" w:after="60"/>
              <w:jc w:val="center"/>
            </w:pPr>
            <w:r>
              <w:drawing>
                <wp:inline xmlns:a="http://schemas.openxmlformats.org/drawingml/2006/main" xmlns:pic="http://schemas.openxmlformats.org/drawingml/2006/picture">
                  <wp:extent cx="3962400" cy="4754880"/>
                  <wp:docPr id="26" name="Picture 26"/>
                  <wp:cNvGraphicFramePr>
                    <a:graphicFrameLocks noChangeAspect="1"/>
                  </wp:cNvGraphicFramePr>
                  <a:graphic>
                    <a:graphicData uri="http://schemas.openxmlformats.org/drawingml/2006/picture">
                      <pic:pic>
                        <pic:nvPicPr>
                          <pic:cNvPr id="0" name="panelC_onboarding.png"/>
                          <pic:cNvPicPr/>
                        </pic:nvPicPr>
                        <pic:blipFill>
                          <a:blip r:embed="rId43"/>
                          <a:stretch>
                            <a:fillRect/>
                          </a:stretch>
                        </pic:blipFill>
                        <pic:spPr>
                          <a:xfrm>
                            <a:off x="0" y="0"/>
                            <a:ext cx="3962400"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26]</w:t>
            </w:r>
            <w:r>
              <w:rPr>
                <w:rFonts w:ascii="Times New Roman" w:hAnsi="Times New Roman" w:eastAsia="바탕"/>
                <w:color w:val="606068"/>
                <w:sz w:val="18"/>
              </w:rPr>
              <w:t xml:space="preserve"> First run. (a) Text size. Rather than reading the name of a size, the user taps the line that is legible. (b) Picture key. Four of twelve pictures are tapped in order. (c) Profile setup. The age band is chosen through our morphemes and conditions through picture cards, with no input field on either. This step is needed because of the verdict method in §2.4. Since thresholds are derived from the user's energy requirement, no verdict is possible without knowing the age band.</w:t>
            </w:r>
          </w:p>
          <w:p>
            <w:pPr>
              <w:spacing w:after="80" w:line="276" w:lineRule="auto"/>
              <w:jc w:val="both"/>
            </w:pPr>
            <w:r>
              <w:rPr>
                <w:rFonts w:ascii="Times New Roman" w:hAnsi="Times New Roman" w:eastAsia="바탕"/>
                <w:sz w:val="20"/>
              </w:rPr>
              <w:t>Two answers in §5.7 split exactly on this screen. Asked where a first run gets stuck, one of the two HCI respondents chose granting camera permission and the other chose that it does not get stuck. Myojung Choi, researcher at the Korea Disabled People's Development Institute, set down the reason for the first.</w:t>
            </w:r>
          </w:p>
          <w:p>
            <w:pPr>
              <w:spacing w:after="40" w:line="276" w:lineRule="auto"/>
              <w:ind w:left="403"/>
            </w:pPr>
            <w:r>
              <w:rPr>
                <w:rFonts w:ascii="Times New Roman" w:hAnsi="Times New Roman" w:eastAsia="바탕"/>
                <w:i/>
                <w:color w:val="606068"/>
                <w:sz w:val="19"/>
              </w:rPr>
              <w:t>"A user who has difficulty reading may struggle with the subsequent steps if spoken guidance is not provided at the initial permission stage, and their actions may be constrained as a result."</w:t>
            </w:r>
          </w:p>
          <w:p>
            <w:pPr>
              <w:spacing w:after="180" w:line="276" w:lineRule="auto"/>
              <w:ind w:left="403"/>
            </w:pPr>
            <w:r>
              <w:rPr>
                <w:rFonts w:ascii="Times New Roman" w:hAnsi="Times New Roman" w:eastAsia="바탕"/>
                <w:i w:val="0"/>
                <w:color w:val="606068"/>
                <w:sz w:val="19"/>
              </w:rPr>
              <w:t>(Myojung Choi, researcher, Korea Disabled People's Development Institute)</w:t>
            </w:r>
          </w:p>
          <w:p>
            <w:pPr>
              <w:spacing w:after="80" w:line="276" w:lineRule="auto"/>
              <w:jc w:val="both"/>
            </w:pPr>
            <w:r>
              <w:rPr>
                <w:rFonts w:ascii="Times New Roman" w:hAnsi="Times New Roman" w:eastAsia="바탕"/>
                <w:sz w:val="20"/>
              </w:rPr>
              <w:t>The permission dialogue is drawn by the browser, so we cannot put speech inside it. It should be stated that our answer to this point has grown weaker since. When this response arrived, five guide cards stood in front of the dialogue and we took them as the answer, and for the reasons set out above those five cards were removed. What remains is that the camera screen falls back to choosing an already-taken photograph when permission is not granted, and that is a provision for after the blockage rather than guidance before it. It also remains true that from the moment the dialogue appears it is no longer our screen. It belongs to the unverified items in §5.9.</w:t>
            </w:r>
          </w:p>
          <w:p>
            <w:pPr>
              <w:spacing w:after="80" w:line="276" w:lineRule="auto"/>
              <w:jc w:val="both"/>
            </w:pPr>
            <w:r>
              <w:rPr>
                <w:rFonts w:ascii="Times New Roman" w:hAnsi="Times New Roman" w:eastAsia="바탕"/>
                <w:sz w:val="20"/>
              </w:rPr>
              <w:t>Yonghan Lee, Senior Manager at the Korea Craft and Design Foundation, looked at it the other way. Someone who seeks this app out already knows roughly how it works, and if so a procedure of this length is perfectly possible with pictures and speech alongside. The two responses do not contradict each other. The first is about someone opening it for the first time, the second about someone who came looking. How this app reaches whom has not been settled, so both are possible conditions.</w:t>
            </w:r>
          </w:p>
          <w:p>
            <w:pPr>
              <w:spacing w:before="180" w:after="40"/>
            </w:pPr>
            <w:r>
              <w:rPr>
                <w:rFonts w:ascii="Times New Roman" w:hAnsi="Times New Roman" w:eastAsia="바탕"/>
                <w:b/>
                <w:sz w:val="23"/>
              </w:rPr>
              <w:t>3.3 From capture to verdict</w:t>
            </w:r>
          </w:p>
          <w:p>
            <w:pPr>
              <w:spacing w:before="120" w:after="20"/>
            </w:pPr>
            <w:r>
              <w:rPr>
                <w:rFonts w:ascii="Times New Roman" w:hAnsi="Times New Roman" w:eastAsia="바탕"/>
                <w:b/>
                <w:sz w:val="21"/>
              </w:rPr>
              <w:t>3.3.1 Getting to the shutter</w:t>
            </w:r>
          </w:p>
          <w:p>
            <w:pPr>
              <w:spacing w:after="80" w:line="276" w:lineRule="auto"/>
              <w:jc w:val="both"/>
            </w:pPr>
            <w:r>
              <w:rPr>
                <w:rFonts w:ascii="Times New Roman" w:hAnsi="Times New Roman" w:eastAsia="바탕"/>
                <w:sz w:val="20"/>
              </w:rPr>
              <w:t>Pressing the blue circle on the home screen moves to the capture screen. At the very top is one line, "Point at something," and the screen reads that sentence aloud the moment it arrives. You do not have to press anything to find out what to do.</w:t>
            </w:r>
          </w:p>
          <w:p>
            <w:pPr>
              <w:spacing w:after="80" w:line="276" w:lineRule="auto"/>
              <w:jc w:val="both"/>
            </w:pPr>
            <w:r>
              <w:rPr>
                <w:rFonts w:ascii="Times New Roman" w:hAnsi="Times New Roman" w:eastAsia="바탕"/>
                <w:sz w:val="20"/>
              </w:rPr>
              <w:t>In the middle is a preview area, and below it a single 64-pixel white circle. That circle is the shutter. It is the only pressable thing on the screen, and there is no step for choosing what is being photographed. Prescription mode, label mode and food mode were not created because that choice would itself reintroduce the cost of hierarchy cited in §1.10. The user is already holding whatever they are photographing, so there is no reason to make them tell the app a second time.</w:t>
            </w:r>
          </w:p>
          <w:p>
            <w:pPr>
              <w:spacing w:after="80" w:line="276" w:lineRule="auto"/>
              <w:jc w:val="both"/>
            </w:pPr>
            <w:r>
              <w:rPr>
                <w:rFonts w:ascii="Times New Roman" w:hAnsi="Times New Roman" w:eastAsia="바탕"/>
                <w:sz w:val="20"/>
              </w:rPr>
              <w:t>Pressing the shutter opens the device's own camera, and the photograph comes straight back to the app. No separate capture screen was built inside the app because the device camera already handles focus, exposure and stabilisation, and reimplementing that could only make it worse.</w:t>
            </w:r>
          </w:p>
          <w:p>
            <w:pPr>
              <w:spacing w:before="120" w:after="20"/>
            </w:pPr>
            <w:r>
              <w:rPr>
                <w:rFonts w:ascii="Times New Roman" w:hAnsi="Times New Roman" w:eastAsia="바탕"/>
                <w:b/>
                <w:sz w:val="21"/>
              </w:rPr>
              <w:t>3.3.2 The order in which what was photographed is decided</w:t>
            </w:r>
          </w:p>
          <w:p>
            <w:pPr>
              <w:spacing w:after="80" w:line="276" w:lineRule="auto"/>
              <w:jc w:val="both"/>
            </w:pPr>
            <w:r>
              <w:rPr>
                <w:rFonts w:ascii="Times New Roman" w:hAnsi="Times New Roman" w:eastAsia="바탕"/>
                <w:sz w:val="20"/>
              </w:rPr>
              <w:t>The returned photograph is classified into one of four categories: food, drink, medicine or prescription. This determination is not made at once but split across two layers.</w:t>
            </w:r>
          </w:p>
          <w:p>
            <w:pPr>
              <w:spacing w:after="80" w:line="276" w:lineRule="auto"/>
              <w:jc w:val="both"/>
            </w:pPr>
            <w:r>
              <w:rPr>
                <w:rFonts w:ascii="Times New Roman" w:hAnsi="Times New Roman" w:eastAsia="바탕"/>
                <w:sz w:val="20"/>
              </w:rPr>
              <w:t xml:space="preserve">The first layer runs on the device. Text is read from the photograph first (Tesseract.js, running inside the browser), and the text is examined for markers. If markers such as </w:t>
            </w:r>
            <w:r>
              <w:rPr>
                <w:rFonts w:ascii="Consolas" w:hAnsi="Consolas" w:eastAsia="Consolas"/>
                <w:sz w:val="19"/>
              </w:rPr>
              <w:t>nutrition</w:t>
            </w:r>
            <w:r>
              <w:rPr>
                <w:rFonts w:ascii="Times New Roman" w:hAnsi="Times New Roman" w:eastAsia="바탕"/>
                <w:sz w:val="20"/>
              </w:rPr>
              <w:t xml:space="preserve">, </w:t>
            </w:r>
            <w:r>
              <w:rPr>
                <w:rFonts w:ascii="Consolas" w:hAnsi="Consolas" w:eastAsia="Consolas"/>
                <w:sz w:val="19"/>
              </w:rPr>
              <w:t>per 100</w:t>
            </w:r>
            <w:r>
              <w:rPr>
                <w:rFonts w:ascii="Times New Roman" w:hAnsi="Times New Roman" w:eastAsia="바탕"/>
                <w:sz w:val="20"/>
              </w:rPr>
              <w:t xml:space="preserve">, </w:t>
            </w:r>
            <w:r>
              <w:rPr>
                <w:rFonts w:ascii="Consolas" w:hAnsi="Consolas" w:eastAsia="Consolas"/>
                <w:sz w:val="19"/>
              </w:rPr>
              <w:t>영양성분</w:t>
            </w:r>
            <w:r>
              <w:rPr>
                <w:rFonts w:ascii="Times New Roman" w:hAnsi="Times New Roman" w:eastAsia="바탕"/>
                <w:sz w:val="20"/>
              </w:rPr>
              <w:t xml:space="preserve"> (nutrition facts) or </w:t>
            </w:r>
            <w:r>
              <w:rPr>
                <w:rFonts w:ascii="Consolas" w:hAnsi="Consolas" w:eastAsia="Consolas"/>
                <w:sz w:val="19"/>
              </w:rPr>
              <w:t>1회 제공량</w:t>
            </w:r>
            <w:r>
              <w:rPr>
                <w:rFonts w:ascii="Times New Roman" w:hAnsi="Times New Roman" w:eastAsia="바탕"/>
                <w:sz w:val="20"/>
              </w:rPr>
              <w:t xml:space="preserve"> (serving size) are present together with two or more nutrient names, it is treated as a nutrition label. If two or more of dose notations such as </w:t>
            </w:r>
            <w:r>
              <w:rPr>
                <w:rFonts w:ascii="Consolas" w:hAnsi="Consolas" w:eastAsia="Consolas"/>
                <w:sz w:val="19"/>
              </w:rPr>
              <w:t>500 mg</w:t>
            </w:r>
            <w:r>
              <w:rPr>
                <w:rFonts w:ascii="Times New Roman" w:hAnsi="Times New Roman" w:eastAsia="바탕"/>
                <w:sz w:val="20"/>
              </w:rPr>
              <w:t xml:space="preserve">, dosage forms such as </w:t>
            </w:r>
            <w:r>
              <w:rPr>
                <w:rFonts w:ascii="Consolas" w:hAnsi="Consolas" w:eastAsia="Consolas"/>
                <w:sz w:val="19"/>
              </w:rPr>
              <w:t>tablet</w:t>
            </w:r>
            <w:r>
              <w:rPr>
                <w:rFonts w:ascii="Times New Roman" w:hAnsi="Times New Roman" w:eastAsia="바탕"/>
                <w:sz w:val="20"/>
              </w:rPr>
              <w:t xml:space="preserve"> or </w:t>
            </w:r>
            <w:r>
              <w:rPr>
                <w:rFonts w:ascii="Consolas" w:hAnsi="Consolas" w:eastAsia="Consolas"/>
                <w:sz w:val="19"/>
              </w:rPr>
              <w:t>capsule</w:t>
            </w:r>
            <w:r>
              <w:rPr>
                <w:rFonts w:ascii="Times New Roman" w:hAnsi="Times New Roman" w:eastAsia="바탕"/>
                <w:sz w:val="20"/>
              </w:rPr>
              <w:t xml:space="preserve">, and dosing instructions such as </w:t>
            </w:r>
            <w:r>
              <w:rPr>
                <w:rFonts w:ascii="Consolas" w:hAnsi="Consolas" w:eastAsia="Consolas"/>
                <w:sz w:val="19"/>
              </w:rPr>
              <w:t>twice daily</w:t>
            </w:r>
            <w:r>
              <w:rPr>
                <w:rFonts w:ascii="Times New Roman" w:hAnsi="Times New Roman" w:eastAsia="바탕"/>
                <w:sz w:val="20"/>
              </w:rPr>
              <w:t xml:space="preserve"> or </w:t>
            </w:r>
            <w:r>
              <w:rPr>
                <w:rFonts w:ascii="Consolas" w:hAnsi="Consolas" w:eastAsia="Consolas"/>
                <w:sz w:val="19"/>
              </w:rPr>
              <w:t>after meals</w:t>
            </w:r>
            <w:r>
              <w:rPr>
                <w:rFonts w:ascii="Times New Roman" w:hAnsi="Times New Roman" w:eastAsia="바탕"/>
                <w:sz w:val="20"/>
              </w:rPr>
              <w:t xml:space="preserve"> appear, it is treated as a prescription. Once it settles into one of the two, the dedicated parser runs on the spot and no server is called.</w:t>
            </w:r>
          </w:p>
          <w:p>
            <w:pPr>
              <w:spacing w:after="80" w:line="276" w:lineRule="auto"/>
              <w:jc w:val="both"/>
            </w:pPr>
            <w:r>
              <w:rPr>
                <w:rFonts w:ascii="Times New Roman" w:hAnsi="Times New Roman" w:eastAsia="바탕"/>
                <w:sz w:val="20"/>
              </w:rPr>
              <w:t>The second layer is invoked only when the first has failed. If the text read from the photograph is shorter than four characters (which is usually the case for food photographs) or the markers match neither pattern, the photograph is sent to the vision model on the server.</w:t>
            </w:r>
          </w:p>
          <w:p>
            <w:pPr>
              <w:spacing w:before="160" w:after="60"/>
              <w:jc w:val="center"/>
            </w:pPr>
            <w:r>
              <w:drawing>
                <wp:inline xmlns:a="http://schemas.openxmlformats.org/drawingml/2006/main" xmlns:pic="http://schemas.openxmlformats.org/drawingml/2006/picture">
                  <wp:extent cx="5486400" cy="2743200"/>
                  <wp:docPr id="27" name="Picture 27"/>
                  <wp:cNvGraphicFramePr>
                    <a:graphicFrameLocks noChangeAspect="1"/>
                  </wp:cNvGraphicFramePr>
                  <a:graphic>
                    <a:graphicData uri="http://schemas.openxmlformats.org/drawingml/2006/picture">
                      <pic:pic>
                        <pic:nvPicPr>
                          <pic:cNvPr id="0" name="fig19_recognition.png"/>
                          <pic:cNvPicPr/>
                        </pic:nvPicPr>
                        <pic:blipFill>
                          <a:blip r:embed="rId44"/>
                          <a:stretch>
                            <a:fillRect/>
                          </a:stretch>
                        </pic:blipFill>
                        <pic:spPr>
                          <a:xfrm>
                            <a:off x="0" y="0"/>
                            <a:ext cx="5486400" cy="274320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27]</w:t>
            </w:r>
            <w:r>
              <w:rPr>
                <w:rFonts w:ascii="Times New Roman" w:hAnsi="Times New Roman" w:eastAsia="바탕"/>
                <w:color w:val="606068"/>
                <w:sz w:val="18"/>
              </w:rPr>
              <w:t xml:space="preserve"> The two layers that decide what was photographed. Falling to the left calls no server; only falling to the right needs a connection. This split is what makes the offline operation of §4.5 possible.</w:t>
            </w:r>
          </w:p>
          <w:p>
            <w:pPr>
              <w:spacing w:after="80" w:line="276" w:lineRule="auto"/>
              <w:jc w:val="both"/>
            </w:pPr>
            <w:r>
              <w:rPr>
                <w:rFonts w:ascii="Times New Roman" w:hAnsi="Times New Roman" w:eastAsia="바탕"/>
                <w:sz w:val="20"/>
              </w:rPr>
              <w:t>There is a reason for this order. Finishing anything with text on the device and sending out only what needs a connection means prescriptions and nutrition labels are read without an internet connection. These two are the most urgent things in this app (§4.5).</w:t>
            </w:r>
          </w:p>
          <w:p>
            <w:pPr>
              <w:spacing w:before="120" w:after="20"/>
            </w:pPr>
            <w:r>
              <w:rPr>
                <w:rFonts w:ascii="Times New Roman" w:hAnsi="Times New Roman" w:eastAsia="바탕"/>
                <w:b/>
                <w:sz w:val="21"/>
              </w:rPr>
              <w:t>3.3.3 What is shown while waiting</w:t>
            </w:r>
          </w:p>
          <w:p>
            <w:pPr>
              <w:spacing w:after="80" w:line="276" w:lineRule="auto"/>
              <w:jc w:val="both"/>
            </w:pPr>
            <w:r>
              <w:rPr>
                <w:rFonts w:ascii="Times New Roman" w:hAnsi="Times New Roman" w:eastAsia="바탕"/>
                <w:sz w:val="20"/>
              </w:rPr>
              <w:t>While recognition runs, the preview area displays what is happening in text, and the same sentence goes out as speech. The four sentences actually displayed are as follows.</w:t>
            </w:r>
          </w:p>
          <w:p>
            <w:pPr>
              <w:spacing w:after="80" w:line="276" w:lineRule="auto"/>
              <w:jc w:val="both"/>
            </w:pPr>
            <w:r>
              <w:rPr>
                <w:rFonts w:ascii="Times New Roman" w:hAnsi="Times New Roman" w:eastAsia="바탕"/>
                <w:sz w:val="20"/>
              </w:rPr>
              <w:t>[Table 15] The stages shown during recognition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Display</w:t>
                  </w:r>
                </w:p>
              </w:tc>
              <w:tc>
                <w:tcPr>
                  <w:tcW w:type="dxa" w:w="3238"/>
                  <w:shd w:val="clear" w:fill="F2F2F2"/>
                </w:tcPr>
                <w:p>
                  <w:r>
                    <w:rPr>
                      <w:rFonts w:ascii="Times New Roman" w:hAnsi="Times New Roman" w:eastAsia="바탕"/>
                      <w:b/>
                      <w:sz w:val="18"/>
                    </w:rPr>
                    <w:t>When it appears</w:t>
                  </w:r>
                </w:p>
              </w:tc>
              <w:tc>
                <w:tcPr>
                  <w:tcW w:type="dxa" w:w="3238"/>
                  <w:shd w:val="clear" w:fill="F2F2F2"/>
                </w:tcPr>
                <w:p>
                  <w:r>
                    <w:rPr>
                      <w:rFonts w:ascii="Times New Roman" w:hAnsi="Times New Roman" w:eastAsia="바탕"/>
                      <w:b/>
                      <w:sz w:val="18"/>
                    </w:rPr>
                    <w:t>Duration</w:t>
                  </w:r>
                </w:p>
              </w:tc>
            </w:tr>
            <w:tr>
              <w:tc>
                <w:tcPr>
                  <w:tcW w:type="dxa" w:w="3238"/>
                </w:tcPr>
                <w:p>
                  <w:r>
                    <w:rPr>
                      <w:rFonts w:ascii="Consolas" w:hAnsi="Consolas" w:eastAsia="Consolas"/>
                      <w:sz w:val="17"/>
                    </w:rPr>
                    <w:t>Reading text… 43%</w:t>
                  </w:r>
                </w:p>
              </w:tc>
              <w:tc>
                <w:tcPr>
                  <w:tcW w:type="dxa" w:w="3238"/>
                </w:tcPr>
                <w:p>
                  <w:r>
                    <w:rPr>
                      <w:rFonts w:ascii="Times New Roman" w:hAnsi="Times New Roman" w:eastAsia="바탕"/>
                      <w:sz w:val="18"/>
                    </w:rPr>
                    <w:t>While text is read on the device, the percentage rising in real time</w:t>
                  </w:r>
                </w:p>
              </w:tc>
              <w:tc>
                <w:tcPr>
                  <w:tcW w:type="dxa" w:w="3238"/>
                </w:tcPr>
                <w:p>
                  <w:r>
                    <w:rPr>
                      <w:rFonts w:ascii="Times New Roman" w:hAnsi="Times New Roman" w:eastAsia="바탕"/>
                      <w:sz w:val="18"/>
                    </w:rPr>
                    <w:t>Usually 2–6 s</w:t>
                  </w:r>
                </w:p>
              </w:tc>
            </w:tr>
            <w:tr>
              <w:tc>
                <w:tcPr>
                  <w:tcW w:type="dxa" w:w="3238"/>
                </w:tcPr>
                <w:p>
                  <w:r>
                    <w:rPr>
                      <w:rFonts w:ascii="Consolas" w:hAnsi="Consolas" w:eastAsia="Consolas"/>
                      <w:sz w:val="17"/>
                    </w:rPr>
                    <w:t>Checking the label…</w:t>
                  </w:r>
                </w:p>
              </w:tc>
              <w:tc>
                <w:tcPr>
                  <w:tcW w:type="dxa" w:w="3238"/>
                </w:tcPr>
                <w:p>
                  <w:r>
                    <w:rPr>
                      <w:rFonts w:ascii="Times New Roman" w:hAnsi="Times New Roman" w:eastAsia="바탕"/>
                      <w:sz w:val="18"/>
                    </w:rPr>
                    <w:t>Read as a label but the values failed the checks, so the server is being asked again</w:t>
                  </w:r>
                </w:p>
              </w:tc>
              <w:tc>
                <w:tcPr>
                  <w:tcW w:type="dxa" w:w="3238"/>
                </w:tcPr>
                <w:p>
                  <w:r>
                    <w:rPr>
                      <w:rFonts w:ascii="Times New Roman" w:hAnsi="Times New Roman" w:eastAsia="바탕"/>
                      <w:sz w:val="18"/>
                    </w:rPr>
                    <w:t>1–3 s</w:t>
                  </w:r>
                </w:p>
              </w:tc>
            </w:tr>
            <w:tr>
              <w:tc>
                <w:tcPr>
                  <w:tcW w:type="dxa" w:w="3238"/>
                </w:tcPr>
                <w:p>
                  <w:r>
                    <w:rPr>
                      <w:rFonts w:ascii="Consolas" w:hAnsi="Consolas" w:eastAsia="Consolas"/>
                      <w:sz w:val="17"/>
                    </w:rPr>
                    <w:t>Estimating…</w:t>
                  </w:r>
                </w:p>
              </w:tc>
              <w:tc>
                <w:tcPr>
                  <w:tcW w:type="dxa" w:w="3238"/>
                </w:tcPr>
                <w:p>
                  <w:r>
                    <w:rPr>
                      <w:rFonts w:ascii="Times New Roman" w:hAnsi="Times New Roman" w:eastAsia="바탕"/>
                      <w:sz w:val="18"/>
                    </w:rPr>
                    <w:t>The on-device nutrition model is running and server classification is awaited</w:t>
                  </w:r>
                </w:p>
              </w:tc>
              <w:tc>
                <w:tcPr>
                  <w:tcW w:type="dxa" w:w="3238"/>
                </w:tcPr>
                <w:p>
                  <w:r>
                    <w:rPr>
                      <w:rFonts w:ascii="Times New Roman" w:hAnsi="Times New Roman" w:eastAsia="바탕"/>
                      <w:sz w:val="18"/>
                    </w:rPr>
                    <w:t>2–5 s</w:t>
                  </w:r>
                </w:p>
              </w:tc>
            </w:tr>
            <w:tr>
              <w:tc>
                <w:tcPr>
                  <w:tcW w:type="dxa" w:w="3238"/>
                </w:tcPr>
                <w:p>
                  <w:r>
                    <w:rPr>
                      <w:rFonts w:ascii="Consolas" w:hAnsi="Consolas" w:eastAsia="Consolas"/>
                      <w:sz w:val="17"/>
                    </w:rPr>
                    <w:t>Loading sample…</w:t>
                  </w:r>
                </w:p>
              </w:tc>
              <w:tc>
                <w:tcPr>
                  <w:tcW w:type="dxa" w:w="3238"/>
                </w:tcPr>
                <w:p>
                  <w:r>
                    <w:rPr>
                      <w:rFonts w:ascii="Times New Roman" w:hAnsi="Times New Roman" w:eastAsia="바탕"/>
                      <w:sz w:val="18"/>
                    </w:rPr>
                    <w:t>A sample image was chosen</w:t>
                  </w:r>
                </w:p>
              </w:tc>
              <w:tc>
                <w:tcPr>
                  <w:tcW w:type="dxa" w:w="3238"/>
                </w:tcPr>
                <w:p>
                  <w:r>
                    <w:rPr>
                      <w:rFonts w:ascii="Times New Roman" w:hAnsi="Times New Roman" w:eastAsia="바탕"/>
                      <w:sz w:val="18"/>
                    </w:rPr>
                    <w:t>Under 1 s</w:t>
                  </w:r>
                </w:p>
              </w:tc>
            </w:tr>
          </w:tbl>
          <w:p/>
          <w:p>
            <w:pPr>
              <w:spacing w:after="120"/>
            </w:pPr>
          </w:p>
          <w:p>
            <w:pPr>
              <w:spacing w:after="80" w:line="276" w:lineRule="auto"/>
              <w:jc w:val="both"/>
            </w:pPr>
            <w:r>
              <w:rPr>
                <w:rFonts w:ascii="Times New Roman" w:hAnsi="Times New Roman" w:eastAsia="바탕"/>
                <w:sz w:val="20"/>
              </w:rPr>
              <w:t xml:space="preserve">Showing the percentage rather than hiding it is deliberate. One of the barriers identified in research on low-literate users is intimidation (Medhi, I., Cutrell, E. &amp; Toyama, K., "It's not just illiteracy," </w:t>
            </w:r>
            <w:r>
              <w:rPr>
                <w:rFonts w:ascii="Times New Roman" w:hAnsi="Times New Roman" w:eastAsia="바탕"/>
                <w:i/>
                <w:sz w:val="20"/>
              </w:rPr>
              <w:t>Proc. International Conference on Interaction Design &amp; International Development</w:t>
            </w:r>
            <w:r>
              <w:rPr>
                <w:rFonts w:ascii="Times New Roman" w:hAnsi="Times New Roman" w:eastAsia="바탕"/>
                <w:sz w:val="20"/>
              </w:rPr>
              <w:t>, 2010), and a screen that has stopped with no indication reads as a fault. Simply watching the number climb conveys "it is running," and that is conveyed without reading. For the same reason the shutter and every button below it are locked against presses while recognition runs. Pressing twice must not run it twice.</w:t>
            </w:r>
          </w:p>
          <w:p>
            <w:pPr>
              <w:spacing w:before="120" w:after="20"/>
            </w:pPr>
            <w:r>
              <w:rPr>
                <w:rFonts w:ascii="Times New Roman" w:hAnsi="Times New Roman" w:eastAsia="바탕"/>
                <w:b/>
                <w:sz w:val="21"/>
              </w:rPr>
              <w:t>3.3.4 The vertical order of the verdict screen</w:t>
            </w:r>
          </w:p>
          <w:p>
            <w:pPr>
              <w:spacing w:after="80" w:line="276" w:lineRule="auto"/>
              <w:jc w:val="both"/>
            </w:pPr>
            <w:r>
              <w:rPr>
                <w:rFonts w:ascii="Times New Roman" w:hAnsi="Times New Roman" w:eastAsia="바탕"/>
                <w:sz w:val="20"/>
              </w:rPr>
              <w:t>The verdict screen splits into two versions depending on what was photographed. The criterion for the ordering is the same: scanning top to bottom without reading, what is needed has to come first.</w:t>
            </w:r>
          </w:p>
          <w:p>
            <w:pPr>
              <w:spacing w:after="80" w:line="276" w:lineRule="auto"/>
              <w:jc w:val="both"/>
            </w:pPr>
            <w:r>
              <w:rPr>
                <w:rFonts w:ascii="Times New Roman" w:hAnsi="Times New Roman" w:eastAsia="바탕"/>
                <w:sz w:val="20"/>
              </w:rPr>
              <w:t>[Table 16] Composition of the verdict screen (food and drink / prescription and medicine)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Order</w:t>
                  </w:r>
                </w:p>
              </w:tc>
              <w:tc>
                <w:tcPr>
                  <w:tcW w:type="dxa" w:w="3238"/>
                  <w:shd w:val="clear" w:fill="F2F2F2"/>
                </w:tcPr>
                <w:p>
                  <w:r>
                    <w:rPr>
                      <w:rFonts w:ascii="Times New Roman" w:hAnsi="Times New Roman" w:eastAsia="바탕"/>
                      <w:b/>
                      <w:sz w:val="18"/>
                    </w:rPr>
                    <w:t>Food and drink</w:t>
                  </w:r>
                </w:p>
              </w:tc>
              <w:tc>
                <w:tcPr>
                  <w:tcW w:type="dxa" w:w="3238"/>
                  <w:shd w:val="clear" w:fill="F2F2F2"/>
                </w:tcPr>
                <w:p>
                  <w:r>
                    <w:rPr>
                      <w:rFonts w:ascii="Times New Roman" w:hAnsi="Times New Roman" w:eastAsia="바탕"/>
                      <w:b/>
                      <w:sz w:val="18"/>
                    </w:rPr>
                    <w:t>Prescription and medicine</w:t>
                  </w:r>
                </w:p>
              </w:tc>
            </w:tr>
            <w:tr>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112px round picture with verdict sentence</w:t>
                  </w:r>
                </w:p>
              </w:tc>
              <w:tc>
                <w:tcPr>
                  <w:tcW w:type="dxa" w:w="3238"/>
                </w:tcPr>
                <w:p>
                  <w:r>
                    <w:rPr>
                      <w:rFonts w:ascii="Times New Roman" w:hAnsi="Times New Roman" w:eastAsia="바탕"/>
                      <w:sz w:val="18"/>
                    </w:rPr>
                    <w:t>96px round picture</w:t>
                  </w:r>
                </w:p>
              </w:tc>
            </w:tr>
            <w:tr>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Summary bar carrying colour and symbol</w:t>
                  </w:r>
                </w:p>
              </w:tc>
              <w:tc>
                <w:tcPr>
                  <w:tcW w:type="dxa" w:w="3238"/>
                </w:tcPr>
                <w:p>
                  <w:r>
                    <w:rPr>
                      <w:rFonts w:ascii="Times New Roman" w:hAnsi="Times New Roman" w:eastAsia="바탕"/>
                      <w:sz w:val="18"/>
                    </w:rPr>
                    <w:t>Drug name and dose per administration</w:t>
                  </w:r>
                </w:p>
              </w:tc>
            </w:tr>
            <w:tr>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Pictogram sequence</w:t>
                  </w:r>
                </w:p>
              </w:tc>
              <w:tc>
                <w:tcPr>
                  <w:tcW w:type="dxa" w:w="3238"/>
                </w:tcPr>
                <w:p>
                  <w:r>
                    <w:rPr>
                      <w:rFonts w:ascii="Times New Roman" w:hAnsi="Times New Roman" w:eastAsia="바탕"/>
                      <w:sz w:val="18"/>
                    </w:rPr>
                    <w:t>Safety bar carrying colour and symbol</w:t>
                  </w:r>
                </w:p>
              </w:tc>
            </w:tr>
            <w:tr>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Nutrient bars (up to 3)</w:t>
                  </w:r>
                </w:p>
              </w:tc>
              <w:tc>
                <w:tcPr>
                  <w:tcW w:type="dxa" w:w="3238"/>
                </w:tcPr>
                <w:p>
                  <w:r>
                    <w:rPr>
                      <w:rFonts w:ascii="Times New Roman" w:hAnsi="Times New Roman" w:eastAsia="바탕"/>
                      <w:sz w:val="18"/>
                    </w:rPr>
                    <w:t>Pictogram sequence</w:t>
                  </w:r>
                </w:p>
              </w:tc>
            </w:tr>
            <w:tr>
              <w:tc>
                <w:tcPr>
                  <w:tcW w:type="dxa" w:w="3238"/>
                </w:tcPr>
                <w:p>
                  <w:r>
                    <w:rPr>
                      <w:rFonts w:ascii="Times New Roman" w:hAnsi="Times New Roman" w:eastAsia="바탕"/>
                      <w:sz w:val="18"/>
                    </w:rPr>
                    <w:t>5</w:t>
                  </w:r>
                </w:p>
              </w:tc>
              <w:tc>
                <w:tcPr>
                  <w:tcW w:type="dxa" w:w="3238"/>
                </w:tcPr>
                <w:p>
                  <w:r>
                    <w:rPr>
                      <w:rFonts w:ascii="Times New Roman" w:hAnsi="Times New Roman" w:eastAsia="바탕"/>
                      <w:sz w:val="18"/>
                    </w:rPr>
                    <w:t>Alternative suggestion card</w:t>
                  </w:r>
                </w:p>
              </w:tc>
              <w:tc>
                <w:tcPr>
                  <w:tcW w:type="dxa" w:w="3238"/>
                </w:tcPr>
                <w:p>
                  <w:r>
                    <w:rPr>
                      <w:rFonts w:ascii="Times New Roman" w:hAnsi="Times New Roman" w:eastAsia="바탕"/>
                      <w:sz w:val="18"/>
                    </w:rPr>
                    <w:t>Dose card and storage card</w:t>
                  </w:r>
                </w:p>
              </w:tc>
            </w:tr>
            <w:tr>
              <w:tc>
                <w:tcPr>
                  <w:tcW w:type="dxa" w:w="3238"/>
                </w:tcPr>
                <w:p>
                  <w:r>
                    <w:rPr>
                      <w:rFonts w:ascii="Times New Roman" w:hAnsi="Times New Roman" w:eastAsia="바탕"/>
                      <w:sz w:val="18"/>
                    </w:rPr>
                    <w:t>6</w:t>
                  </w:r>
                </w:p>
              </w:tc>
              <w:tc>
                <w:tcPr>
                  <w:tcW w:type="dxa" w:w="3238"/>
                </w:tcPr>
                <w:p>
                  <w:r>
                    <w:rPr>
                      <w:rFonts w:ascii="Times New Roman" w:hAnsi="Times New Roman" w:eastAsia="바탕"/>
                      <w:sz w:val="18"/>
                    </w:rPr>
                    <w:t>Confirm button</w:t>
                  </w:r>
                </w:p>
              </w:tc>
              <w:tc>
                <w:tcPr>
                  <w:tcW w:type="dxa" w:w="3238"/>
                </w:tcPr>
                <w:p>
                  <w:r>
                    <w:rPr>
                      <w:rFonts w:ascii="Times New Roman" w:hAnsi="Times New Roman" w:eastAsia="바탕"/>
                      <w:sz w:val="18"/>
                    </w:rPr>
                    <w:t>Dosing schedule</w:t>
                  </w:r>
                </w:p>
              </w:tc>
            </w:tr>
          </w:tbl>
          <w:p/>
          <w:p>
            <w:pPr>
              <w:spacing w:after="120"/>
            </w:pPr>
          </w:p>
          <w:p>
            <w:pPr>
              <w:spacing w:before="160" w:after="60"/>
              <w:jc w:val="center"/>
            </w:pPr>
            <w:r>
              <w:drawing>
                <wp:inline xmlns:a="http://schemas.openxmlformats.org/drawingml/2006/main" xmlns:pic="http://schemas.openxmlformats.org/drawingml/2006/picture">
                  <wp:extent cx="5486400" cy="3291840"/>
                  <wp:docPr id="28" name="Picture 28"/>
                  <wp:cNvGraphicFramePr>
                    <a:graphicFrameLocks noChangeAspect="1"/>
                  </wp:cNvGraphicFramePr>
                  <a:graphic>
                    <a:graphicData uri="http://schemas.openxmlformats.org/drawingml/2006/picture">
                      <pic:pic>
                        <pic:nvPicPr>
                          <pic:cNvPr id="0" name="fig22_verdict_order.png"/>
                          <pic:cNvPicPr/>
                        </pic:nvPicPr>
                        <pic:blipFill>
                          <a:blip r:embed="rId45"/>
                          <a:stretch>
                            <a:fillRect/>
                          </a:stretch>
                        </pic:blipFill>
                        <pic:spPr>
                          <a:xfrm>
                            <a:off x="0" y="0"/>
                            <a:ext cx="5486400" cy="32918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28]</w:t>
            </w:r>
            <w:r>
              <w:rPr>
                <w:rFonts w:ascii="Times New Roman" w:hAnsi="Times New Roman" w:eastAsia="바탕"/>
                <w:color w:val="606068"/>
                <w:sz w:val="18"/>
              </w:rPr>
              <w:t xml:space="preserve"> The two vertical orders of the verdict screen. The red arrow marks where the pictogram was moved up two places on the prescription side. The colour-and-symbol band is pushed down with it.</w:t>
            </w:r>
          </w:p>
          <w:p>
            <w:pPr>
              <w:spacing w:after="80" w:line="276" w:lineRule="auto"/>
              <w:jc w:val="both"/>
            </w:pPr>
            <w:r>
              <w:rPr>
                <w:rFonts w:ascii="Times New Roman" w:hAnsi="Times New Roman" w:eastAsia="바탕"/>
                <w:sz w:val="20"/>
              </w:rPr>
              <w:t>The difference between the two versions is at positions 4 and 3. For prescriptions the pictograms were moved above the text cards. They were below at first, and a user who cannot read scanning from the top had to pass three empty cards before reaching a picture. Changing the order alone removes those three.</w:t>
            </w:r>
          </w:p>
          <w:p>
            <w:pPr>
              <w:spacing w:after="80" w:line="276" w:lineRule="auto"/>
              <w:jc w:val="both"/>
            </w:pPr>
            <w:r>
              <w:rPr>
                <w:rFonts w:ascii="Times New Roman" w:hAnsi="Times New Roman" w:eastAsia="바탕"/>
                <w:sz w:val="20"/>
              </w:rPr>
              <w:t>Cutting the nutrient bars to three follows the same criterion. Items below 5% of the daily reference and items already sufficient are dropped, and only the top three of what remains are shown. Showing all ten lines buries which one is the problem.</w:t>
            </w:r>
          </w:p>
          <w:p>
            <w:pPr>
              <w:spacing w:before="120" w:after="20"/>
            </w:pPr>
            <w:r>
              <w:rPr>
                <w:rFonts w:ascii="Times New Roman" w:hAnsi="Times New Roman" w:eastAsia="바탕"/>
                <w:b/>
                <w:sz w:val="21"/>
              </w:rPr>
              <w:t>3.3.5 What determines the verdict</w:t>
            </w:r>
          </w:p>
          <w:p>
            <w:pPr>
              <w:spacing w:after="80" w:line="276" w:lineRule="auto"/>
              <w:jc w:val="both"/>
            </w:pPr>
            <w:r>
              <w:rPr>
                <w:rFonts w:ascii="Times New Roman" w:hAnsi="Times New Roman" w:eastAsia="바탕"/>
                <w:sz w:val="20"/>
              </w:rPr>
              <w:t>Colour has three levels and is derived from the user's conditions. Where several grounds apply, the worst wins.</w:t>
            </w:r>
          </w:p>
          <w:p>
            <w:pPr>
              <w:spacing w:after="80" w:line="276" w:lineRule="auto"/>
              <w:jc w:val="both"/>
            </w:pPr>
            <w:r>
              <w:rPr>
                <w:rFonts w:ascii="Times New Roman" w:hAnsi="Times New Roman" w:eastAsia="바탕"/>
                <w:sz w:val="20"/>
              </w:rPr>
              <w:t>[Table 17] Grounds that raise the verdict level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Ground</w:t>
                  </w:r>
                </w:p>
              </w:tc>
              <w:tc>
                <w:tcPr>
                  <w:tcW w:type="dxa" w:w="3238"/>
                  <w:shd w:val="clear" w:fill="F2F2F2"/>
                </w:tcPr>
                <w:p>
                  <w:r>
                    <w:rPr>
                      <w:rFonts w:ascii="Times New Roman" w:hAnsi="Times New Roman" w:eastAsia="바탕"/>
                      <w:b/>
                      <w:sz w:val="18"/>
                    </w:rPr>
                    <w:t>How it applies</w:t>
                  </w:r>
                </w:p>
              </w:tc>
              <w:tc>
                <w:tcPr>
                  <w:tcW w:type="dxa" w:w="3238"/>
                  <w:shd w:val="clear" w:fill="F2F2F2"/>
                </w:tcPr>
                <w:p>
                  <w:r>
                    <w:rPr>
                      <w:rFonts w:ascii="Times New Roman" w:hAnsi="Times New Roman" w:eastAsia="바탕"/>
                      <w:b/>
                      <w:sz w:val="18"/>
                    </w:rPr>
                    <w:t>Result</w:t>
                  </w:r>
                </w:p>
              </w:tc>
            </w:tr>
            <w:tr>
              <w:tc>
                <w:tcPr>
                  <w:tcW w:type="dxa" w:w="3238"/>
                </w:tcPr>
                <w:p>
                  <w:r>
                    <w:rPr>
                      <w:rFonts w:ascii="Times New Roman" w:hAnsi="Times New Roman" w:eastAsia="바탕"/>
                      <w:sz w:val="18"/>
                    </w:rPr>
                    <w:t>Conflict between a user condition and an ingredient</w:t>
                  </w:r>
                </w:p>
              </w:tc>
              <w:tc>
                <w:tcPr>
                  <w:tcW w:type="dxa" w:w="3238"/>
                </w:tcPr>
                <w:p>
                  <w:r>
                    <w:rPr>
                      <w:rFonts w:ascii="Times New Roman" w:hAnsi="Times New Roman" w:eastAsia="바탕"/>
                      <w:sz w:val="18"/>
                    </w:rPr>
                    <w:t>The trigger ingredient of a condition the user selected is present in this item</w:t>
                  </w:r>
                </w:p>
              </w:tc>
              <w:tc>
                <w:tcPr>
                  <w:tcW w:type="dxa" w:w="3238"/>
                </w:tcPr>
                <w:p>
                  <w:r>
                    <w:rPr>
                      <w:rFonts w:ascii="Times New Roman" w:hAnsi="Times New Roman" w:eastAsia="바탕"/>
                      <w:sz w:val="18"/>
                    </w:rPr>
                    <w:t>Varies by condition. Peanut allergy gives avoid, diabetes gives caution</w:t>
                  </w:r>
                </w:p>
              </w:tc>
            </w:tr>
            <w:tr>
              <w:tc>
                <w:tcPr>
                  <w:tcW w:type="dxa" w:w="3238"/>
                </w:tcPr>
                <w:p>
                  <w:r>
                    <w:rPr>
                      <w:rFonts w:ascii="Times New Roman" w:hAnsi="Times New Roman" w:eastAsia="바탕"/>
                      <w:sz w:val="18"/>
                    </w:rPr>
                    <w:t>Not confident what it is</w:t>
                  </w:r>
                </w:p>
              </w:tc>
              <w:tc>
                <w:tcPr>
                  <w:tcW w:type="dxa" w:w="3238"/>
                </w:tcPr>
                <w:p>
                  <w:r>
                    <w:rPr>
                      <w:rFonts w:ascii="Times New Roman" w:hAnsi="Times New Roman" w:eastAsia="바탕"/>
                      <w:sz w:val="18"/>
                    </w:rPr>
                    <w:t>Vision model confidence below 0.4, or all nutrient values returned as zero</w:t>
                  </w:r>
                </w:p>
              </w:tc>
              <w:tc>
                <w:tcPr>
                  <w:tcW w:type="dxa" w:w="3238"/>
                </w:tcPr>
                <w:p>
                  <w:r>
                    <w:rPr>
                      <w:rFonts w:ascii="Times New Roman" w:hAnsi="Times New Roman" w:eastAsia="바탕"/>
                      <w:sz w:val="18"/>
                    </w:rPr>
                    <w:t>Fixed at caution</w:t>
                  </w:r>
                </w:p>
              </w:tc>
            </w:tr>
            <w:tr>
              <w:tc>
                <w:tcPr>
                  <w:tcW w:type="dxa" w:w="3238"/>
                </w:tcPr>
                <w:p>
                  <w:r>
                    <w:rPr>
                      <w:rFonts w:ascii="Times New Roman" w:hAnsi="Times New Roman" w:eastAsia="바탕"/>
                      <w:sz w:val="18"/>
                    </w:rPr>
                    <w:t>A whole day's allowance at once</w:t>
                  </w:r>
                </w:p>
              </w:tc>
              <w:tc>
                <w:tcPr>
                  <w:tcW w:type="dxa" w:w="3238"/>
                </w:tcPr>
                <w:p>
                  <w:r>
                    <w:rPr>
                      <w:rFonts w:ascii="Times New Roman" w:hAnsi="Times New Roman" w:eastAsia="바탕"/>
                      <w:sz w:val="18"/>
                    </w:rPr>
                    <w:t>100% or more of this person's daily limit</w:t>
                  </w:r>
                </w:p>
              </w:tc>
              <w:tc>
                <w:tcPr>
                  <w:tcW w:type="dxa" w:w="3238"/>
                </w:tcPr>
                <w:p>
                  <w:r>
                    <w:rPr>
                      <w:rFonts w:ascii="Times New Roman" w:hAnsi="Times New Roman" w:eastAsia="바탕"/>
                      <w:sz w:val="18"/>
                    </w:rPr>
                    <w:t>Caution</w:t>
                  </w:r>
                </w:p>
              </w:tc>
            </w:tr>
            <w:tr>
              <w:tc>
                <w:tcPr>
                  <w:tcW w:type="dxa" w:w="3238"/>
                </w:tcPr>
                <w:p>
                  <w:r>
                    <w:rPr>
                      <w:rFonts w:ascii="Times New Roman" w:hAnsi="Times New Roman" w:eastAsia="바탕"/>
                      <w:sz w:val="18"/>
                    </w:rPr>
                    <w:t>Interaction with a medicine being taken</w:t>
                  </w:r>
                </w:p>
              </w:tc>
              <w:tc>
                <w:tcPr>
                  <w:tcW w:type="dxa" w:w="3238"/>
                </w:tcPr>
                <w:p>
                  <w:r>
                    <w:rPr>
                      <w:rFonts w:ascii="Times New Roman" w:hAnsi="Times New Roman" w:eastAsia="바탕"/>
                      <w:sz w:val="18"/>
                    </w:rPr>
                    <w:t>Conflict with an already registered medicine</w:t>
                  </w:r>
                </w:p>
              </w:tc>
              <w:tc>
                <w:tcPr>
                  <w:tcW w:type="dxa" w:w="3238"/>
                </w:tcPr>
                <w:p>
                  <w:r>
                    <w:rPr>
                      <w:rFonts w:ascii="Times New Roman" w:hAnsi="Times New Roman" w:eastAsia="바탕"/>
                      <w:sz w:val="18"/>
                    </w:rPr>
                    <w:t>Fixed at avoid</w:t>
                  </w:r>
                </w:p>
              </w:tc>
            </w:tr>
            <w:tr>
              <w:tc>
                <w:tcPr>
                  <w:tcW w:type="dxa" w:w="3238"/>
                </w:tcPr>
                <w:p>
                  <w:r>
                    <w:rPr>
                      <w:rFonts w:ascii="Times New Roman" w:hAnsi="Times New Roman" w:eastAsia="바탕"/>
                      <w:sz w:val="18"/>
                    </w:rPr>
                    <w:t>A handwritten prescription</w:t>
                  </w:r>
                </w:p>
              </w:tc>
              <w:tc>
                <w:tcPr>
                  <w:tcW w:type="dxa" w:w="3238"/>
                </w:tcPr>
                <w:p>
                  <w:r>
                    <w:rPr>
                      <w:rFonts w:ascii="Times New Roman" w:hAnsi="Times New Roman" w:eastAsia="바탕"/>
                      <w:sz w:val="18"/>
                    </w:rPr>
                    <w:t>Recognition judges the sheet to be handwritten</w:t>
                  </w:r>
                </w:p>
              </w:tc>
              <w:tc>
                <w:tcPr>
                  <w:tcW w:type="dxa" w:w="3238"/>
                </w:tcPr>
                <w:p>
                  <w:r>
                    <w:rPr>
                      <w:rFonts w:ascii="Times New Roman" w:hAnsi="Times New Roman" w:eastAsia="바탕"/>
                      <w:sz w:val="18"/>
                    </w:rPr>
                    <w:t>Caution. Green never lights</w:t>
                  </w:r>
                </w:p>
              </w:tc>
            </w:tr>
          </w:tbl>
          <w:p/>
          <w:p>
            <w:pPr>
              <w:spacing w:after="120"/>
            </w:pPr>
          </w:p>
          <w:p>
            <w:pPr>
              <w:spacing w:after="80" w:line="276" w:lineRule="auto"/>
              <w:jc w:val="both"/>
            </w:pPr>
            <w:r>
              <w:rPr>
                <w:rFonts w:ascii="Times New Roman" w:hAnsi="Times New Roman" w:eastAsia="바탕"/>
                <w:sz w:val="20"/>
              </w:rPr>
              <w:t>The fifth row came out of a point raised in §5.7. Told that it would not work on a handwritten prescription, we put a real one in and found that it did not fail to work but worked wrongly, with green lit on top of it. What this row does is erase the confidence rather than what was read. The account is in §5.7.</w:t>
            </w:r>
          </w:p>
          <w:p>
            <w:pPr>
              <w:spacing w:after="80" w:line="276" w:lineRule="auto"/>
              <w:jc w:val="both"/>
            </w:pPr>
            <w:r>
              <w:rPr>
                <w:rFonts w:ascii="Times New Roman" w:hAnsi="Times New Roman" w:eastAsia="바탕"/>
                <w:sz w:val="20"/>
              </w:rPr>
              <w:t>The third row is why this app's verdict differs from person to person. Because the daily limit is derived from the user's age band rather than taken from a table (§2.4), the same snack can come out as caution for a 65-year-old and safe for an adult.</w:t>
            </w:r>
          </w:p>
          <w:p>
            <w:pPr>
              <w:spacing w:after="80" w:line="276" w:lineRule="auto"/>
              <w:jc w:val="both"/>
            </w:pPr>
            <w:r>
              <w:rPr>
                <w:rFonts w:ascii="Times New Roman" w:hAnsi="Times New Roman" w:eastAsia="바탕"/>
                <w:sz w:val="20"/>
              </w:rPr>
              <w:t>The second row was added later. The vision model tends to return all values as zero when it is not confident, and zero passes every one of the physical checks in §4.2. It catches on no check at all and is displayed as a green "safe." A separate judgement, that all zeros means the item was not recognised, was therefore added apart from the physical checks.</w:t>
            </w:r>
          </w:p>
          <w:p>
            <w:pPr>
              <w:spacing w:after="80" w:line="276" w:lineRule="auto"/>
              <w:jc w:val="both"/>
            </w:pPr>
            <w:r>
              <w:rPr>
                <w:rFonts w:ascii="Times New Roman" w:hAnsi="Times New Roman" w:eastAsia="바탕"/>
                <w:sz w:val="20"/>
              </w:rPr>
              <w:t>The screen during recognition and the resulting verdict screen are in Figure 22(b) and (c).</w:t>
            </w:r>
          </w:p>
          <w:p>
            <w:pPr>
              <w:spacing w:before="180" w:after="40"/>
            </w:pPr>
            <w:r>
              <w:rPr>
                <w:rFonts w:ascii="Times New Roman" w:hAnsi="Times New Roman" w:eastAsia="바탕"/>
                <w:b/>
                <w:sz w:val="23"/>
              </w:rPr>
              <w:t>3.4 The path when recognition fails</w:t>
            </w:r>
          </w:p>
          <w:p>
            <w:pPr>
              <w:spacing w:after="80" w:line="276" w:lineRule="auto"/>
              <w:jc w:val="both"/>
            </w:pPr>
            <w:r>
              <w:rPr>
                <w:rFonts w:ascii="Times New Roman" w:hAnsi="Times New Roman" w:eastAsia="바탕"/>
                <w:sz w:val="20"/>
              </w:rPr>
              <w:t>There are cases where what was photographed cannot be read. What is shown at that moment determines the next action.</w:t>
            </w:r>
          </w:p>
          <w:p>
            <w:pPr>
              <w:spacing w:after="80" w:line="276" w:lineRule="auto"/>
              <w:jc w:val="both"/>
            </w:pPr>
            <w:r>
              <w:rPr>
                <w:rFonts w:ascii="Times New Roman" w:hAnsi="Times New Roman" w:eastAsia="바탕"/>
                <w:sz w:val="20"/>
              </w:rPr>
              <w:t>The failure sentence is spoken aloud at the same time as it appears on screen. There is a reason this behaviour was added later. Every other screen in the app speaks through pictures and speech, yet on failure alone a single line of text sat there silently. For a user who cannot read, that screen is the same as nothing having happened. The one moment that most needed help was the only one demanding text.</w:t>
            </w:r>
          </w:p>
          <w:p>
            <w:pPr>
              <w:spacing w:after="80" w:line="276" w:lineRule="auto"/>
              <w:jc w:val="both"/>
            </w:pPr>
            <w:r>
              <w:rPr>
                <w:rFonts w:ascii="Times New Roman" w:hAnsi="Times New Roman" w:eastAsia="바탕"/>
                <w:sz w:val="20"/>
              </w:rPr>
              <w:t>Alongside the sentence come one picture and a two-word instruction.</w:t>
            </w:r>
          </w:p>
          <w:p>
            <w:pPr>
              <w:spacing w:after="80" w:line="276" w:lineRule="auto"/>
              <w:jc w:val="both"/>
            </w:pPr>
            <w:r>
              <w:rPr>
                <w:rFonts w:ascii="Times New Roman" w:hAnsi="Times New Roman" w:eastAsia="바탕"/>
                <w:sz w:val="20"/>
              </w:rPr>
              <w:t>[Table 18] Failure guidance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Situation</w:t>
                  </w:r>
                </w:p>
              </w:tc>
              <w:tc>
                <w:tcPr>
                  <w:tcW w:type="dxa" w:w="2429"/>
                  <w:shd w:val="clear" w:fill="F2F2F2"/>
                </w:tcPr>
                <w:p>
                  <w:r>
                    <w:rPr>
                      <w:rFonts w:ascii="Times New Roman" w:hAnsi="Times New Roman" w:eastAsia="바탕"/>
                      <w:b/>
                      <w:sz w:val="18"/>
                    </w:rPr>
                    <w:t>Picture</w:t>
                  </w:r>
                </w:p>
              </w:tc>
              <w:tc>
                <w:tcPr>
                  <w:tcW w:type="dxa" w:w="2429"/>
                  <w:shd w:val="clear" w:fill="F2F2F2"/>
                </w:tcPr>
                <w:p>
                  <w:r>
                    <w:rPr>
                      <w:rFonts w:ascii="Times New Roman" w:hAnsi="Times New Roman" w:eastAsia="바탕"/>
                      <w:b/>
                      <w:sz w:val="18"/>
                    </w:rPr>
                    <w:t>Instruction</w:t>
                  </w:r>
                </w:p>
              </w:tc>
              <w:tc>
                <w:tcPr>
                  <w:tcW w:type="dxa" w:w="2429"/>
                  <w:shd w:val="clear" w:fill="F2F2F2"/>
                </w:tcPr>
                <w:p>
                  <w:r>
                    <w:rPr>
                      <w:rFonts w:ascii="Times New Roman" w:hAnsi="Times New Roman" w:eastAsia="바탕"/>
                      <w:b/>
                      <w:sz w:val="18"/>
                    </w:rPr>
                    <w:t>What it asks for</w:t>
                  </w:r>
                </w:p>
              </w:tc>
            </w:tr>
            <w:tr>
              <w:tc>
                <w:tcPr>
                  <w:tcW w:type="dxa" w:w="2429"/>
                </w:tcPr>
                <w:p>
                  <w:r>
                    <w:rPr>
                      <w:rFonts w:ascii="Times New Roman" w:hAnsi="Times New Roman" w:eastAsia="바탕"/>
                      <w:sz w:val="18"/>
                    </w:rPr>
                    <w:t>Table read but values unstable</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Move closer</w:t>
                  </w:r>
                </w:p>
              </w:tc>
              <w:tc>
                <w:tcPr>
                  <w:tcW w:type="dxa" w:w="2429"/>
                </w:tcPr>
                <w:p>
                  <w:r>
                    <w:rPr>
                      <w:rFonts w:ascii="Times New Roman" w:hAnsi="Times New Roman" w:eastAsia="바탕"/>
                      <w:sz w:val="18"/>
                    </w:rPr>
                    <w:t>Fill the frame from closer and retry</w:t>
                  </w:r>
                </w:p>
              </w:tc>
            </w:tr>
            <w:tr>
              <w:tc>
                <w:tcPr>
                  <w:tcW w:type="dxa" w:w="2429"/>
                </w:tcPr>
                <w:p>
                  <w:r>
                    <w:rPr>
                      <w:rFonts w:ascii="Times New Roman" w:hAnsi="Times New Roman" w:eastAsia="바탕"/>
                      <w:sz w:val="18"/>
                    </w:rPr>
                    <w:t>Paper folded or skewed</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Lay it flat</w:t>
                  </w:r>
                </w:p>
              </w:tc>
              <w:tc>
                <w:tcPr>
                  <w:tcW w:type="dxa" w:w="2429"/>
                </w:tcPr>
                <w:p>
                  <w:r>
                    <w:rPr>
                      <w:rFonts w:ascii="Times New Roman" w:hAnsi="Times New Roman" w:eastAsia="바탕"/>
                      <w:sz w:val="18"/>
                    </w:rPr>
                    <w:t>Flatten it out and retry</w:t>
                  </w:r>
                </w:p>
              </w:tc>
            </w:tr>
            <w:tr>
              <w:tc>
                <w:tcPr>
                  <w:tcW w:type="dxa" w:w="2429"/>
                </w:tcPr>
                <w:p>
                  <w:r>
                    <w:rPr>
                      <w:rFonts w:ascii="Times New Roman" w:hAnsi="Times New Roman" w:eastAsia="바탕"/>
                      <w:sz w:val="18"/>
                    </w:rPr>
                    <w:t>Camera shake</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Hold steady</w:t>
                  </w:r>
                </w:p>
              </w:tc>
              <w:tc>
                <w:tcPr>
                  <w:tcW w:type="dxa" w:w="2429"/>
                </w:tcPr>
                <w:p>
                  <w:r>
                    <w:rPr>
                      <w:rFonts w:ascii="Times New Roman" w:hAnsi="Times New Roman" w:eastAsia="바탕"/>
                      <w:sz w:val="18"/>
                    </w:rPr>
                    <w:t>Steady the hand and retry</w:t>
                  </w:r>
                </w:p>
              </w:tc>
            </w:tr>
            <w:tr>
              <w:tc>
                <w:tcPr>
                  <w:tcW w:type="dxa" w:w="2429"/>
                </w:tcPr>
                <w:p>
                  <w:r>
                    <w:rPr>
                      <w:rFonts w:ascii="Times New Roman" w:hAnsi="Times New Roman" w:eastAsia="바탕"/>
                      <w:sz w:val="18"/>
                    </w:rPr>
                    <w:t>Could not reach the server</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No connection</w:t>
                  </w:r>
                </w:p>
              </w:tc>
              <w:tc>
                <w:tcPr>
                  <w:tcW w:type="dxa" w:w="2429"/>
                </w:tcPr>
                <w:p>
                  <w:r>
                    <w:rPr>
                      <w:rFonts w:ascii="Times New Roman" w:hAnsi="Times New Roman" w:eastAsia="바탕"/>
                      <w:sz w:val="18"/>
                    </w:rPr>
                    <w:t>Retrying will not help. Photograph a label or pick a sample</w:t>
                  </w:r>
                </w:p>
              </w:tc>
            </w:tr>
            <w:tr>
              <w:tc>
                <w:tcPr>
                  <w:tcW w:type="dxa" w:w="2429"/>
                </w:tcPr>
                <w:p>
                  <w:r>
                    <w:rPr>
                      <w:rFonts w:ascii="Times New Roman" w:hAnsi="Times New Roman" w:eastAsia="바탕"/>
                      <w:sz w:val="18"/>
                    </w:rPr>
                    <w:t>Not recognised</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Try again</w:t>
                  </w:r>
                </w:p>
              </w:tc>
              <w:tc>
                <w:tcPr>
                  <w:tcW w:type="dxa" w:w="2429"/>
                </w:tcPr>
                <w:p>
                  <w:r>
                    <w:rPr>
                      <w:rFonts w:ascii="Times New Roman" w:hAnsi="Times New Roman" w:eastAsia="바탕"/>
                      <w:sz w:val="18"/>
                    </w:rPr>
                    <w:t>Taking another photograph will do</w:t>
                  </w:r>
                </w:p>
              </w:tc>
            </w:tr>
          </w:tbl>
          <w:p/>
          <w:p>
            <w:pPr>
              <w:spacing w:after="120"/>
            </w:pPr>
          </w:p>
          <w:p>
            <w:pPr>
              <w:spacing w:before="160" w:after="60"/>
              <w:jc w:val="center"/>
            </w:pPr>
            <w:r>
              <w:drawing>
                <wp:inline xmlns:a="http://schemas.openxmlformats.org/drawingml/2006/main" xmlns:pic="http://schemas.openxmlformats.org/drawingml/2006/picture">
                  <wp:extent cx="5486400" cy="2377440"/>
                  <wp:docPr id="29" name="Picture 29"/>
                  <wp:cNvGraphicFramePr>
                    <a:graphicFrameLocks noChangeAspect="1"/>
                  </wp:cNvGraphicFramePr>
                  <a:graphic>
                    <a:graphicData uri="http://schemas.openxmlformats.org/drawingml/2006/picture">
                      <pic:pic>
                        <pic:nvPicPr>
                          <pic:cNvPr id="0" name="fig25_failure.png"/>
                          <pic:cNvPicPr/>
                        </pic:nvPicPr>
                        <pic:blipFill>
                          <a:blip r:embed="rId46"/>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29]</w:t>
            </w:r>
            <w:r>
              <w:rPr>
                <w:rFonts w:ascii="Times New Roman" w:hAnsi="Times New Roman" w:eastAsia="바탕"/>
                <w:color w:val="606068"/>
                <w:sz w:val="18"/>
              </w:rPr>
              <w:t xml:space="preserve"> The two paths a failure takes. On the left, failures that another photograph will fix; on the right, failures another photograph will not. This split is why server responses 422 and 501 are handled separately.</w:t>
            </w:r>
          </w:p>
          <w:p>
            <w:pPr>
              <w:spacing w:after="80" w:line="276" w:lineRule="auto"/>
              <w:jc w:val="both"/>
            </w:pPr>
            <w:r>
              <w:rPr>
                <w:rFonts w:ascii="Times New Roman" w:hAnsi="Times New Roman" w:eastAsia="바탕"/>
                <w:sz w:val="20"/>
              </w:rPr>
              <w:t>What matters in this table is that the fourth and fifth rows are separated. Server responses are handled separately as 501 (no means available) and 422 (not recognised). If it was not recognised, taking another photograph is the answer, but if there is no connection a hundred more photographs give the same result. Showing the same sentence in both cases leaves the user retaking photographs until it works.</w:t>
            </w:r>
          </w:p>
          <w:p>
            <w:pPr>
              <w:spacing w:after="80" w:line="276" w:lineRule="auto"/>
              <w:jc w:val="both"/>
            </w:pPr>
            <w:r>
              <w:rPr>
                <w:rFonts w:ascii="Times New Roman" w:hAnsi="Times New Roman" w:eastAsia="바탕"/>
                <w:sz w:val="20"/>
              </w:rPr>
              <w:t>On failure, a list of samples unfolds at the bottom of the screen. It stays collapsed normally and appears only at the moment of failure. There is no reason for someone whose scans are working to see it, and someone who is stuck needs to see that another route exists.</w:t>
            </w:r>
          </w:p>
          <w:p>
            <w:pPr>
              <w:spacing w:after="80" w:line="276" w:lineRule="auto"/>
              <w:jc w:val="both"/>
            </w:pPr>
            <w:r>
              <w:rPr>
                <w:rFonts w:ascii="Times New Roman" w:hAnsi="Times New Roman" w:eastAsia="바탕"/>
                <w:sz w:val="20"/>
              </w:rPr>
              <w:t>No separate "retry" button was added. The shutter is still in place and returns to a pressable state, so adding another button would put two things doing the same job on the screen.</w:t>
            </w:r>
          </w:p>
          <w:p>
            <w:pPr>
              <w:spacing w:before="180" w:after="40"/>
            </w:pPr>
            <w:r>
              <w:rPr>
                <w:rFonts w:ascii="Times New Roman" w:hAnsi="Times New Roman" w:eastAsia="바탕"/>
                <w:b/>
                <w:sz w:val="23"/>
              </w:rPr>
              <w:t>3.5 Routes to the audio</w:t>
            </w:r>
          </w:p>
          <w:p>
            <w:pPr>
              <w:spacing w:after="80" w:line="276" w:lineRule="auto"/>
              <w:jc w:val="both"/>
            </w:pPr>
            <w:r>
              <w:rPr>
                <w:rFonts w:ascii="Times New Roman" w:hAnsi="Times New Roman" w:eastAsia="바탕"/>
                <w:sz w:val="20"/>
              </w:rPr>
              <w:t>Speech plays once automatically on arriving at the verdict screen. The listener cannot rewind it, however. Every sentence on the screen is therefore something that can be pressed to hear again.</w:t>
            </w:r>
          </w:p>
          <w:p>
            <w:pPr>
              <w:spacing w:after="80" w:line="276" w:lineRule="auto"/>
              <w:jc w:val="both"/>
            </w:pPr>
            <w:r>
              <w:rPr>
                <w:rFonts w:ascii="Times New Roman" w:hAnsi="Times New Roman" w:eastAsia="바탕"/>
                <w:sz w:val="20"/>
              </w:rPr>
              <w:t>This design responds to the IVR research in §1.10. What that study identified as the main difficulties for older users were speech rate and the length of options. Even if it is not all taken in at once, the part that is needed can be heard again.</w:t>
            </w:r>
          </w:p>
          <w:p>
            <w:pPr>
              <w:spacing w:before="120" w:after="20"/>
            </w:pPr>
            <w:r>
              <w:rPr>
                <w:rFonts w:ascii="Times New Roman" w:hAnsi="Times New Roman" w:eastAsia="바탕"/>
                <w:b/>
                <w:sz w:val="21"/>
              </w:rPr>
              <w:t>3.5.1 Signalling that something can be pressed</w:t>
            </w:r>
          </w:p>
          <w:p>
            <w:pPr>
              <w:spacing w:after="80" w:line="276" w:lineRule="auto"/>
              <w:jc w:val="both"/>
            </w:pPr>
            <w:r>
              <w:rPr>
                <w:rFonts w:ascii="Times New Roman" w:hAnsi="Times New Roman" w:eastAsia="바탕"/>
                <w:sz w:val="20"/>
              </w:rPr>
              <w:t xml:space="preserve">This design had a defect that surfaced during development. </w:t>
            </w:r>
            <w:r>
              <w:rPr>
                <w:rFonts w:ascii="Times New Roman" w:hAnsi="Times New Roman" w:eastAsia="바탕"/>
                <w:b/>
                <w:sz w:val="20"/>
              </w:rPr>
              <w:t>There were 78 pressable places and only nine visible indicators</w:t>
            </w:r>
            <w:r>
              <w:rPr>
                <w:rFonts w:ascii="Times New Roman" w:hAnsi="Times New Roman" w:eastAsia="바탕"/>
                <w:sz w:val="20"/>
              </w:rPr>
              <w:t>, and those nine were emoji at 0.75 times body size with 40% opacity. The capability existed but where to press was invisible, and for a user with reduced vision that is the same as its not being there.</w:t>
            </w:r>
          </w:p>
          <w:p>
            <w:pPr>
              <w:spacing w:after="80" w:line="276" w:lineRule="auto"/>
              <w:jc w:val="both"/>
            </w:pPr>
            <w:r>
              <w:rPr>
                <w:rFonts w:ascii="Times New Roman" w:hAnsi="Times New Roman" w:eastAsia="바탕"/>
                <w:sz w:val="20"/>
              </w:rPr>
              <w:t>Drawing the indicator larger is only half of it. Pressing is a tool for someone who already knows there is audio, and to someone opening the app for the first time a speaker glyph is just another picture. Three things were therefore put in place together.</w:t>
            </w:r>
          </w:p>
          <w:p>
            <w:pPr>
              <w:spacing w:after="80" w:line="276" w:lineRule="auto"/>
              <w:jc w:val="both"/>
            </w:pPr>
            <w:r>
              <w:rPr>
                <w:rFonts w:ascii="Times New Roman" w:hAnsi="Times New Roman" w:eastAsia="바탕"/>
                <w:sz w:val="20"/>
              </w:rPr>
              <w:t>[Table 19] Three routes to the audio</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Route</w:t>
                  </w:r>
                </w:p>
              </w:tc>
              <w:tc>
                <w:tcPr>
                  <w:tcW w:type="dxa" w:w="3238"/>
                  <w:shd w:val="clear" w:fill="F2F2F2"/>
                </w:tcPr>
                <w:p>
                  <w:r>
                    <w:rPr>
                      <w:rFonts w:ascii="Times New Roman" w:hAnsi="Times New Roman" w:eastAsia="바탕"/>
                      <w:b/>
                      <w:sz w:val="18"/>
                    </w:rPr>
                    <w:t>What it does</w:t>
                  </w:r>
                </w:p>
              </w:tc>
              <w:tc>
                <w:tcPr>
                  <w:tcW w:type="dxa" w:w="3238"/>
                  <w:shd w:val="clear" w:fill="F2F2F2"/>
                </w:tcPr>
                <w:p>
                  <w:r>
                    <w:rPr>
                      <w:rFonts w:ascii="Times New Roman" w:hAnsi="Times New Roman" w:eastAsia="바탕"/>
                      <w:b/>
                      <w:sz w:val="18"/>
                    </w:rPr>
                    <w:t>Why it is needed</w:t>
                  </w:r>
                </w:p>
              </w:tc>
            </w:tr>
            <w:tr>
              <w:tc>
                <w:tcPr>
                  <w:tcW w:type="dxa" w:w="3238"/>
                </w:tcPr>
                <w:p>
                  <w:r>
                    <w:rPr>
                      <w:rFonts w:ascii="Times New Roman" w:hAnsi="Times New Roman" w:eastAsia="바탕"/>
                      <w:sz w:val="18"/>
                    </w:rPr>
                    <w:t>Speaks on arrival</w:t>
                  </w:r>
                </w:p>
              </w:tc>
              <w:tc>
                <w:tcPr>
                  <w:tcW w:type="dxa" w:w="3238"/>
                </w:tcPr>
                <w:p>
                  <w:r>
                    <w:rPr>
                      <w:rFonts w:ascii="Times New Roman" w:hAnsi="Times New Roman" w:eastAsia="바탕"/>
                      <w:sz w:val="18"/>
                    </w:rPr>
                    <w:t>One line per screen, "what this screen is asking"</w:t>
                  </w:r>
                </w:p>
              </w:tc>
              <w:tc>
                <w:tcPr>
                  <w:tcW w:type="dxa" w:w="3238"/>
                </w:tcPr>
                <w:p>
                  <w:r>
                    <w:rPr>
                      <w:rFonts w:ascii="Times New Roman" w:hAnsi="Times New Roman" w:eastAsia="바탕"/>
                      <w:sz w:val="18"/>
                    </w:rPr>
                    <w:t>There is nothing to look for. Nothing has to be pressed</w:t>
                  </w:r>
                </w:p>
              </w:tc>
            </w:tr>
            <w:tr>
              <w:tc>
                <w:tcPr>
                  <w:tcW w:type="dxa" w:w="3238"/>
                </w:tcPr>
                <w:p>
                  <w:r>
                    <w:rPr>
                      <w:rFonts w:ascii="Times New Roman" w:hAnsi="Times New Roman" w:eastAsia="바탕"/>
                      <w:sz w:val="18"/>
                    </w:rPr>
                    <w:t>Sweep the screen to hear it</w:t>
                  </w:r>
                </w:p>
              </w:tc>
              <w:tc>
                <w:tcPr>
                  <w:tcW w:type="dxa" w:w="3238"/>
                </w:tcPr>
                <w:p>
                  <w:r>
                    <w:rPr>
                      <w:rFonts w:ascii="Times New Roman" w:hAnsi="Times New Roman" w:eastAsia="바탕"/>
                      <w:sz w:val="18"/>
                    </w:rPr>
                    <w:t>Press and hold, then slide, and whatever passes under the finger is read in turn</w:t>
                  </w:r>
                </w:p>
              </w:tc>
              <w:tc>
                <w:tcPr>
                  <w:tcW w:type="dxa" w:w="3238"/>
                </w:tcPr>
                <w:p>
                  <w:r>
                    <w:rPr>
                      <w:rFonts w:ascii="Times New Roman" w:hAnsi="Times New Roman" w:eastAsia="바탕"/>
                      <w:sz w:val="18"/>
                    </w:rPr>
                    <w:t>There is no need to know in advance where the audio is</w:t>
                  </w:r>
                </w:p>
              </w:tc>
            </w:tr>
            <w:tr>
              <w:tc>
                <w:tcPr>
                  <w:tcW w:type="dxa" w:w="3238"/>
                </w:tcPr>
                <w:p>
                  <w:r>
                    <w:rPr>
                      <w:rFonts w:ascii="Times New Roman" w:hAnsi="Times New Roman" w:eastAsia="바탕"/>
                      <w:sz w:val="18"/>
                    </w:rPr>
                    <w:t>Read the whole screen</w:t>
                  </w:r>
                </w:p>
              </w:tc>
              <w:tc>
                <w:tcPr>
                  <w:tcW w:type="dxa" w:w="3238"/>
                </w:tcPr>
                <w:p>
                  <w:r>
                    <w:rPr>
                      <w:rFonts w:ascii="Times New Roman" w:hAnsi="Times New Roman" w:eastAsia="바탕"/>
                      <w:sz w:val="18"/>
                    </w:rPr>
                    <w:t>One cell in the bottom tab bar</w:t>
                  </w:r>
                </w:p>
              </w:tc>
              <w:tc>
                <w:tcPr>
                  <w:tcW w:type="dxa" w:w="3238"/>
                </w:tcPr>
                <w:p>
                  <w:r>
                    <w:rPr>
                      <w:rFonts w:ascii="Times New Roman" w:hAnsi="Times New Roman" w:eastAsia="바탕"/>
                      <w:sz w:val="18"/>
                    </w:rPr>
                    <w:t>Hear it again from start to finish</w:t>
                  </w:r>
                </w:p>
              </w:tc>
            </w:tr>
          </w:tbl>
          <w:p/>
          <w:p>
            <w:pPr>
              <w:spacing w:after="120"/>
            </w:pPr>
          </w:p>
          <w:p>
            <w:pPr>
              <w:spacing w:after="80" w:line="276" w:lineRule="auto"/>
              <w:jc w:val="both"/>
            </w:pPr>
            <w:r>
              <w:rPr>
                <w:rFonts w:ascii="Times New Roman" w:hAnsi="Times New Roman" w:eastAsia="바탕"/>
                <w:sz w:val="20"/>
              </w:rPr>
              <w:t>The arrival announcement reads one line per screen. Reading everything would pour a paragraph out on every screen change, and then the user turns the speech off. That is the worst outcome in this app. Once it is off, nothing is heard at all.</w:t>
            </w:r>
          </w:p>
          <w:p>
            <w:pPr>
              <w:spacing w:after="80" w:line="276" w:lineRule="auto"/>
              <w:jc w:val="both"/>
            </w:pPr>
            <w:r>
              <w:rPr>
                <w:rFonts w:ascii="Times New Roman" w:hAnsi="Times New Roman" w:eastAsia="바탕"/>
                <w:sz w:val="20"/>
              </w:rPr>
              <w:t>The grey speaker circles that sat on every line were taken away. Having attached audio everywhere audio could go, eight to ten circles ended up tiled across a single screen, while the thing being pressed was the whole line and the circle was only a sign saying "there is audio here". What occupied the most space on the screen was not a function but a sign.</w:t>
            </w:r>
          </w:p>
          <w:p>
            <w:pPr>
              <w:spacing w:after="80" w:line="276" w:lineRule="auto"/>
              <w:jc w:val="both"/>
            </w:pPr>
            <w:r>
              <w:rPr>
                <w:rFonts w:ascii="Times New Roman" w:hAnsi="Times New Roman" w:eastAsia="바탕"/>
                <w:sz w:val="20"/>
              </w:rPr>
              <w:t>The sign was there because we held that the user has to be told in advance where the audio is. Being able to sweep removes that premise. Press and hold, slide, and what passes under the finger is read in turn, so it is swept rather than searched for. This is how a screen reader navigates, and it is closer to the criterion established in §1.10, that no step requiring explanation should be created.</w:t>
            </w:r>
          </w:p>
          <w:p>
            <w:pPr>
              <w:spacing w:after="80" w:line="276" w:lineRule="auto"/>
              <w:jc w:val="both"/>
            </w:pPr>
            <w:r>
              <w:rPr>
                <w:rFonts w:ascii="Times New Roman" w:hAnsi="Times New Roman" w:eastAsia="바탕"/>
                <w:sz w:val="20"/>
              </w:rPr>
              <w:t xml:space="preserve">The signs did not disappear altogether; they became transient. While a sweep is in progress </w:t>
            </w:r>
            <w:r>
              <w:rPr>
                <w:rFonts w:ascii="Consolas" w:hAnsi="Consolas" w:eastAsia="Consolas"/>
                <w:sz w:val="19"/>
              </w:rPr>
              <w:t>html[data-hearing]</w:t>
            </w:r>
            <w:r>
              <w:rPr>
                <w:rFonts w:ascii="Times New Roman" w:hAnsi="Times New Roman" w:eastAsia="바탕"/>
                <w:sz w:val="20"/>
              </w:rPr>
              <w:t xml:space="preserve"> reveals them, and they go quiet again when the finger lifts (</w:t>
            </w:r>
            <w:r>
              <w:rPr>
                <w:rFonts w:ascii="Consolas" w:hAnsi="Consolas" w:eastAsia="Consolas"/>
                <w:sz w:val="19"/>
              </w:rPr>
              <w:t>app/globals.css</w:t>
            </w:r>
            <w:r>
              <w:rPr>
                <w:rFonts w:ascii="Times New Roman" w:hAnsi="Times New Roman" w:eastAsia="바탕"/>
                <w:sz w:val="20"/>
              </w:rPr>
              <w:t>). So the screen shows where the audio is exactly while the user is looking for it, and shows nothing the rest of the time.</w:t>
            </w:r>
          </w:p>
          <w:p>
            <w:pPr>
              <w:spacing w:after="80" w:line="276" w:lineRule="auto"/>
              <w:jc w:val="both"/>
            </w:pPr>
            <w:r>
              <w:rPr>
                <w:rFonts w:ascii="Times New Roman" w:hAnsi="Times New Roman" w:eastAsia="바탕"/>
                <w:sz w:val="20"/>
              </w:rPr>
              <w:t xml:space="preserve">One thing has to be stated precisely here. What a sweep reveals is </w:t>
            </w:r>
            <w:r>
              <w:rPr>
                <w:rFonts w:ascii="Times New Roman" w:hAnsi="Times New Roman" w:eastAsia="바탕"/>
                <w:b/>
                <w:sz w:val="20"/>
              </w:rPr>
              <w:t>not all</w:t>
            </w:r>
            <w:r>
              <w:rPr>
                <w:rFonts w:ascii="Times New Roman" w:hAnsi="Times New Roman" w:eastAsia="바탕"/>
                <w:sz w:val="20"/>
              </w:rPr>
              <w:t xml:space="preserve"> of the places that carry audio. Counting on the home screen of the deployment, 14 places carry audio and 3 of them get a marker. Places wrapping a picture or a bar are called with </w:t>
            </w:r>
            <w:r>
              <w:rPr>
                <w:rFonts w:ascii="Consolas" w:hAnsi="Consolas" w:eastAsia="Consolas"/>
                <w:sz w:val="19"/>
              </w:rPr>
              <w:t>bare</w:t>
            </w:r>
            <w:r>
              <w:rPr>
                <w:rFonts w:ascii="Times New Roman" w:hAnsi="Times New Roman" w:eastAsia="바탕"/>
                <w:sz w:val="20"/>
              </w:rPr>
              <w:t xml:space="preserve"> and get no marker at all (six such call sites), because putting a grey circle over a picture covers the picture. A sweep still reads those places, but for someone who is not sweeping, the fact that audio is there never appears on screen. For a user who does not know about sweeping there is still audio that cannot be seen, and that is an item to settle with people present in the field evaluation of §5.10.</w:t>
            </w:r>
          </w:p>
          <w:p>
            <w:pPr>
              <w:spacing w:after="80" w:line="276" w:lineRule="auto"/>
              <w:jc w:val="both"/>
            </w:pPr>
            <w:r>
              <w:rPr>
                <w:rFonts w:ascii="Times New Roman" w:hAnsi="Times New Roman" w:eastAsia="바탕"/>
                <w:sz w:val="20"/>
              </w:rPr>
              <w:t>Nor did all the grey circles go. Where the row is itself a button, a button cannot be nested inside it, so a 44-pixel listen button sits beside it as a sibling. There are two such places on the home screen of the deployment, and the speaker is always visible there.</w:t>
            </w:r>
          </w:p>
          <w:p>
            <w:pPr>
              <w:spacing w:before="120" w:after="20"/>
            </w:pPr>
            <w:r>
              <w:rPr>
                <w:rFonts w:ascii="Times New Roman" w:hAnsi="Times New Roman" w:eastAsia="바탕"/>
                <w:b/>
                <w:sz w:val="21"/>
              </w:rPr>
              <w:t>3.5.2 Speaking the pictograms</w:t>
            </w:r>
          </w:p>
          <w:p>
            <w:pPr>
              <w:spacing w:after="80" w:line="276" w:lineRule="auto"/>
              <w:jc w:val="both"/>
            </w:pPr>
            <w:r>
              <w:rPr>
                <w:rFonts w:ascii="Times New Roman" w:hAnsi="Times New Roman" w:eastAsia="바탕"/>
                <w:sz w:val="20"/>
              </w:rPr>
              <w:t>The last thing discovered was that only the pictograms did not speak. The verdict, the product name and the nutrient figures could all be pressed and heard, while the pictures, the core contribution of this work, were silent.</w:t>
            </w:r>
          </w:p>
          <w:p>
            <w:pPr>
              <w:spacing w:after="80" w:line="276" w:lineRule="auto"/>
              <w:jc w:val="both"/>
            </w:pPr>
            <w:r>
              <w:rPr>
                <w:rFonts w:ascii="Times New Roman" w:hAnsi="Times New Roman" w:eastAsia="바탕"/>
                <w:sz w:val="20"/>
              </w:rPr>
              <w:t>The observation of van Beusekom et al. (2017) cited in §1.8 applies here directly. Three of ten symbols produced false confidence, believing one understands while not recognising the symbol, and that is a worse failure than having no picture. Someone who does not recognise a picture may at least ask, whereas someone who recognises it wrongly acts on it. The remedy the same paper offered was that comprehension rises when a pharmacist points out what the picture means. Pictures work better used alongside words than in place of them.</w:t>
            </w:r>
          </w:p>
          <w:p>
            <w:pPr>
              <w:spacing w:after="80" w:line="276" w:lineRule="auto"/>
              <w:jc w:val="both"/>
            </w:pPr>
            <w:r>
              <w:rPr>
                <w:rFonts w:ascii="Times New Roman" w:hAnsi="Times New Roman" w:eastAsia="바탕"/>
                <w:sz w:val="20"/>
              </w:rPr>
              <w:t>Our users have no pharmacist beside them. The app therefore takes that place. Pressing a picture makes it say what it means. What is read out is not the appearance of the picture but the action it prescribes.</w:t>
            </w:r>
          </w:p>
          <w:p>
            <w:pPr>
              <w:spacing w:after="160"/>
            </w:pPr>
            <w:r>
              <w:rPr>
                <w:rFonts w:ascii="Consolas" w:hAnsi="Consolas" w:eastAsia="Consolas"/>
                <w:sz w:val="18"/>
              </w:rPr>
              <w:t>\three_times_daily{\tablet_blister{\food_bowl}}</w:t>
              <w:br/>
              <w:t xml:space="preserve">    → "A tablet, with food, three times a day."</w:t>
              <w:br/>
              <w:br/>
              <w:t>\no{\allergen_peanut}</w:t>
              <w:br/>
              <w:t xml:space="preserve">    → "Do not eat this. It has peanuts."</w:t>
            </w:r>
          </w:p>
          <w:p>
            <w:pPr>
              <w:spacing w:after="80" w:line="276" w:lineRule="auto"/>
              <w:jc w:val="both"/>
            </w:pPr>
            <w:r>
              <w:rPr>
                <w:rFonts w:ascii="Times New Roman" w:hAnsi="Times New Roman" w:eastAsia="바탕"/>
                <w:sz w:val="20"/>
              </w:rPr>
              <w:t>Saying "a tablet and a bowl" only repeats what is already being seen, while what is actually unknown, namely what one is being told to do, remains untouched.</w:t>
            </w:r>
          </w:p>
          <w:p>
            <w:pPr>
              <w:spacing w:after="80" w:line="276" w:lineRule="auto"/>
              <w:jc w:val="both"/>
            </w:pPr>
            <w:r>
              <w:rPr>
                <w:rFonts w:ascii="Times New Roman" w:hAnsi="Times New Roman" w:eastAsia="바탕"/>
                <w:sz w:val="20"/>
              </w:rPr>
              <w:t>Lines whose meaning is unknown are made unpressable altogether. An invented explanation would harden exactly that false confidence.</w:t>
            </w:r>
          </w:p>
          <w:p>
            <w:pPr>
              <w:spacing w:before="180" w:after="40"/>
            </w:pPr>
            <w:r>
              <w:rPr>
                <w:rFonts w:ascii="Times New Roman" w:hAnsi="Times New Roman" w:eastAsia="바탕"/>
                <w:b/>
                <w:sz w:val="23"/>
              </w:rPr>
              <w:t>3.6 Sharing a device and separating household members</w:t>
            </w:r>
          </w:p>
          <w:p>
            <w:pPr>
              <w:spacing w:after="80" w:line="276" w:lineRule="auto"/>
              <w:jc w:val="both"/>
            </w:pPr>
            <w:r>
              <w:rPr>
                <w:rFonts w:ascii="Times New Roman" w:hAnsi="Times New Roman" w:eastAsia="바탕"/>
                <w:sz w:val="20"/>
              </w:rPr>
              <w:t>In the target regions a smartphone is not a personal possession but the one device in the house (§1.6). If the app handles only one person, then when a grandmother and a grandchild share the same phone what the grandchild scans is added to the grandmother's daily total, and the blood thinner the grandmother takes fires on the grandchild's verdict. It is not merely that records mix; the verdict is wrong.</w:t>
            </w:r>
          </w:p>
          <w:p>
            <w:pPr>
              <w:spacing w:after="80" w:line="276" w:lineRule="auto"/>
              <w:jc w:val="both"/>
            </w:pPr>
            <w:r>
              <w:rPr>
                <w:rFonts w:ascii="Times New Roman" w:hAnsi="Times New Roman" w:eastAsia="바탕"/>
                <w:sz w:val="20"/>
              </w:rPr>
              <w:t>At the start, therefore, a face is chosen and the user enters their own space. Each space has its own picture key, and profile, history and reminders all accumulate separately. The screen has the same structure as an operating system lock screen. The member list and the lock share one screen, so there is no need to build a separate way back after choosing wrongly.</w:t>
            </w:r>
          </w:p>
          <w:p>
            <w:pPr>
              <w:spacing w:after="80" w:line="276" w:lineRule="auto"/>
              <w:jc w:val="both"/>
            </w:pPr>
            <w:r>
              <w:rPr>
                <w:rFonts w:ascii="Times New Roman" w:hAnsi="Times New Roman" w:eastAsia="바탕"/>
                <w:sz w:val="20"/>
              </w:rPr>
              <w:t>Someone using the phone alone never sees this screen. Asking a single person to choose is asking them to make a choice that does not exist.</w:t>
            </w:r>
          </w:p>
          <w:p>
            <w:pPr>
              <w:spacing w:after="80" w:line="276" w:lineRule="auto"/>
              <w:jc w:val="both"/>
            </w:pPr>
            <w:r>
              <w:rPr>
                <w:rFonts w:ascii="Times New Roman" w:hAnsi="Times New Roman" w:eastAsia="바탕"/>
                <w:sz w:val="20"/>
              </w:rPr>
              <w:t xml:space="preserve">The dividing point is a single storage key. The first person's data stays at </w:t>
            </w:r>
            <w:r>
              <w:rPr>
                <w:rFonts w:ascii="Consolas" w:hAnsi="Consolas" w:eastAsia="Consolas"/>
                <w:sz w:val="19"/>
              </w:rPr>
              <w:t>snapcare-profile</w:t>
            </w:r>
            <w:r>
              <w:rPr>
                <w:rFonts w:ascii="Times New Roman" w:hAnsi="Times New Roman" w:eastAsia="바탕"/>
                <w:sz w:val="20"/>
              </w:rPr>
              <w:t xml:space="preserve">, and from the second person on it goes to </w:t>
            </w:r>
            <w:r>
              <w:rPr>
                <w:rFonts w:ascii="Consolas" w:hAnsi="Consolas" w:eastAsia="Consolas"/>
                <w:sz w:val="19"/>
              </w:rPr>
              <w:t>snapcare-profile#&lt;id&gt;</w:t>
            </w:r>
            <w:r>
              <w:rPr>
                <w:rFonts w:ascii="Times New Roman" w:hAnsi="Times New Roman" w:eastAsia="바탕"/>
                <w:sz w:val="20"/>
              </w:rPr>
              <w:t>. Because this rule sits in the one layer that reads and writes data, the verdict, aggregation and inference code has no need to know how many people it is handling. The same rule covers the five things that must be separated: profile, history, reminders, session and suggestions. No suffix is attached to the first person's key so that data belonging to someone who was already using the app alone is not moved.</w:t>
            </w:r>
          </w:p>
          <w:p>
            <w:pPr>
              <w:spacing w:after="80" w:line="276" w:lineRule="auto"/>
              <w:jc w:val="both"/>
            </w:pPr>
            <w:r>
              <w:rPr>
                <w:rFonts w:ascii="Times New Roman" w:hAnsi="Times New Roman" w:eastAsia="바탕"/>
                <w:sz w:val="20"/>
              </w:rPr>
              <w:t>Names are still not asked for. Identity is one of eight faces (🧑 🧒 👶 🧓 👩 👨 👦 👧), and faces already taken drop out of the list so that two people cannot choose the same one. A colour is attached as well for cases where the face alone is confusing.</w:t>
            </w:r>
          </w:p>
          <w:p>
            <w:pPr>
              <w:spacing w:after="80" w:line="276" w:lineRule="auto"/>
              <w:jc w:val="both"/>
            </w:pPr>
            <w:r>
              <w:rPr>
                <w:rFonts w:ascii="Times New Roman" w:hAnsi="Times New Roman" w:eastAsia="바탕"/>
                <w:sz w:val="20"/>
              </w:rPr>
              <w:t>Switching between people does not merely swap the screen but reopens the app from the start. Re-reading the data in place can leave a part of the app still holding the previous person's allergy information, and nothing on screen would show that it is still there. A verdict produced in that state looks exactly like a correct one. The one second it costs to reopen is cheaper than that risk.</w:t>
            </w:r>
          </w:p>
          <w:p>
            <w:pPr>
              <w:spacing w:after="80" w:line="276" w:lineRule="auto"/>
              <w:jc w:val="both"/>
            </w:pPr>
            <w:r>
              <w:rPr>
                <w:rFonts w:ascii="Times New Roman" w:hAnsi="Times New Roman" w:eastAsia="바탕"/>
                <w:sz w:val="20"/>
              </w:rPr>
              <w:t>On the member list screen only the current person's conditions are shown and the others read simply as "another person." This is not concealment but a genuine inability to read them. Another person's data sits behind a key this session does not open.</w:t>
            </w:r>
          </w:p>
          <w:p>
            <w:pPr>
              <w:spacing w:after="80" w:line="276" w:lineRule="auto"/>
              <w:jc w:val="both"/>
            </w:pPr>
            <w:r>
              <w:rPr>
                <w:rFonts w:ascii="Times New Roman" w:hAnsi="Times New Roman" w:eastAsia="바탕"/>
                <w:sz w:val="20"/>
              </w:rPr>
              <w:t>Deleting takes two presses. One press raises a red outline, and a second deletes. No "are you sure?" dialogue is raised, because that sentence is not readable by this app's users. An unreadable confirmation dialogue is not a confirmation but merely one more press, so the procedure itself was made two-stage. The current person and the last remaining person cannot be deleted.</w:t>
            </w:r>
          </w:p>
          <w:p>
            <w:pPr>
              <w:spacing w:after="80" w:line="276" w:lineRule="auto"/>
              <w:jc w:val="both"/>
            </w:pPr>
            <w:r>
              <w:rPr>
                <w:rFonts w:ascii="Times New Roman" w:hAnsi="Times New Roman" w:eastAsia="바탕"/>
                <w:sz w:val="20"/>
              </w:rPr>
              <w:t>What this section covers is several people sharing one device, not several people helping one person. Six of the nine in the nursing and public health segment of §5.7 answered that the patient and the carer should be designed for separately, and Foued Maaoui, researcher at the Pasteur Institute of Tunis, addressed the premise head on.</w:t>
            </w:r>
          </w:p>
          <w:p>
            <w:pPr>
              <w:spacing w:after="40" w:line="276" w:lineRule="auto"/>
              <w:ind w:left="403"/>
            </w:pPr>
            <w:r>
              <w:rPr>
                <w:rFonts w:ascii="Times New Roman" w:hAnsi="Times New Roman" w:eastAsia="바탕"/>
                <w:i/>
                <w:color w:val="606068"/>
                <w:sz w:val="19"/>
              </w:rPr>
              <w:t>"The original assumption that the patient will use the app alone does not match common practice, especially among older adults, people with low literacy, cognitive impairment, or complex regimens."</w:t>
            </w:r>
          </w:p>
          <w:p>
            <w:pPr>
              <w:spacing w:after="180" w:line="276" w:lineRule="auto"/>
              <w:ind w:left="403"/>
            </w:pPr>
            <w:r>
              <w:rPr>
                <w:rFonts w:ascii="Times New Roman" w:hAnsi="Times New Roman" w:eastAsia="바탕"/>
                <w:i w:val="0"/>
                <w:color w:val="606068"/>
                <w:sz w:val="19"/>
              </w:rPr>
              <w:t>(Foued Maaoui, Researcher, Pasteur Institute of Tunis)</w:t>
            </w:r>
          </w:p>
          <w:p>
            <w:pPr>
              <w:spacing w:after="80" w:line="276" w:lineRule="auto"/>
              <w:jc w:val="both"/>
            </w:pPr>
            <w:r>
              <w:rPr>
                <w:rFonts w:ascii="Times New Roman" w:hAnsi="Times New Roman" w:eastAsia="바탕"/>
                <w:sz w:val="20"/>
              </w:rPr>
              <w:t>Professor Minsun Song of Konyang University put the same thing differently: it should be built so that the patient and the carer can both understand it at once. There are dissenting views. Professor Celia of the University of Pretoria did not feel separate designs would be required, and Professor Namsoo Park of Hyupsung University answered that it depends on the age and condition of the target.</w:t>
            </w:r>
          </w:p>
          <w:p>
            <w:pPr>
              <w:spacing w:after="80" w:line="276" w:lineRule="auto"/>
              <w:jc w:val="both"/>
            </w:pPr>
            <w:r>
              <w:rPr>
                <w:rFonts w:ascii="Times New Roman" w:hAnsi="Times New Roman" w:eastAsia="바탕"/>
                <w:sz w:val="20"/>
              </w:rPr>
              <w:t>This app is designed on the premise that the patient uses it alone. The checking step of §3.8, the per-person thresholds of §2.4 and the member separation of this section all assume one person in front of the screen. Split 6 to 2, this answer aims at that assumption rather than at any one feature. We have not changed it. Building a separate screen for the carer means rebuilding the step §2.1 set out to remove, and which is right can only be learned by asking people. It has been added as an item to confirm in the field evaluation of §5.10.</w:t>
            </w:r>
          </w:p>
          <w:p>
            <w:pPr>
              <w:spacing w:before="180" w:after="40"/>
            </w:pPr>
            <w:r>
              <w:rPr>
                <w:rFonts w:ascii="Times New Roman" w:hAnsi="Times New Roman" w:eastAsia="바탕"/>
                <w:b/>
                <w:sz w:val="23"/>
              </w:rPr>
              <w:t>3.7 Channels other than colour</w:t>
            </w:r>
          </w:p>
          <w:p>
            <w:pPr>
              <w:spacing w:after="80" w:line="276" w:lineRule="auto"/>
              <w:jc w:val="both"/>
            </w:pPr>
            <w:r>
              <w:rPr>
                <w:rFonts w:ascii="Times New Roman" w:hAnsi="Times New Roman" w:eastAsia="바탕"/>
                <w:sz w:val="20"/>
              </w:rPr>
              <w:t>Verdicts are displayed in three colours: green, amber and red. Red-green colour vision deficiency, however, affects about 8% of men and about 0.5% of women of northern European descent, and is estimated at around 300 million people worldwide (Colour Blind Awareness; MedlinePlus Genetics).</w:t>
            </w:r>
          </w:p>
          <w:p>
            <w:pPr>
              <w:spacing w:after="80" w:line="276" w:lineRule="auto"/>
              <w:jc w:val="both"/>
            </w:pPr>
            <w:r>
              <w:rPr>
                <w:rFonts w:ascii="Times New Roman" w:hAnsi="Times New Roman" w:eastAsia="바탕"/>
                <w:sz w:val="20"/>
              </w:rPr>
              <w:t>One thing should be added. This proportion varies by ancestry, reported at 4% to 6.5% among men of Chinese and Japanese descent and lower in sub-Saharan Africa. The risk therefore varies by region and, depending on where the user is, may be smaller than in northern Europe. The reason for not entrusting the verdict to colour alone even so is the asymmetry of the cost rather than the prevalence. Giving only colour to someone who cannot see colour means the verdict is not delivered at all, whereas the cost of also carrying a symbol and a sentence is one line of screen.</w:t>
            </w:r>
          </w:p>
          <w:p>
            <w:pPr>
              <w:spacing w:after="80" w:line="276" w:lineRule="auto"/>
              <w:jc w:val="both"/>
            </w:pPr>
            <w:r>
              <w:rPr>
                <w:rFonts w:ascii="Times New Roman" w:hAnsi="Times New Roman" w:eastAsia="바탕"/>
                <w:sz w:val="20"/>
              </w:rPr>
              <w:t>WCAG 1.4.1 requires that colour not be the sole means of conveying meaning, and it has repeatedly been pointed out that contrast alone is not sufficient. Even with high luminance contrast, hue may not be distinguishable to someone with red-green deficiency (W3C WCAG 2.x).</w:t>
            </w:r>
          </w:p>
          <w:p>
            <w:pPr>
              <w:spacing w:after="80" w:line="276" w:lineRule="auto"/>
              <w:jc w:val="both"/>
            </w:pPr>
            <w:r>
              <w:rPr>
                <w:rFonts w:ascii="Times New Roman" w:hAnsi="Times New Roman" w:eastAsia="바탕"/>
                <w:sz w:val="20"/>
              </w:rPr>
              <w:t>The same verdict therefore goes out through five channels at once.</w:t>
            </w:r>
          </w:p>
          <w:p>
            <w:pPr>
              <w:spacing w:after="80" w:line="276" w:lineRule="auto"/>
              <w:jc w:val="both"/>
            </w:pPr>
            <w:r>
              <w:rPr>
                <w:rFonts w:ascii="Times New Roman" w:hAnsi="Times New Roman" w:eastAsia="바탕"/>
                <w:sz w:val="20"/>
              </w:rPr>
              <w:t>[Table 20] The five channels one verdict travels through</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Channel</w:t>
                  </w:r>
                </w:p>
              </w:tc>
              <w:tc>
                <w:tcPr>
                  <w:tcW w:type="dxa" w:w="2429"/>
                  <w:shd w:val="clear" w:fill="F2F2F2"/>
                </w:tcPr>
                <w:p>
                  <w:r>
                    <w:rPr>
                      <w:rFonts w:ascii="Times New Roman" w:hAnsi="Times New Roman" w:eastAsia="바탕"/>
                      <w:b/>
                      <w:sz w:val="18"/>
                    </w:rPr>
                    <w:t>Safe</w:t>
                  </w:r>
                </w:p>
              </w:tc>
              <w:tc>
                <w:tcPr>
                  <w:tcW w:type="dxa" w:w="2429"/>
                  <w:shd w:val="clear" w:fill="F2F2F2"/>
                </w:tcPr>
                <w:p>
                  <w:r>
                    <w:rPr>
                      <w:rFonts w:ascii="Times New Roman" w:hAnsi="Times New Roman" w:eastAsia="바탕"/>
                      <w:b/>
                      <w:sz w:val="18"/>
                    </w:rPr>
                    <w:t>Caution</w:t>
                  </w:r>
                </w:p>
              </w:tc>
              <w:tc>
                <w:tcPr>
                  <w:tcW w:type="dxa" w:w="2429"/>
                  <w:shd w:val="clear" w:fill="F2F2F2"/>
                </w:tcPr>
                <w:p>
                  <w:r>
                    <w:rPr>
                      <w:rFonts w:ascii="Times New Roman" w:hAnsi="Times New Roman" w:eastAsia="바탕"/>
                      <w:b/>
                      <w:sz w:val="18"/>
                    </w:rPr>
                    <w:t>Avoid</w:t>
                  </w:r>
                </w:p>
              </w:tc>
            </w:tr>
            <w:tr>
              <w:tc>
                <w:tcPr>
                  <w:tcW w:type="dxa" w:w="2429"/>
                </w:tcPr>
                <w:p>
                  <w:r>
                    <w:rPr>
                      <w:rFonts w:ascii="Times New Roman" w:hAnsi="Times New Roman" w:eastAsia="바탕"/>
                      <w:sz w:val="18"/>
                    </w:rPr>
                    <w:t>Colour</w:t>
                  </w:r>
                </w:p>
              </w:tc>
              <w:tc>
                <w:tcPr>
                  <w:tcW w:type="dxa" w:w="2429"/>
                </w:tcPr>
                <w:p>
                  <w:r>
                    <w:rPr>
                      <w:rFonts w:ascii="Times New Roman" w:hAnsi="Times New Roman" w:eastAsia="바탕"/>
                      <w:sz w:val="18"/>
                    </w:rPr>
                    <w:t xml:space="preserve">Green </w:t>
                  </w:r>
                  <w:r>
                    <w:rPr>
                      <w:rFonts w:ascii="Consolas" w:hAnsi="Consolas" w:eastAsia="Consolas"/>
                      <w:sz w:val="17"/>
                    </w:rPr>
                    <w:t>#0E7A38</w:t>
                  </w:r>
                </w:p>
              </w:tc>
              <w:tc>
                <w:tcPr>
                  <w:tcW w:type="dxa" w:w="2429"/>
                </w:tcPr>
                <w:p>
                  <w:r>
                    <w:rPr>
                      <w:rFonts w:ascii="Times New Roman" w:hAnsi="Times New Roman" w:eastAsia="바탕"/>
                      <w:sz w:val="18"/>
                    </w:rPr>
                    <w:t xml:space="preserve">Amber </w:t>
                  </w:r>
                  <w:r>
                    <w:rPr>
                      <w:rFonts w:ascii="Consolas" w:hAnsi="Consolas" w:eastAsia="Consolas"/>
                      <w:sz w:val="17"/>
                    </w:rPr>
                    <w:t>#B45309</w:t>
                  </w:r>
                </w:p>
              </w:tc>
              <w:tc>
                <w:tcPr>
                  <w:tcW w:type="dxa" w:w="2429"/>
                </w:tcPr>
                <w:p>
                  <w:r>
                    <w:rPr>
                      <w:rFonts w:ascii="Times New Roman" w:hAnsi="Times New Roman" w:eastAsia="바탕"/>
                      <w:sz w:val="18"/>
                    </w:rPr>
                    <w:t xml:space="preserve">Red </w:t>
                  </w:r>
                  <w:r>
                    <w:rPr>
                      <w:rFonts w:ascii="Consolas" w:hAnsi="Consolas" w:eastAsia="Consolas"/>
                      <w:sz w:val="17"/>
                    </w:rPr>
                    <w:t>#C81E1E</w:t>
                  </w:r>
                </w:p>
              </w:tc>
            </w:tr>
            <w:tr>
              <w:tc>
                <w:tcPr>
                  <w:tcW w:type="dxa" w:w="2429"/>
                </w:tcPr>
                <w:p>
                  <w:r>
                    <w:rPr>
                      <w:rFonts w:ascii="Times New Roman" w:hAnsi="Times New Roman" w:eastAsia="바탕"/>
                      <w:sz w:val="18"/>
                    </w:rPr>
                    <w:t>Symbol</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w:t>
                  </w:r>
                </w:p>
              </w:tc>
            </w:tr>
            <w:tr>
              <w:tc>
                <w:tcPr>
                  <w:tcW w:type="dxa" w:w="2429"/>
                </w:tcPr>
                <w:p>
                  <w:r>
                    <w:rPr>
                      <w:rFonts w:ascii="Times New Roman" w:hAnsi="Times New Roman" w:eastAsia="바탕"/>
                      <w:sz w:val="18"/>
                    </w:rPr>
                    <w:t>Word</w:t>
                  </w:r>
                </w:p>
              </w:tc>
              <w:tc>
                <w:tcPr>
                  <w:tcW w:type="dxa" w:w="2429"/>
                </w:tcPr>
                <w:p>
                  <w:r>
                    <w:rPr>
                      <w:rFonts w:ascii="Times New Roman" w:hAnsi="Times New Roman" w:eastAsia="바탕"/>
                      <w:sz w:val="18"/>
                    </w:rPr>
                    <w:t>Safe</w:t>
                  </w:r>
                </w:p>
              </w:tc>
              <w:tc>
                <w:tcPr>
                  <w:tcW w:type="dxa" w:w="2429"/>
                </w:tcPr>
                <w:p>
                  <w:r>
                    <w:rPr>
                      <w:rFonts w:ascii="Times New Roman" w:hAnsi="Times New Roman" w:eastAsia="바탕"/>
                      <w:sz w:val="18"/>
                    </w:rPr>
                    <w:t>Caution</w:t>
                  </w:r>
                </w:p>
              </w:tc>
              <w:tc>
                <w:tcPr>
                  <w:tcW w:type="dxa" w:w="2429"/>
                </w:tcPr>
                <w:p>
                  <w:r>
                    <w:rPr>
                      <w:rFonts w:ascii="Times New Roman" w:hAnsi="Times New Roman" w:eastAsia="바탕"/>
                      <w:sz w:val="18"/>
                    </w:rPr>
                    <w:t>Avoid</w:t>
                  </w:r>
                </w:p>
              </w:tc>
            </w:tr>
            <w:tr>
              <w:tc>
                <w:tcPr>
                  <w:tcW w:type="dxa" w:w="2429"/>
                </w:tcPr>
                <w:p>
                  <w:r>
                    <w:rPr>
                      <w:rFonts w:ascii="Times New Roman" w:hAnsi="Times New Roman" w:eastAsia="바탕"/>
                      <w:sz w:val="18"/>
                    </w:rPr>
                    <w:t>Sentence</w:t>
                  </w:r>
                </w:p>
              </w:tc>
              <w:tc>
                <w:tcPr>
                  <w:tcW w:type="dxa" w:w="2429"/>
                </w:tcPr>
                <w:p>
                  <w:r>
                    <w:rPr>
                      <w:rFonts w:ascii="Times New Roman" w:hAnsi="Times New Roman" w:eastAsia="바탕"/>
                      <w:sz w:val="18"/>
                    </w:rPr>
                    <w:t>"Safe to eat."</w:t>
                  </w:r>
                </w:p>
              </w:tc>
              <w:tc>
                <w:tcPr>
                  <w:tcW w:type="dxa" w:w="2429"/>
                </w:tcPr>
                <w:p>
                  <w:r>
                    <w:rPr>
                      <w:rFonts w:ascii="Times New Roman" w:hAnsi="Times New Roman" w:eastAsia="바탕"/>
                      <w:sz w:val="18"/>
                    </w:rPr>
                    <w:t>"Caution for 〈name〉"</w:t>
                  </w:r>
                </w:p>
              </w:tc>
              <w:tc>
                <w:tcPr>
                  <w:tcW w:type="dxa" w:w="2429"/>
                </w:tcPr>
                <w:p>
                  <w:r>
                    <w:rPr>
                      <w:rFonts w:ascii="Times New Roman" w:hAnsi="Times New Roman" w:eastAsia="바탕"/>
                      <w:sz w:val="18"/>
                    </w:rPr>
                    <w:t>"Do not eat."</w:t>
                  </w:r>
                </w:p>
              </w:tc>
            </w:tr>
            <w:tr>
              <w:tc>
                <w:tcPr>
                  <w:tcW w:type="dxa" w:w="2429"/>
                </w:tcPr>
                <w:p>
                  <w:r>
                    <w:rPr>
                      <w:rFonts w:ascii="Times New Roman" w:hAnsi="Times New Roman" w:eastAsia="바탕"/>
                      <w:sz w:val="18"/>
                    </w:rPr>
                    <w:t>Picture</w:t>
                  </w:r>
                </w:p>
              </w:tc>
              <w:tc>
                <w:tcPr>
                  <w:tcW w:type="dxa" w:w="2429"/>
                </w:tcPr>
                <w:p>
                  <w:r>
                    <w:rPr>
                      <w:rFonts w:ascii="Times New Roman" w:hAnsi="Times New Roman" w:eastAsia="바탕"/>
                      <w:sz w:val="18"/>
                    </w:rPr>
                    <w:t>Morpheme as drawn</w:t>
                  </w:r>
                </w:p>
              </w:tc>
              <w:tc>
                <w:tcPr>
                  <w:tcW w:type="dxa" w:w="2429"/>
                </w:tcPr>
                <w:p>
                  <w:r>
                    <w:rPr>
                      <w:rFonts w:ascii="Times New Roman" w:hAnsi="Times New Roman" w:eastAsia="바탕"/>
                      <w:sz w:val="18"/>
                    </w:rPr>
                    <w:t>As drawn plus a warning morpheme</w:t>
                  </w:r>
                </w:p>
              </w:tc>
              <w:tc>
                <w:tcPr>
                  <w:tcW w:type="dxa" w:w="2429"/>
                </w:tcPr>
                <w:p>
                  <w:r>
                    <w:rPr>
                      <w:rFonts w:ascii="Times New Roman" w:hAnsi="Times New Roman" w:eastAsia="바탕"/>
                      <w:sz w:val="18"/>
                    </w:rPr>
                    <w:t>Morpheme wrapped in the negation operator</w:t>
                  </w:r>
                </w:p>
              </w:tc>
            </w:tr>
          </w:tbl>
          <w:p/>
          <w:p>
            <w:pPr>
              <w:spacing w:after="120"/>
            </w:pPr>
          </w:p>
          <w:p>
            <w:pPr>
              <w:spacing w:after="80" w:line="276" w:lineRule="auto"/>
              <w:jc w:val="both"/>
            </w:pPr>
            <w:r>
              <w:rPr>
                <w:rFonts w:ascii="Times New Roman" w:hAnsi="Times New Roman" w:eastAsia="바탕"/>
                <w:sz w:val="20"/>
              </w:rPr>
              <w:t xml:space="preserve">The last row is SIGIL's part. An avoid verdict does not paint the picture red but wraps the picture itself in </w:t>
            </w:r>
            <w:r>
              <w:rPr>
                <w:rFonts w:ascii="Consolas" w:hAnsi="Consolas" w:eastAsia="Consolas"/>
                <w:sz w:val="19"/>
              </w:rPr>
              <w:t>\no{...}</w:t>
            </w:r>
            <w:r>
              <w:rPr>
                <w:rFonts w:ascii="Times New Roman" w:hAnsi="Times New Roman" w:eastAsia="바탕"/>
                <w:sz w:val="20"/>
              </w:rPr>
              <w:t xml:space="preserve"> and draws a slash across it (§2.2). Someone who sees no colour at all still sees the slash.</w:t>
            </w:r>
          </w:p>
          <w:p>
            <w:pPr>
              <w:spacing w:after="80" w:line="276" w:lineRule="auto"/>
              <w:jc w:val="both"/>
            </w:pPr>
            <w:r>
              <w:rPr>
                <w:rFonts w:ascii="Times New Roman" w:hAnsi="Times New Roman" w:eastAsia="바탕"/>
                <w:sz w:val="20"/>
              </w:rPr>
              <w:t>The same principle repeats in the nutrient bars. One fact is expressed five times over: as bar length, as colour, as a number, as a per-nutrient picture (🔥 🍬 🧂 🧈 🫒 💪 🌾 🍚), and as a spoken sentence. The speech does not read the value alone but appends a judging word, as in "That is high." Hearing a number and deciding for oneself whether it is large requires knowing the reference, and knowing the reference is precisely the ability this app has decided not to assume.</w:t>
            </w:r>
          </w:p>
          <w:p>
            <w:pPr>
              <w:spacing w:after="80" w:line="276" w:lineRule="auto"/>
              <w:jc w:val="both"/>
            </w:pPr>
            <w:r>
              <w:rPr>
                <w:rFonts w:ascii="Times New Roman" w:hAnsi="Times New Roman" w:eastAsia="바탕"/>
                <w:sz w:val="20"/>
              </w:rPr>
              <w:t>The line currently being read gains an outline. Where the audio has reached has to be visible as well as audible, so that someone who lost the thread can press that spot again.</w:t>
            </w:r>
          </w:p>
          <w:p>
            <w:pPr>
              <w:spacing w:before="120" w:after="20"/>
            </w:pPr>
            <w:r>
              <w:rPr>
                <w:rFonts w:ascii="Times New Roman" w:hAnsi="Times New Roman" w:eastAsia="바탕"/>
                <w:b/>
                <w:sz w:val="21"/>
              </w:rPr>
              <w:t>3.7.1 Whether the colours themselves can be read was measured separately</w:t>
            </w:r>
          </w:p>
          <w:p>
            <w:pPr>
              <w:spacing w:after="80" w:line="276" w:lineRule="auto"/>
              <w:jc w:val="both"/>
            </w:pPr>
            <w:r>
              <w:rPr>
                <w:rFonts w:ascii="Times New Roman" w:hAnsi="Times New Roman" w:eastAsia="바탕"/>
                <w:sz w:val="20"/>
              </w:rPr>
              <w:t>If everything so far concerns the layers that substitute for colour, whether the colour itself can be read is a separate question. In §5.7, E. A. Draffan, retired speech and language therapist and visiting accessibility researcher at Global Symbols and the University of Southampton, wrote that the WCAG 2.2 mobile criteria should be checked. The reason given was that AAC users frequently have visual difficulties as well and operate by scanning, which makes an audio button hard to reach. Working through the criteria, two items failed.</w:t>
            </w:r>
          </w:p>
          <w:p>
            <w:pPr>
              <w:spacing w:after="80" w:line="276" w:lineRule="auto"/>
              <w:jc w:val="both"/>
            </w:pPr>
            <w:r>
              <w:rPr>
                <w:rFonts w:ascii="Times New Roman" w:hAnsi="Times New Roman" w:eastAsia="바탕"/>
                <w:sz w:val="20"/>
              </w:rPr>
              <w:t>The first is contrast. All five verdict colours fell short. SC 1.4.3 of WCAG 2.2 requires 4.5:1 for body text, and these colours are not decoration but the colour of the verdict sentence itself. It is not that one of the five channels in Table 20 dims but that the sentence does not read.</w:t>
            </w:r>
          </w:p>
          <w:p>
            <w:pPr>
              <w:spacing w:after="80" w:line="276" w:lineRule="auto"/>
              <w:jc w:val="both"/>
            </w:pPr>
            <w:r>
              <w:rPr>
                <w:rFonts w:ascii="Times New Roman" w:hAnsi="Times New Roman" w:eastAsia="바탕"/>
                <w:sz w:val="20"/>
              </w:rPr>
              <w:t xml:space="preserve">[Table 21] Contrast of the verdict colours (on the off-white background </w:t>
            </w:r>
            <w:r>
              <w:rPr>
                <w:rFonts w:ascii="Consolas" w:hAnsi="Consolas" w:eastAsia="Consolas"/>
                <w:sz w:val="19"/>
              </w:rPr>
              <w:t>#F4F3EF</w:t>
            </w:r>
            <w:r>
              <w:rPr>
                <w:rFonts w:ascii="Times New Roman" w:hAnsi="Times New Roman" w:eastAsia="바탕"/>
                <w:sz w:val="20"/>
              </w:rPr>
              <w:t>, criterion 4.5:1)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43"/>
              <w:gridCol w:w="1943"/>
              <w:gridCol w:w="1943"/>
              <w:gridCol w:w="1943"/>
              <w:gridCol w:w="1943"/>
            </w:tblGrid>
            <w:tr>
              <w:tc>
                <w:tcPr>
                  <w:tcW w:type="dxa" w:w="1943"/>
                  <w:shd w:val="clear" w:fill="F2F2F2"/>
                </w:tcPr>
                <w:p>
                  <w:r>
                    <w:rPr>
                      <w:rFonts w:ascii="Times New Roman" w:hAnsi="Times New Roman" w:eastAsia="바탕"/>
                      <w:b/>
                      <w:sz w:val="18"/>
                    </w:rPr>
                    <w:t>Use</w:t>
                  </w:r>
                </w:p>
              </w:tc>
              <w:tc>
                <w:tcPr>
                  <w:tcW w:type="dxa" w:w="1943"/>
                  <w:shd w:val="clear" w:fill="F2F2F2"/>
                </w:tcPr>
                <w:p>
                  <w:r>
                    <w:rPr>
                      <w:rFonts w:ascii="Times New Roman" w:hAnsi="Times New Roman" w:eastAsia="바탕"/>
                      <w:b/>
                      <w:sz w:val="18"/>
                    </w:rPr>
                    <w:t>Before</w:t>
                  </w:r>
                </w:p>
              </w:tc>
              <w:tc>
                <w:tcPr>
                  <w:tcW w:type="dxa" w:w="1943"/>
                  <w:shd w:val="clear" w:fill="F2F2F2"/>
                </w:tcPr>
                <w:p>
                  <w:r>
                    <w:rPr>
                      <w:rFonts w:ascii="Times New Roman" w:hAnsi="Times New Roman" w:eastAsia="바탕"/>
                      <w:b/>
                      <w:sz w:val="18"/>
                    </w:rPr>
                    <w:t>Ratio</w:t>
                  </w:r>
                </w:p>
              </w:tc>
              <w:tc>
                <w:tcPr>
                  <w:tcW w:type="dxa" w:w="1943"/>
                  <w:shd w:val="clear" w:fill="F2F2F2"/>
                </w:tcPr>
                <w:p>
                  <w:r>
                    <w:rPr>
                      <w:rFonts w:ascii="Times New Roman" w:hAnsi="Times New Roman" w:eastAsia="바탕"/>
                      <w:b/>
                      <w:sz w:val="18"/>
                    </w:rPr>
                    <w:t>Now</w:t>
                  </w:r>
                </w:p>
              </w:tc>
              <w:tc>
                <w:tcPr>
                  <w:tcW w:type="dxa" w:w="1943"/>
                  <w:shd w:val="clear" w:fill="F2F2F2"/>
                </w:tcPr>
                <w:p>
                  <w:r>
                    <w:rPr>
                      <w:rFonts w:ascii="Times New Roman" w:hAnsi="Times New Roman" w:eastAsia="바탕"/>
                      <w:b/>
                      <w:sz w:val="18"/>
                    </w:rPr>
                    <w:t>Ratio</w:t>
                  </w:r>
                </w:p>
              </w:tc>
            </w:tr>
            <w:tr>
              <w:tc>
                <w:tcPr>
                  <w:tcW w:type="dxa" w:w="1943"/>
                </w:tcPr>
                <w:p>
                  <w:r>
                    <w:rPr>
                      <w:rFonts w:ascii="Times New Roman" w:hAnsi="Times New Roman" w:eastAsia="바탕"/>
                      <w:sz w:val="18"/>
                    </w:rPr>
                    <w:t>Safe</w:t>
                  </w:r>
                </w:p>
              </w:tc>
              <w:tc>
                <w:tcPr>
                  <w:tcW w:type="dxa" w:w="1943"/>
                </w:tcPr>
                <w:p>
                  <w:r>
                    <w:rPr>
                      <w:rFonts w:ascii="Consolas" w:hAnsi="Consolas" w:eastAsia="Consolas"/>
                      <w:sz w:val="17"/>
                    </w:rPr>
                    <w:t>#15A34A</w:t>
                  </w:r>
                </w:p>
              </w:tc>
              <w:tc>
                <w:tcPr>
                  <w:tcW w:type="dxa" w:w="1943"/>
                </w:tcPr>
                <w:p>
                  <w:r>
                    <w:rPr>
                      <w:rFonts w:ascii="Times New Roman" w:hAnsi="Times New Roman" w:eastAsia="바탕"/>
                      <w:sz w:val="18"/>
                    </w:rPr>
                    <w:t>2.97:1</w:t>
                  </w:r>
                </w:p>
              </w:tc>
              <w:tc>
                <w:tcPr>
                  <w:tcW w:type="dxa" w:w="1943"/>
                </w:tcPr>
                <w:p>
                  <w:r>
                    <w:rPr>
                      <w:rFonts w:ascii="Consolas" w:hAnsi="Consolas" w:eastAsia="Consolas"/>
                      <w:sz w:val="17"/>
                    </w:rPr>
                    <w:t>#0E7A38</w:t>
                  </w:r>
                </w:p>
              </w:tc>
              <w:tc>
                <w:tcPr>
                  <w:tcW w:type="dxa" w:w="1943"/>
                </w:tcPr>
                <w:p>
                  <w:r>
                    <w:rPr>
                      <w:rFonts w:ascii="Times New Roman" w:hAnsi="Times New Roman" w:eastAsia="바탕"/>
                      <w:sz w:val="18"/>
                    </w:rPr>
                    <w:t>4.90:1</w:t>
                  </w:r>
                </w:p>
              </w:tc>
            </w:tr>
            <w:tr>
              <w:tc>
                <w:tcPr>
                  <w:tcW w:type="dxa" w:w="1943"/>
                </w:tcPr>
                <w:p>
                  <w:r>
                    <w:rPr>
                      <w:rFonts w:ascii="Times New Roman" w:hAnsi="Times New Roman" w:eastAsia="바탕"/>
                      <w:sz w:val="18"/>
                    </w:rPr>
                    <w:t>Caution</w:t>
                  </w:r>
                </w:p>
              </w:tc>
              <w:tc>
                <w:tcPr>
                  <w:tcW w:type="dxa" w:w="1943"/>
                </w:tcPr>
                <w:p>
                  <w:r>
                    <w:rPr>
                      <w:rFonts w:ascii="Consolas" w:hAnsi="Consolas" w:eastAsia="Consolas"/>
                      <w:sz w:val="17"/>
                    </w:rPr>
                    <w:t>#DE8500</w:t>
                  </w:r>
                </w:p>
              </w:tc>
              <w:tc>
                <w:tcPr>
                  <w:tcW w:type="dxa" w:w="1943"/>
                </w:tcPr>
                <w:p>
                  <w:r>
                    <w:rPr>
                      <w:rFonts w:ascii="Times New Roman" w:hAnsi="Times New Roman" w:eastAsia="바탕"/>
                      <w:sz w:val="18"/>
                    </w:rPr>
                    <w:t>2.53:1</w:t>
                  </w:r>
                </w:p>
              </w:tc>
              <w:tc>
                <w:tcPr>
                  <w:tcW w:type="dxa" w:w="1943"/>
                </w:tcPr>
                <w:p>
                  <w:r>
                    <w:rPr>
                      <w:rFonts w:ascii="Consolas" w:hAnsi="Consolas" w:eastAsia="Consolas"/>
                      <w:sz w:val="17"/>
                    </w:rPr>
                    <w:t>#B45309</w:t>
                  </w:r>
                </w:p>
              </w:tc>
              <w:tc>
                <w:tcPr>
                  <w:tcW w:type="dxa" w:w="1943"/>
                </w:tcPr>
                <w:p>
                  <w:r>
                    <w:rPr>
                      <w:rFonts w:ascii="Times New Roman" w:hAnsi="Times New Roman" w:eastAsia="바탕"/>
                      <w:sz w:val="18"/>
                    </w:rPr>
                    <w:t>4.52:1</w:t>
                  </w:r>
                </w:p>
              </w:tc>
            </w:tr>
            <w:tr>
              <w:tc>
                <w:tcPr>
                  <w:tcW w:type="dxa" w:w="1943"/>
                </w:tcPr>
                <w:p>
                  <w:r>
                    <w:rPr>
                      <w:rFonts w:ascii="Times New Roman" w:hAnsi="Times New Roman" w:eastAsia="바탕"/>
                      <w:sz w:val="18"/>
                    </w:rPr>
                    <w:t>Avoid</w:t>
                  </w:r>
                </w:p>
              </w:tc>
              <w:tc>
                <w:tcPr>
                  <w:tcW w:type="dxa" w:w="1943"/>
                </w:tcPr>
                <w:p>
                  <w:r>
                    <w:rPr>
                      <w:rFonts w:ascii="Consolas" w:hAnsi="Consolas" w:eastAsia="Consolas"/>
                      <w:sz w:val="17"/>
                    </w:rPr>
                    <w:t>#DC2626</w:t>
                  </w:r>
                </w:p>
              </w:tc>
              <w:tc>
                <w:tcPr>
                  <w:tcW w:type="dxa" w:w="1943"/>
                </w:tcPr>
                <w:p>
                  <w:r>
                    <w:rPr>
                      <w:rFonts w:ascii="Times New Roman" w:hAnsi="Times New Roman" w:eastAsia="바탕"/>
                      <w:sz w:val="18"/>
                    </w:rPr>
                    <w:t>4.35:1</w:t>
                  </w:r>
                </w:p>
              </w:tc>
              <w:tc>
                <w:tcPr>
                  <w:tcW w:type="dxa" w:w="1943"/>
                </w:tcPr>
                <w:p>
                  <w:r>
                    <w:rPr>
                      <w:rFonts w:ascii="Consolas" w:hAnsi="Consolas" w:eastAsia="Consolas"/>
                      <w:sz w:val="17"/>
                    </w:rPr>
                    <w:t>#C81E1E</w:t>
                  </w:r>
                </w:p>
              </w:tc>
              <w:tc>
                <w:tcPr>
                  <w:tcW w:type="dxa" w:w="1943"/>
                </w:tcPr>
                <w:p>
                  <w:r>
                    <w:rPr>
                      <w:rFonts w:ascii="Times New Roman" w:hAnsi="Times New Roman" w:eastAsia="바탕"/>
                      <w:sz w:val="18"/>
                    </w:rPr>
                    <w:t>5.17:1</w:t>
                  </w:r>
                </w:p>
              </w:tc>
            </w:tr>
            <w:tr>
              <w:tc>
                <w:tcPr>
                  <w:tcW w:type="dxa" w:w="1943"/>
                </w:tcPr>
                <w:p>
                  <w:r>
                    <w:rPr>
                      <w:rFonts w:ascii="Times New Roman" w:hAnsi="Times New Roman" w:eastAsia="바탕"/>
                      <w:sz w:val="18"/>
                    </w:rPr>
                    <w:t>Accent</w:t>
                  </w:r>
                </w:p>
              </w:tc>
              <w:tc>
                <w:tcPr>
                  <w:tcW w:type="dxa" w:w="1943"/>
                </w:tcPr>
                <w:p>
                  <w:r>
                    <w:rPr>
                      <w:rFonts w:ascii="Consolas" w:hAnsi="Consolas" w:eastAsia="Consolas"/>
                      <w:sz w:val="17"/>
                    </w:rPr>
                    <w:t>#2F6BF6</w:t>
                  </w:r>
                </w:p>
              </w:tc>
              <w:tc>
                <w:tcPr>
                  <w:tcW w:type="dxa" w:w="1943"/>
                </w:tcPr>
                <w:p>
                  <w:r>
                    <w:rPr>
                      <w:rFonts w:ascii="Times New Roman" w:hAnsi="Times New Roman" w:eastAsia="바탕"/>
                      <w:sz w:val="18"/>
                    </w:rPr>
                    <w:t>4.15:1</w:t>
                  </w:r>
                </w:p>
              </w:tc>
              <w:tc>
                <w:tcPr>
                  <w:tcW w:type="dxa" w:w="1943"/>
                </w:tcPr>
                <w:p>
                  <w:r>
                    <w:rPr>
                      <w:rFonts w:ascii="Consolas" w:hAnsi="Consolas" w:eastAsia="Consolas"/>
                      <w:sz w:val="17"/>
                    </w:rPr>
                    <w:t>#1D4ED8</w:t>
                  </w:r>
                </w:p>
              </w:tc>
              <w:tc>
                <w:tcPr>
                  <w:tcW w:type="dxa" w:w="1943"/>
                </w:tcPr>
                <w:p>
                  <w:r>
                    <w:rPr>
                      <w:rFonts w:ascii="Times New Roman" w:hAnsi="Times New Roman" w:eastAsia="바탕"/>
                      <w:sz w:val="18"/>
                    </w:rPr>
                    <w:t>6.04:1</w:t>
                  </w:r>
                </w:p>
              </w:tc>
            </w:tr>
            <w:tr>
              <w:tc>
                <w:tcPr>
                  <w:tcW w:type="dxa" w:w="1943"/>
                </w:tcPr>
                <w:p>
                  <w:r>
                    <w:rPr>
                      <w:rFonts w:ascii="Times New Roman" w:hAnsi="Times New Roman" w:eastAsia="바탕"/>
                      <w:sz w:val="18"/>
                    </w:rPr>
                    <w:t>Secondary text</w:t>
                  </w:r>
                </w:p>
              </w:tc>
              <w:tc>
                <w:tcPr>
                  <w:tcW w:type="dxa" w:w="1943"/>
                </w:tcPr>
                <w:p>
                  <w:r>
                    <w:rPr>
                      <w:rFonts w:ascii="Consolas" w:hAnsi="Consolas" w:eastAsia="Consolas"/>
                      <w:sz w:val="17"/>
                    </w:rPr>
                    <w:t>#6B7280</w:t>
                  </w:r>
                </w:p>
              </w:tc>
              <w:tc>
                <w:tcPr>
                  <w:tcW w:type="dxa" w:w="1943"/>
                </w:tcPr>
                <w:p>
                  <w:r>
                    <w:rPr>
                      <w:rFonts w:ascii="Times New Roman" w:hAnsi="Times New Roman" w:eastAsia="바탕"/>
                      <w:sz w:val="18"/>
                    </w:rPr>
                    <w:t>4.35:1</w:t>
                  </w:r>
                </w:p>
              </w:tc>
              <w:tc>
                <w:tcPr>
                  <w:tcW w:type="dxa" w:w="1943"/>
                </w:tcPr>
                <w:p>
                  <w:r>
                    <w:rPr>
                      <w:rFonts w:ascii="Consolas" w:hAnsi="Consolas" w:eastAsia="Consolas"/>
                      <w:sz w:val="17"/>
                    </w:rPr>
                    <w:t>#55606E</w:t>
                  </w:r>
                </w:p>
              </w:tc>
              <w:tc>
                <w:tcPr>
                  <w:tcW w:type="dxa" w:w="1943"/>
                </w:tcPr>
                <w:p>
                  <w:r>
                    <w:rPr>
                      <w:rFonts w:ascii="Times New Roman" w:hAnsi="Times New Roman" w:eastAsia="바탕"/>
                      <w:sz w:val="18"/>
                    </w:rPr>
                    <w:t>5.76:1</w:t>
                  </w:r>
                </w:p>
              </w:tc>
            </w:tr>
          </w:tbl>
          <w:p/>
          <w:p>
            <w:pPr>
              <w:spacing w:after="120"/>
            </w:pPr>
          </w:p>
          <w:p>
            <w:pPr>
              <w:spacing w:after="80" w:line="276" w:lineRule="auto"/>
              <w:jc w:val="both"/>
            </w:pPr>
            <w:r>
              <w:rPr>
                <w:rFonts w:ascii="Times New Roman" w:hAnsi="Times New Roman" w:eastAsia="바탕"/>
                <w:sz w:val="20"/>
              </w:rPr>
              <w:t>All five were darkened by one step while the hue was kept. Green, amber and red have to be recognisable as such at a glance for the channels to remain distinct. The present values exceed 4.5:1 in all four combinations: on a white card, on the off-white background, on their own tinted band, and as white text on the colour itself. The lowest of the eighteen combinations is the caution colour on the off-white background at 4.52, a margin of 0.02 over the criterion. Lightening that colour by even one step would put it under, so the values in Table 21 are not a matter of taste but values taken at the boundary.</w:t>
            </w:r>
          </w:p>
          <w:p>
            <w:pPr>
              <w:spacing w:after="80" w:line="276" w:lineRule="auto"/>
              <w:jc w:val="both"/>
            </w:pPr>
            <w:r>
              <w:rPr>
                <w:rFonts w:ascii="Times New Roman" w:hAnsi="Times New Roman" w:eastAsia="바탕"/>
                <w:sz w:val="20"/>
              </w:rPr>
              <w:t>These are values the eye cannot hold, so they were locked with a test. The earlier values looked perfectly fine on screen, and that is in fact how they survived this long. The test measures more than contrast: it also checks that the three colours remain distinct in hue. Measuring contrast alone can be satisfied by collapsing everything to dark grey, which is the most common way of passing a test while losing what the test was for.</w:t>
            </w:r>
          </w:p>
          <w:p>
            <w:pPr>
              <w:spacing w:after="80" w:line="276" w:lineRule="auto"/>
              <w:jc w:val="both"/>
            </w:pPr>
            <w:r>
              <w:rPr>
                <w:rFonts w:ascii="Times New Roman" w:hAnsi="Times New Roman" w:eastAsia="바탕"/>
                <w:sz w:val="20"/>
              </w:rPr>
              <w:t>The second is target size. SC 2.5.8 requires a minimum of 24 pixels. The large controls were already 44 pixels, but secondary controls such as the read-again row and the row back to settings were between 16 and 20. A thin row to scan and tap is particularly bad in this app, because tapping that row is how someone who cannot read reads the screen. A 24-pixel floor was applied.</w:t>
            </w:r>
          </w:p>
          <w:p>
            <w:pPr>
              <w:spacing w:after="80" w:line="276" w:lineRule="auto"/>
              <w:jc w:val="both"/>
            </w:pPr>
            <w:r>
              <w:rPr>
                <w:rFonts w:ascii="Times New Roman" w:hAnsi="Times New Roman" w:eastAsia="바탕"/>
                <w:sz w:val="20"/>
              </w:rPr>
              <w:t>These four were measured again on the deployment. Thirteen screens (</w:t>
            </w:r>
            <w:r>
              <w:rPr>
                <w:rFonts w:ascii="Consolas" w:hAnsi="Consolas" w:eastAsia="Consolas"/>
                <w:sz w:val="19"/>
              </w:rPr>
              <w:t>/home</w:t>
            </w:r>
            <w:r>
              <w:rPr>
                <w:rFonts w:ascii="Times New Roman" w:hAnsi="Times New Roman" w:eastAsia="바탕"/>
                <w:sz w:val="20"/>
              </w:rPr>
              <w:t xml:space="preserve">, </w:t>
            </w:r>
            <w:r>
              <w:rPr>
                <w:rFonts w:ascii="Consolas" w:hAnsi="Consolas" w:eastAsia="Consolas"/>
                <w:sz w:val="19"/>
              </w:rPr>
              <w:t>/scan</w:t>
            </w:r>
            <w:r>
              <w:rPr>
                <w:rFonts w:ascii="Times New Roman" w:hAnsi="Times New Roman" w:eastAsia="바탕"/>
                <w:sz w:val="20"/>
              </w:rPr>
              <w:t xml:space="preserve">, </w:t>
            </w:r>
            <w:r>
              <w:rPr>
                <w:rFonts w:ascii="Consolas" w:hAnsi="Consolas" w:eastAsia="Consolas"/>
                <w:sz w:val="19"/>
              </w:rPr>
              <w:t>/nutrition</w:t>
            </w:r>
            <w:r>
              <w:rPr>
                <w:rFonts w:ascii="Times New Roman" w:hAnsi="Times New Roman" w:eastAsia="바탕"/>
                <w:sz w:val="20"/>
              </w:rPr>
              <w:t xml:space="preserve">, </w:t>
            </w:r>
            <w:r>
              <w:rPr>
                <w:rFonts w:ascii="Consolas" w:hAnsi="Consolas" w:eastAsia="Consolas"/>
                <w:sz w:val="19"/>
              </w:rPr>
              <w:t>/settings</w:t>
            </w:r>
            <w:r>
              <w:rPr>
                <w:rFonts w:ascii="Times New Roman" w:hAnsi="Times New Roman" w:eastAsia="바탕"/>
                <w:sz w:val="20"/>
              </w:rPr>
              <w:t xml:space="preserve">, </w:t>
            </w:r>
            <w:r>
              <w:rPr>
                <w:rFonts w:ascii="Consolas" w:hAnsi="Consolas" w:eastAsia="Consolas"/>
                <w:sz w:val="19"/>
              </w:rPr>
              <w:t>/profile</w:t>
            </w:r>
            <w:r>
              <w:rPr>
                <w:rFonts w:ascii="Times New Roman" w:hAnsi="Times New Roman" w:eastAsia="바탕"/>
                <w:sz w:val="20"/>
              </w:rPr>
              <w:t xml:space="preserve">, </w:t>
            </w:r>
            <w:r>
              <w:rPr>
                <w:rFonts w:ascii="Consolas" w:hAnsi="Consolas" w:eastAsia="Consolas"/>
                <w:sz w:val="19"/>
              </w:rPr>
              <w:t>/people</w:t>
            </w:r>
            <w:r>
              <w:rPr>
                <w:rFonts w:ascii="Times New Roman" w:hAnsi="Times New Roman" w:eastAsia="바탕"/>
                <w:sz w:val="20"/>
              </w:rPr>
              <w:t xml:space="preserve">, </w:t>
            </w:r>
            <w:r>
              <w:rPr>
                <w:rFonts w:ascii="Consolas" w:hAnsi="Consolas" w:eastAsia="Consolas"/>
                <w:sz w:val="19"/>
              </w:rPr>
              <w:t>/device</w:t>
            </w:r>
            <w:r>
              <w:rPr>
                <w:rFonts w:ascii="Times New Roman" w:hAnsi="Times New Roman" w:eastAsia="바탕"/>
                <w:sz w:val="20"/>
              </w:rPr>
              <w:t xml:space="preserve">, </w:t>
            </w:r>
            <w:r>
              <w:rPr>
                <w:rFonts w:ascii="Consolas" w:hAnsi="Consolas" w:eastAsia="Consolas"/>
                <w:sz w:val="19"/>
              </w:rPr>
              <w:t>/dose</w:t>
            </w:r>
            <w:r>
              <w:rPr>
                <w:rFonts w:ascii="Times New Roman" w:hAnsi="Times New Roman" w:eastAsia="바탕"/>
                <w:sz w:val="20"/>
              </w:rPr>
              <w:t xml:space="preserve">, </w:t>
            </w:r>
            <w:r>
              <w:rPr>
                <w:rFonts w:ascii="Consolas" w:hAnsi="Consolas" w:eastAsia="Consolas"/>
                <w:sz w:val="19"/>
              </w:rPr>
              <w:t>/history</w:t>
            </w:r>
            <w:r>
              <w:rPr>
                <w:rFonts w:ascii="Times New Roman" w:hAnsi="Times New Roman" w:eastAsia="바탕"/>
                <w:sz w:val="20"/>
              </w:rPr>
              <w:t xml:space="preserve">, </w:t>
            </w:r>
            <w:r>
              <w:rPr>
                <w:rFonts w:ascii="Consolas" w:hAnsi="Consolas" w:eastAsia="Consolas"/>
                <w:sz w:val="19"/>
              </w:rPr>
              <w:t>/text-size</w:t>
            </w:r>
            <w:r>
              <w:rPr>
                <w:rFonts w:ascii="Times New Roman" w:hAnsi="Times New Roman" w:eastAsia="바탕"/>
                <w:sz w:val="20"/>
              </w:rPr>
              <w:t xml:space="preserve">, </w:t>
            </w:r>
            <w:r>
              <w:rPr>
                <w:rFonts w:ascii="Consolas" w:hAnsi="Consolas" w:eastAsia="Consolas"/>
                <w:sz w:val="19"/>
              </w:rPr>
              <w:t>/login</w:t>
            </w:r>
            <w:r>
              <w:rPr>
                <w:rFonts w:ascii="Times New Roman" w:hAnsi="Times New Roman" w:eastAsia="바탕"/>
                <w:sz w:val="20"/>
              </w:rPr>
              <w:t xml:space="preserve">, </w:t>
            </w:r>
            <w:r>
              <w:rPr>
                <w:rFonts w:ascii="Consolas" w:hAnsi="Consolas" w:eastAsia="Consolas"/>
                <w:sz w:val="19"/>
              </w:rPr>
              <w:t>/camera</w:t>
            </w:r>
            <w:r>
              <w:rPr>
                <w:rFonts w:ascii="Times New Roman" w:hAnsi="Times New Roman" w:eastAsia="바탕"/>
                <w:sz w:val="20"/>
              </w:rPr>
              <w:t xml:space="preserve">, </w:t>
            </w:r>
            <w:r>
              <w:rPr>
                <w:rFonts w:ascii="Consolas" w:hAnsi="Consolas" w:eastAsia="Consolas"/>
                <w:sz w:val="19"/>
              </w:rPr>
              <w:t>/pair</w:t>
            </w:r>
            <w:r>
              <w:rPr>
                <w:rFonts w:ascii="Times New Roman" w:hAnsi="Times New Roman" w:eastAsia="바탕"/>
                <w:sz w:val="20"/>
              </w:rPr>
              <w:t>) were opened at 375 pixels wide and 178 controls counted. No unnamed controls, no horizontal scrolling, and one control below 24 pixels.</w:t>
            </w:r>
          </w:p>
          <w:p>
            <w:pPr>
              <w:spacing w:after="80" w:line="276" w:lineRule="auto"/>
              <w:jc w:val="both"/>
            </w:pPr>
            <w:r>
              <w:rPr>
                <w:rFonts w:ascii="Times New Roman" w:hAnsi="Times New Roman" w:eastAsia="바탕"/>
                <w:sz w:val="20"/>
              </w:rPr>
              <w:t xml:space="preserve">That the list changed once should be recorded. Nine screens were measured at first, </w:t>
            </w:r>
            <w:r>
              <w:rPr>
                <w:rFonts w:ascii="Consolas" w:hAnsi="Consolas" w:eastAsia="Consolas"/>
                <w:sz w:val="19"/>
              </w:rPr>
              <w:t>/onboarding</w:t>
            </w:r>
            <w:r>
              <w:rPr>
                <w:rFonts w:ascii="Times New Roman" w:hAnsi="Times New Roman" w:eastAsia="바탕"/>
                <w:sz w:val="20"/>
              </w:rPr>
              <w:t xml:space="preserve"> among them, and that address disappeared when the five guide cards were removed (§3.2). The sweep did not report this and was measuring a 404 page. The removed screen was taken out of the list and five screens built since were added, making thirteen.</w:t>
            </w:r>
          </w:p>
          <w:p>
            <w:pPr>
              <w:spacing w:after="80" w:line="276" w:lineRule="auto"/>
              <w:jc w:val="both"/>
            </w:pPr>
            <w:r>
              <w:rPr>
                <w:rFonts w:ascii="Times New Roman" w:hAnsi="Times New Roman" w:eastAsia="바탕"/>
                <w:sz w:val="20"/>
              </w:rPr>
              <w:t xml:space="preserve">One false positive from the sweep itself was fixed too. Two unnamed controls were reported on </w:t>
            </w:r>
            <w:r>
              <w:rPr>
                <w:rFonts w:ascii="Consolas" w:hAnsi="Consolas" w:eastAsia="Consolas"/>
                <w:sz w:val="19"/>
              </w:rPr>
              <w:t>/device</w:t>
            </w:r>
            <w:r>
              <w:rPr>
                <w:rFonts w:ascii="Times New Roman" w:hAnsi="Times New Roman" w:eastAsia="바탕"/>
                <w:sz w:val="20"/>
              </w:rPr>
              <w:t xml:space="preserve">, and both were links inside a collapsed </w:t>
            </w:r>
            <w:r>
              <w:rPr>
                <w:rFonts w:ascii="Consolas" w:hAnsi="Consolas" w:eastAsia="Consolas"/>
                <w:sz w:val="19"/>
              </w:rPr>
              <w:t>&lt;details&gt;</w:t>
            </w:r>
            <w:r>
              <w:rPr>
                <w:rFonts w:ascii="Times New Roman" w:hAnsi="Times New Roman" w:eastAsia="바탕"/>
                <w:sz w:val="20"/>
              </w:rPr>
              <w:t xml:space="preserve">. While collapsed, </w:t>
            </w:r>
            <w:r>
              <w:rPr>
                <w:rFonts w:ascii="Consolas" w:hAnsi="Consolas" w:eastAsia="Consolas"/>
                <w:sz w:val="19"/>
              </w:rPr>
              <w:t>innerText</w:t>
            </w:r>
            <w:r>
              <w:rPr>
                <w:rFonts w:ascii="Times New Roman" w:hAnsi="Times New Roman" w:eastAsia="바탕"/>
                <w:sz w:val="20"/>
              </w:rPr>
              <w:t xml:space="preserve"> is empty so they look unnamed, but they are links with text on them, and while collapsed they reach neither the screen nor assistive technology, so they were never something to measure. The sweep was changed to skip inside a collapsed </w:t>
            </w:r>
            <w:r>
              <w:rPr>
                <w:rFonts w:ascii="Consolas" w:hAnsi="Consolas" w:eastAsia="Consolas"/>
                <w:sz w:val="19"/>
              </w:rPr>
              <w:t>&lt;details&gt;</w:t>
            </w:r>
            <w:r>
              <w:rPr>
                <w:rFonts w:ascii="Times New Roman" w:hAnsi="Times New Roman" w:eastAsia="바탕"/>
                <w:sz w:val="20"/>
              </w:rPr>
              <w:t>. As has happened several times elsewhere in this document, a check whose subject is not verified manufactures a defect that is not there.</w:t>
            </w:r>
          </w:p>
          <w:p>
            <w:pPr>
              <w:spacing w:after="80" w:line="276" w:lineRule="auto"/>
              <w:jc w:val="both"/>
            </w:pPr>
            <w:r>
              <w:rPr>
                <w:rFonts w:ascii="Times New Roman" w:hAnsi="Times New Roman" w:eastAsia="바탕"/>
                <w:sz w:val="20"/>
              </w:rPr>
              <w:t>That one should be set down. The close button on the capture screen (</w:t>
            </w:r>
            <w:r>
              <w:rPr>
                <w:rFonts w:ascii="Consolas" w:hAnsi="Consolas" w:eastAsia="Consolas"/>
                <w:sz w:val="19"/>
              </w:rPr>
              <w:t>×</w:t>
            </w:r>
            <w:r>
              <w:rPr>
                <w:rFonts w:ascii="Times New Roman" w:hAnsi="Times New Roman" w:eastAsia="바탕"/>
                <w:sz w:val="20"/>
              </w:rPr>
              <w:t>) is 15×24. SC 2.5.8 allows a spacing exception: an undersized target conforms if a 24-pixel-diameter circle centred on it does not touch the circle of another target. The nearest other target to this button is 601 pixels away, so it conforms. It is recorded even so, because the paragraph above says "a minimum of 24 pixels was laid down" and that is not literally true. It was laid down, and one place remains an exception.</w:t>
            </w:r>
          </w:p>
          <w:p>
            <w:pPr>
              <w:spacing w:after="80" w:line="276" w:lineRule="auto"/>
              <w:jc w:val="both"/>
            </w:pPr>
            <w:r>
              <w:rPr>
                <w:rFonts w:ascii="Times New Roman" w:hAnsi="Times New Roman" w:eastAsia="바탕"/>
                <w:sz w:val="20"/>
              </w:rPr>
              <w:t xml:space="preserve">This measurement is kept as </w:t>
            </w:r>
            <w:r>
              <w:rPr>
                <w:rFonts w:ascii="Consolas" w:hAnsi="Consolas" w:eastAsia="Consolas"/>
                <w:sz w:val="19"/>
              </w:rPr>
              <w:t>tools/check_a11y.mjs</w:t>
            </w:r>
            <w:r>
              <w:rPr>
                <w:rFonts w:ascii="Times New Roman" w:hAnsi="Times New Roman" w:eastAsia="바탕"/>
                <w:sz w:val="20"/>
              </w:rPr>
              <w:t>, to be rerun when screens are added or controls change.</w:t>
            </w:r>
          </w:p>
          <w:p>
            <w:pPr>
              <w:spacing w:after="80" w:line="276" w:lineRule="auto"/>
              <w:jc w:val="both"/>
            </w:pPr>
            <w:r>
              <w:rPr>
                <w:rFonts w:ascii="Times New Roman" w:hAnsi="Times New Roman" w:eastAsia="바탕"/>
                <w:sz w:val="20"/>
              </w:rPr>
              <w:t>What was already correct should be recorded too. The path by which a scanning device reaches the audio (SC 2.1.1, keyboard operation), the absence of unnamed controls (SC 4.1.2), no horizontal scrolling at 375 pixels (SC 1.4.10) and no obscured focus (SC 2.4.11) were all confirmed to hold. These four are listed not to claim credit for passing but because stating how far we looked is what separates "passed" from "not checked".</w:t>
            </w:r>
          </w:p>
          <w:p>
            <w:pPr>
              <w:spacing w:after="80" w:line="276" w:lineRule="auto"/>
              <w:jc w:val="both"/>
            </w:pPr>
            <w:r>
              <w:rPr>
                <w:rFonts w:ascii="Times New Roman" w:hAnsi="Times New Roman" w:eastAsia="바탕"/>
                <w:sz w:val="20"/>
              </w:rPr>
              <w:t>The icons on screen are a matter for this section as well. Emoji were used at first and all of them were replaced with drawings of our own. Emoji are not drawn by us, so they look different on every device, and the same pill emoji reads as a different object on Android and on iOS. Their size and optical weight are not ours to set, and placed side by side they put a row of things drawn by different hands on one line.</w:t>
            </w:r>
          </w:p>
          <w:p>
            <w:pPr>
              <w:spacing w:after="80" w:line="276" w:lineRule="auto"/>
              <w:jc w:val="both"/>
            </w:pPr>
            <w:r>
              <w:rPr>
                <w:rFonts w:ascii="Times New Roman" w:hAnsi="Times New Roman" w:eastAsia="바탕"/>
                <w:sz w:val="20"/>
              </w:rPr>
              <w:t>What was settled in replacing them was the filled silhouette, and the grounds for that choice are the argument of this section. A filled circle of radius 29 is 2,629 pixels, while an outlined triangle in the same place is 1,127. Only that difference in mass, more than twofold, survives across a room and remains for someone who cannot tell the colours apart. The thin-line icons now common are the opposite case, because a line is the first thing to go as things get smaller. The device screen already uses the same grammar, so an app that follows it puts box and app in one language.</w:t>
            </w:r>
          </w:p>
          <w:p>
            <w:pPr>
              <w:spacing w:after="80" w:line="276" w:lineRule="auto"/>
              <w:jc w:val="both"/>
            </w:pPr>
            <w:r>
              <w:rPr>
                <w:rFonts w:ascii="Times New Roman" w:hAnsi="Times New Roman" w:eastAsia="바탕"/>
                <w:sz w:val="20"/>
              </w:rPr>
              <w:t xml:space="preserve">There are four rules for drawing. Coordinates are placed only on a 24 grid, </w:t>
            </w:r>
            <w:r>
              <w:rPr>
                <w:rFonts w:ascii="Consolas" w:hAnsi="Consolas" w:eastAsia="Consolas"/>
                <w:sz w:val="19"/>
              </w:rPr>
              <w:t>stroke</w:t>
            </w:r>
            <w:r>
              <w:rPr>
                <w:rFonts w:ascii="Times New Roman" w:hAnsi="Times New Roman" w:eastAsia="바탕"/>
                <w:sz w:val="20"/>
              </w:rPr>
              <w:t xml:space="preserve"> is not used, colour is </w:t>
            </w:r>
            <w:r>
              <w:rPr>
                <w:rFonts w:ascii="Consolas" w:hAnsi="Consolas" w:eastAsia="Consolas"/>
                <w:sz w:val="19"/>
              </w:rPr>
              <w:t>currentColor</w:t>
            </w:r>
            <w:r>
              <w:rPr>
                <w:rFonts w:ascii="Times New Roman" w:hAnsi="Times New Roman" w:eastAsia="바탕"/>
                <w:sz w:val="20"/>
              </w:rPr>
              <w:t xml:space="preserve"> alone, and holes are cut with </w:t>
            </w:r>
            <w:r>
              <w:rPr>
                <w:rFonts w:ascii="Consolas" w:hAnsi="Consolas" w:eastAsia="Consolas"/>
                <w:sz w:val="19"/>
              </w:rPr>
              <w:t>evenodd</w:t>
            </w:r>
            <w:r>
              <w:rPr>
                <w:rFonts w:ascii="Times New Roman" w:hAnsi="Times New Roman" w:eastAsia="바탕"/>
                <w:sz w:val="20"/>
              </w:rPr>
              <w:t>. The second and third join up with other decisions in this app. In an app that changes text size across five steps, wobble in line weight is actually visible, and a colour baked into each drawing leaves the drawings in daylight when the palette goes dark.</w:t>
            </w:r>
          </w:p>
          <w:p>
            <w:pPr>
              <w:spacing w:after="80" w:line="276" w:lineRule="auto"/>
              <w:jc w:val="both"/>
            </w:pPr>
            <w:r>
              <w:rPr>
                <w:rFonts w:ascii="Times New Roman" w:hAnsi="Times New Roman" w:eastAsia="바탕"/>
                <w:sz w:val="20"/>
              </w:rPr>
              <w:t>---</w:t>
            </w:r>
          </w:p>
          <w:p>
            <w:pPr>
              <w:spacing w:before="180" w:after="40"/>
            </w:pPr>
            <w:r>
              <w:rPr>
                <w:rFonts w:ascii="Times New Roman" w:hAnsi="Times New Roman" w:eastAsia="바탕"/>
                <w:b/>
                <w:sz w:val="23"/>
              </w:rPr>
              <w:t>3.8 Checking that it was understood</w:t>
            </w:r>
          </w:p>
          <w:p>
            <w:pPr>
              <w:spacing w:after="80" w:line="276" w:lineRule="auto"/>
              <w:jc w:val="both"/>
            </w:pPr>
            <w:r>
              <w:rPr>
                <w:rFonts w:ascii="Times New Roman" w:hAnsi="Times New Roman" w:eastAsia="바탕"/>
                <w:sz w:val="20"/>
              </w:rPr>
              <w:t>A verdict screen having appeared does not mean the delivery is finished. This section exists because of one sentence in the survey, so it is carried over rather than summarised. Answering "could a patient who cannot read take their medicine correctly, alone, with only these screens", Foued Maaoui, Researcher at the Pasteur Institute of Tunis, wrote:</w:t>
            </w:r>
          </w:p>
          <w:p>
            <w:pPr>
              <w:spacing w:after="40" w:line="276" w:lineRule="auto"/>
              <w:ind w:left="403"/>
            </w:pPr>
            <w:r>
              <w:rPr>
                <w:rFonts w:ascii="Times New Roman" w:hAnsi="Times New Roman" w:eastAsia="바탕"/>
                <w:i/>
                <w:color w:val="606068"/>
                <w:sz w:val="19"/>
              </w:rPr>
              <w:t>"The system lacks a teach-back or confirmation mechanism that would allow patients to verify that they have correctly understood the instructions. From a patient safety perspective, the absence of such a feedback loop represents a significant risk, particularly for individuals with limited literacy."</w:t>
            </w:r>
          </w:p>
          <w:p>
            <w:pPr>
              <w:spacing w:after="180" w:line="276" w:lineRule="auto"/>
              <w:ind w:left="403"/>
            </w:pPr>
            <w:r>
              <w:rPr>
                <w:rFonts w:ascii="Times New Roman" w:hAnsi="Times New Roman" w:eastAsia="바탕"/>
                <w:i w:val="0"/>
                <w:color w:val="606068"/>
                <w:sz w:val="19"/>
              </w:rPr>
              <w:t>(Foued Maaoui, Researcher, Pasteur Institute of Tunis)</w:t>
            </w:r>
          </w:p>
          <w:p>
            <w:pPr>
              <w:spacing w:after="80" w:line="276" w:lineRule="auto"/>
              <w:jc w:val="both"/>
            </w:pPr>
            <w:r>
              <w:rPr>
                <w:rFonts w:ascii="Times New Roman" w:hAnsi="Times New Roman" w:eastAsia="바탕"/>
                <w:sz w:val="20"/>
              </w:rPr>
              <w:t>However clear the screen, without a procedure for confirming that the person who saw it understood it there is no returning signal. The checking step in this section was built on receiving that answer, and it is the one case where the survey changed the design by adding a whole screen.</w:t>
            </w:r>
          </w:p>
          <w:p>
            <w:pPr>
              <w:spacing w:after="80" w:line="276" w:lineRule="auto"/>
              <w:jc w:val="both"/>
            </w:pPr>
            <w:r>
              <w:rPr>
                <w:rFonts w:ascii="Times New Roman" w:hAnsi="Times New Roman" w:eastAsia="바탕"/>
                <w:sz w:val="20"/>
              </w:rPr>
              <w:t>Teach-back as used in clinical practice runs like this. When the explanation is finished, the clinician asks the patient to say how they will take the medicine at home, and re-explains whatever is missing from the answer. The premise is that nodding is not evidence of understanding. The systematic review cited in §5.7 found positive results in 19 of 20 studies of this procedure.</w:t>
            </w:r>
          </w:p>
          <w:p>
            <w:pPr>
              <w:spacing w:after="80" w:line="276" w:lineRule="auto"/>
              <w:jc w:val="both"/>
            </w:pPr>
            <w:r>
              <w:rPr>
                <w:rFonts w:ascii="Times New Roman" w:hAnsi="Times New Roman" w:eastAsia="바탕"/>
                <w:sz w:val="20"/>
              </w:rPr>
              <w:t>The procedure cannot be carried across to our users as it stands. They cannot read, and the microphone is closed off entirely (§4.6). Speaking back would require speech recognition, and that is a permission we chose not to open. So instead of speaking back, the user points back with pictures. The question goes out as sound and the answer is a picture that gets tapped. The pictures to tap are not drawn afresh; they are the morphemes of §2.2.</w:t>
            </w:r>
          </w:p>
          <w:p>
            <w:pPr>
              <w:spacing w:after="80" w:line="276" w:lineRule="auto"/>
              <w:jc w:val="both"/>
            </w:pPr>
            <w:r>
              <w:rPr>
                <w:rFonts w:ascii="Times New Roman" w:hAnsi="Times New Roman" w:eastAsia="바탕"/>
                <w:sz w:val="20"/>
              </w:rPr>
              <w:t xml:space="preserve">This is where the reason for using morphemes rather than a line of DSL as the answer set becomes visible. </w:t>
            </w:r>
            <w:r>
              <w:rPr>
                <w:rFonts w:ascii="Consolas" w:hAnsi="Consolas" w:eastAsia="Consolas"/>
                <w:sz w:val="19"/>
              </w:rPr>
              <w:t>\qty_two</w:t>
            </w:r>
            <w:r>
              <w:rPr>
                <w:rFonts w:ascii="Times New Roman" w:hAnsi="Times New Roman" w:eastAsia="바탕"/>
                <w:sz w:val="20"/>
              </w:rPr>
              <w:t xml:space="preserve"> is "two" without saying two of what. It is the same reason the grammar of §2.2 forbids a modifier standing alone, and what is needed in this position is not a sentence but a single picture to point at.</w:t>
            </w:r>
          </w:p>
          <w:p>
            <w:pPr>
              <w:spacing w:after="80" w:line="276" w:lineRule="auto"/>
              <w:jc w:val="both"/>
            </w:pPr>
            <w:r>
              <w:rPr>
                <w:rFonts w:ascii="Times New Roman" w:hAnsi="Times New Roman" w:eastAsia="바탕"/>
                <w:sz w:val="20"/>
              </w:rPr>
              <w:t>[Table 22] What the check asks (it asks only what the prescription said)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43"/>
              <w:gridCol w:w="1943"/>
              <w:gridCol w:w="1943"/>
              <w:gridCol w:w="1943"/>
              <w:gridCol w:w="1943"/>
            </w:tblGrid>
            <w:tr>
              <w:tc>
                <w:tcPr>
                  <w:tcW w:type="dxa" w:w="1943"/>
                  <w:shd w:val="clear" w:fill="F2F2F2"/>
                </w:tcPr>
                <w:p>
                  <w:r>
                    <w:rPr>
                      <w:rFonts w:ascii="Times New Roman" w:hAnsi="Times New Roman" w:eastAsia="바탕"/>
                      <w:b/>
                      <w:sz w:val="18"/>
                    </w:rPr>
                    <w:t>Order</w:t>
                  </w:r>
                </w:p>
              </w:tc>
              <w:tc>
                <w:tcPr>
                  <w:tcW w:type="dxa" w:w="1943"/>
                  <w:shd w:val="clear" w:fill="F2F2F2"/>
                </w:tcPr>
                <w:p>
                  <w:r>
                    <w:rPr>
                      <w:rFonts w:ascii="Times New Roman" w:hAnsi="Times New Roman" w:eastAsia="바탕"/>
                      <w:b/>
                      <w:sz w:val="18"/>
                    </w:rPr>
                    <w:t>What is asked</w:t>
                  </w:r>
                </w:p>
              </w:tc>
              <w:tc>
                <w:tcPr>
                  <w:tcW w:type="dxa" w:w="1943"/>
                  <w:shd w:val="clear" w:fill="F2F2F2"/>
                </w:tcPr>
                <w:p>
                  <w:r>
                    <w:rPr>
                      <w:rFonts w:ascii="Times New Roman" w:hAnsi="Times New Roman" w:eastAsia="바탕"/>
                      <w:b/>
                      <w:sz w:val="18"/>
                    </w:rPr>
                    <w:t>Spoken question</w:t>
                  </w:r>
                </w:p>
              </w:tc>
              <w:tc>
                <w:tcPr>
                  <w:tcW w:type="dxa" w:w="1943"/>
                  <w:shd w:val="clear" w:fill="F2F2F2"/>
                </w:tcPr>
                <w:p>
                  <w:r>
                    <w:rPr>
                      <w:rFonts w:ascii="Times New Roman" w:hAnsi="Times New Roman" w:eastAsia="바탕"/>
                      <w:b/>
                      <w:sz w:val="18"/>
                    </w:rPr>
                    <w:t>Answer set</w:t>
                  </w:r>
                </w:p>
              </w:tc>
              <w:tc>
                <w:tcPr>
                  <w:tcW w:type="dxa" w:w="1943"/>
                  <w:shd w:val="clear" w:fill="F2F2F2"/>
                </w:tcPr>
                <w:p>
                  <w:r>
                    <w:rPr>
                      <w:rFonts w:ascii="Times New Roman" w:hAnsi="Times New Roman" w:eastAsia="바탕"/>
                      <w:b/>
                      <w:sz w:val="18"/>
                    </w:rPr>
                    <w:t>When it is not asked</w:t>
                  </w:r>
                </w:p>
              </w:tc>
            </w:tr>
            <w:tr>
              <w:tc>
                <w:tcPr>
                  <w:tcW w:type="dxa" w:w="1943"/>
                </w:tcPr>
                <w:p>
                  <w:r>
                    <w:rPr>
                      <w:rFonts w:ascii="Times New Roman" w:hAnsi="Times New Roman" w:eastAsia="바탕"/>
                      <w:sz w:val="18"/>
                    </w:rPr>
                    <w:t>1</w:t>
                  </w:r>
                </w:p>
              </w:tc>
              <w:tc>
                <w:tcPr>
                  <w:tcW w:type="dxa" w:w="1943"/>
                </w:tcPr>
                <w:p>
                  <w:r>
                    <w:rPr>
                      <w:rFonts w:ascii="Times New Roman" w:hAnsi="Times New Roman" w:eastAsia="바탕"/>
                      <w:sz w:val="18"/>
                    </w:rPr>
                    <w:t>How many at a time</w:t>
                  </w:r>
                </w:p>
              </w:tc>
              <w:tc>
                <w:tcPr>
                  <w:tcW w:type="dxa" w:w="1943"/>
                </w:tcPr>
                <w:p>
                  <w:r>
                    <w:rPr>
                      <w:rFonts w:ascii="Times New Roman" w:hAnsi="Times New Roman" w:eastAsia="바탕"/>
                      <w:sz w:val="18"/>
                    </w:rPr>
                    <w:t>How many do you take at a time?</w:t>
                  </w:r>
                </w:p>
              </w:tc>
              <w:tc>
                <w:tcPr>
                  <w:tcW w:type="dxa" w:w="1943"/>
                </w:tcPr>
                <w:p>
                  <w:r>
                    <w:rPr>
                      <w:rFonts w:ascii="Times New Roman" w:hAnsi="Times New Roman" w:eastAsia="바탕"/>
                      <w:sz w:val="18"/>
                    </w:rPr>
                    <w:t>three count morphemes</w:t>
                  </w:r>
                </w:p>
              </w:tc>
              <w:tc>
                <w:tcPr>
                  <w:tcW w:type="dxa" w:w="1943"/>
                </w:tcPr>
                <w:p>
                  <w:r>
                    <w:rPr>
                      <w:rFonts w:ascii="Times New Roman" w:hAnsi="Times New Roman" w:eastAsia="바탕"/>
                      <w:sz w:val="18"/>
                    </w:rPr>
                    <w:t>when the prescription carries no per-intake count</w:t>
                  </w:r>
                </w:p>
              </w:tc>
            </w:tr>
            <w:tr>
              <w:tc>
                <w:tcPr>
                  <w:tcW w:type="dxa" w:w="1943"/>
                </w:tcPr>
                <w:p>
                  <w:r>
                    <w:rPr>
                      <w:rFonts w:ascii="Times New Roman" w:hAnsi="Times New Roman" w:eastAsia="바탕"/>
                      <w:sz w:val="18"/>
                    </w:rPr>
                    <w:t>2</w:t>
                  </w:r>
                </w:p>
              </w:tc>
              <w:tc>
                <w:tcPr>
                  <w:tcW w:type="dxa" w:w="1943"/>
                </w:tcPr>
                <w:p>
                  <w:r>
                    <w:rPr>
                      <w:rFonts w:ascii="Times New Roman" w:hAnsi="Times New Roman" w:eastAsia="바탕"/>
                      <w:sz w:val="18"/>
                    </w:rPr>
                    <w:t>When</w:t>
                  </w:r>
                </w:p>
              </w:tc>
              <w:tc>
                <w:tcPr>
                  <w:tcW w:type="dxa" w:w="1943"/>
                </w:tcPr>
                <w:p>
                  <w:r>
                    <w:rPr>
                      <w:rFonts w:ascii="Times New Roman" w:hAnsi="Times New Roman" w:eastAsia="바탕"/>
                      <w:sz w:val="18"/>
                    </w:rPr>
                    <w:t>When do you take it?</w:t>
                  </w:r>
                </w:p>
              </w:tc>
              <w:tc>
                <w:tcPr>
                  <w:tcW w:type="dxa" w:w="1943"/>
                </w:tcPr>
                <w:p>
                  <w:r>
                    <w:rPr>
                      <w:rFonts w:ascii="Times New Roman" w:hAnsi="Times New Roman" w:eastAsia="바탕"/>
                      <w:sz w:val="18"/>
                    </w:rPr>
                    <w:t>three time morphemes</w:t>
                  </w:r>
                </w:p>
              </w:tc>
              <w:tc>
                <w:tcPr>
                  <w:tcW w:type="dxa" w:w="1943"/>
                </w:tcPr>
                <w:p>
                  <w:r>
                    <w:rPr>
                      <w:rFonts w:ascii="Times New Roman" w:hAnsi="Times New Roman" w:eastAsia="바탕"/>
                      <w:sz w:val="18"/>
                    </w:rPr>
                    <w:t>when the times absent from the prescription cannot fill two slots</w:t>
                  </w:r>
                </w:p>
              </w:tc>
            </w:tr>
            <w:tr>
              <w:tc>
                <w:tcPr>
                  <w:tcW w:type="dxa" w:w="1943"/>
                </w:tcPr>
                <w:p>
                  <w:r>
                    <w:rPr>
                      <w:rFonts w:ascii="Times New Roman" w:hAnsi="Times New Roman" w:eastAsia="바탕"/>
                      <w:sz w:val="18"/>
                    </w:rPr>
                    <w:t>3</w:t>
                  </w:r>
                </w:p>
              </w:tc>
              <w:tc>
                <w:tcPr>
                  <w:tcW w:type="dxa" w:w="1943"/>
                </w:tcPr>
                <w:p>
                  <w:r>
                    <w:rPr>
                      <w:rFonts w:ascii="Times New Roman" w:hAnsi="Times New Roman" w:eastAsia="바탕"/>
                      <w:sz w:val="18"/>
                    </w:rPr>
                    <w:t>With food or not</w:t>
                  </w:r>
                </w:p>
              </w:tc>
              <w:tc>
                <w:tcPr>
                  <w:tcW w:type="dxa" w:w="1943"/>
                </w:tcPr>
                <w:p>
                  <w:r>
                    <w:rPr>
                      <w:rFonts w:ascii="Times New Roman" w:hAnsi="Times New Roman" w:eastAsia="바탕"/>
                      <w:sz w:val="18"/>
                    </w:rPr>
                    <w:t>Do you take it with food?</w:t>
                  </w:r>
                </w:p>
              </w:tc>
              <w:tc>
                <w:tcPr>
                  <w:tcW w:type="dxa" w:w="1943"/>
                </w:tcPr>
                <w:p>
                  <w:r>
                    <w:rPr>
                      <w:rFonts w:ascii="Times New Roman" w:hAnsi="Times New Roman" w:eastAsia="바탕"/>
                      <w:sz w:val="18"/>
                    </w:rPr>
                    <w:t>bowl · empty bowl</w:t>
                  </w:r>
                </w:p>
              </w:tc>
              <w:tc>
                <w:tcPr>
                  <w:tcW w:type="dxa" w:w="1943"/>
                </w:tcPr>
                <w:p>
                  <w:r>
                    <w:rPr>
                      <w:rFonts w:ascii="Times New Roman" w:hAnsi="Times New Roman" w:eastAsia="바탕"/>
                      <w:sz w:val="18"/>
                    </w:rPr>
                    <w:t>when the prescription does not state a meal context</w:t>
                  </w:r>
                </w:p>
              </w:tc>
            </w:tr>
          </w:tbl>
          <w:p/>
          <w:p>
            <w:pPr>
              <w:spacing w:after="120"/>
            </w:pPr>
          </w:p>
          <w:p>
            <w:pPr>
              <w:spacing w:after="80" w:line="276" w:lineRule="auto"/>
              <w:jc w:val="both"/>
            </w:pPr>
            <w:r>
              <w:rPr>
                <w:rFonts w:ascii="Times New Roman" w:hAnsi="Times New Roman" w:eastAsia="바탕"/>
                <w:sz w:val="20"/>
              </w:rPr>
              <w:t>Count was put first. Of the 155 dispensing errors found by pharmacists in Table 4, 28.4% were dose errors, and Professor Atif Usman's remark in §5.7 that the dose per intake and the times per day are not distinguished points at the same place. At most two of the three are asked rather than all three. A check that drags on becomes another step in itself, and steps are what this app set out to remove.</w:t>
            </w:r>
          </w:p>
          <w:p>
            <w:pPr>
              <w:spacing w:after="80" w:line="276" w:lineRule="auto"/>
              <w:jc w:val="both"/>
            </w:pPr>
            <w:r>
              <w:rPr>
                <w:rFonts w:ascii="Times New Roman" w:hAnsi="Times New Roman" w:eastAsia="바탕"/>
                <w:sz w:val="20"/>
              </w:rPr>
              <w:t>There are three things we did not concede in the design.</w:t>
            </w:r>
          </w:p>
          <w:p>
            <w:pPr>
              <w:spacing w:after="80" w:line="276" w:lineRule="auto"/>
              <w:jc w:val="both"/>
            </w:pPr>
            <w:r>
              <w:rPr>
                <w:rFonts w:ascii="Times New Roman" w:hAnsi="Times New Roman" w:eastAsia="바탕"/>
                <w:sz w:val="20"/>
              </w:rPr>
              <w:t>First, it does not block. A wrong answer moves on, the check can be skipped, and the medicine information stays on the screen below throughout. An app that withholds information until a check is passed is an app that stops people taking their medicine. This is a check, not a test.</w:t>
            </w:r>
          </w:p>
          <w:p>
            <w:pPr>
              <w:spacing w:after="80" w:line="276" w:lineRule="auto"/>
              <w:jc w:val="both"/>
            </w:pPr>
            <w:r>
              <w:rPr>
                <w:rFonts w:ascii="Times New Roman" w:hAnsi="Times New Roman" w:eastAsia="바탕"/>
                <w:sz w:val="20"/>
              </w:rPr>
              <w:t>Second, it asks only what the prescription said. Asking about something not written there would require us to invent an answer, and we would then be teaching an invented answer as correct. Asking about a meal context only when the prescription mentions one is that rule.</w:t>
            </w:r>
          </w:p>
          <w:p>
            <w:pPr>
              <w:spacing w:after="80" w:line="276" w:lineRule="auto"/>
              <w:jc w:val="both"/>
            </w:pPr>
            <w:r>
              <w:rPr>
                <w:rFonts w:ascii="Times New Roman" w:hAnsi="Times New Roman" w:eastAsia="바탕"/>
                <w:sz w:val="20"/>
              </w:rPr>
              <w:t xml:space="preserve">Third, when the answer is wrong it says the right thing again on the spot. The correct picture is lit and read aloud once more, using </w:t>
            </w:r>
            <w:r>
              <w:rPr>
                <w:rFonts w:ascii="Times New Roman" w:hAnsi="Times New Roman" w:eastAsia="바탕"/>
                <w:b/>
                <w:sz w:val="20"/>
              </w:rPr>
              <w:t>the same sentence</w:t>
            </w:r>
            <w:r>
              <w:rPr>
                <w:rFonts w:ascii="Times New Roman" w:hAnsi="Times New Roman" w:eastAsia="바탕"/>
                <w:sz w:val="20"/>
              </w:rPr>
              <w:t xml:space="preserve"> as when the answer was right. Whichever way the user pointed, the last thing they hear has to be the correct instruction. The point of the check is not a score but a second chance.</w:t>
            </w:r>
          </w:p>
          <w:p>
            <w:pPr>
              <w:spacing w:after="80" w:line="276" w:lineRule="auto"/>
              <w:jc w:val="both"/>
            </w:pPr>
            <w:r>
              <w:rPr>
                <w:rFonts w:ascii="Times New Roman" w:hAnsi="Times New Roman" w:eastAsia="바탕"/>
                <w:sz w:val="20"/>
              </w:rPr>
              <w:t>What we decided not to ask should be recorded too. The distractors for the time question have to be times absent from that prescription. Offering an actual dosing time as a distractor would mean telling someone who pointed correctly that they were wrong. For a medicine taken three times a day only one time remains, so the answer set would be two, and a fifty-fifty guess is not a check. It is a question that fails to separate those who understood from those who did not while leaving behind the fact that a question was asked, so it is not asked at all. A medicine taken three times a day already has count and meal context worth asking about.</w:t>
            </w:r>
          </w:p>
          <w:p>
            <w:pPr>
              <w:spacing w:after="80" w:line="276" w:lineRule="auto"/>
              <w:jc w:val="both"/>
            </w:pPr>
            <w:r>
              <w:rPr>
                <w:rFonts w:ascii="Times New Roman" w:hAnsi="Times New Roman" w:eastAsia="바탕"/>
                <w:sz w:val="20"/>
              </w:rPr>
              <w:t>The answer order is shuffled, but always the same way. If the answer moves around each time it is seen, someone who remembered the position they tapped the first time is lost the second. What is needed here is not randomness but only that the correct answer is not always in the first slot, so the shuffle is derived from the item identifier.</w:t>
            </w:r>
          </w:p>
          <w:p>
            <w:pPr>
              <w:spacing w:after="80" w:line="276" w:lineRule="auto"/>
              <w:jc w:val="both"/>
            </w:pPr>
            <w:r>
              <w:rPr>
                <w:rFonts w:ascii="Times New Roman" w:hAnsi="Times New Roman" w:eastAsia="바탕"/>
                <w:sz w:val="20"/>
              </w:rPr>
              <w:t>This step was built after the survey in §5.7. It has not been verified with people, and whether pointing at pictures produces the same confirming effect as speaking back is an item for the field evaluation in §5.10.</w:t>
            </w:r>
          </w:p>
          <w:p>
            <w:pPr>
              <w:spacing w:before="180" w:after="40"/>
            </w:pPr>
            <w:r>
              <w:rPr>
                <w:rFonts w:ascii="Times New Roman" w:hAnsi="Times New Roman" w:eastAsia="바탕"/>
                <w:b/>
                <w:sz w:val="23"/>
              </w:rPr>
              <w:t>3.9 Medication routine and the last four weeks</w:t>
            </w:r>
          </w:p>
          <w:p>
            <w:pPr>
              <w:spacing w:after="80" w:line="276" w:lineRule="auto"/>
              <w:jc w:val="both"/>
            </w:pPr>
            <w:r>
              <w:rPr>
                <w:rFonts w:ascii="Times New Roman" w:hAnsi="Times New Roman" w:eastAsia="바탕"/>
                <w:sz w:val="20"/>
              </w:rPr>
              <w:t>The eight preceding sections dealt with a single verdict. Photograph, look, close. What the widened target of §1.13 needs, though, is not that single verdict. Unless it is recorded whether last night's dose was taken, whether weekends are the ones that get missed, and when the missing began, no verdict however good will hold a routine together.</w:t>
            </w:r>
          </w:p>
          <w:p>
            <w:pPr>
              <w:spacing w:after="80" w:line="276" w:lineRule="auto"/>
              <w:jc w:val="both"/>
            </w:pPr>
            <w:r>
              <w:rPr>
                <w:rFonts w:ascii="Times New Roman" w:hAnsi="Times New Roman" w:eastAsia="바탕"/>
                <w:sz w:val="20"/>
              </w:rPr>
              <w:t>This app leaves a record with every scan: what was eaten, what it was found to contain at the time, and, where a box has been paired, whether the medicine was taken or missed. The questions that record can answer are the ones actually asked in a consulting room. What did you eat on the day the rash appeared? When did you start missing doses? Human memory does not answer these, and less so for someone who cannot write things down. Yet the only places to look back at that record were four recent lines on the home screen and today's running total on the nutrition screen. It was data piled up and read by no one.</w:t>
            </w:r>
          </w:p>
          <w:p>
            <w:pPr>
              <w:spacing w:after="80" w:line="276" w:lineRule="auto"/>
              <w:jc w:val="both"/>
            </w:pPr>
            <w:r>
              <w:rPr>
                <w:rFonts w:ascii="Times New Roman" w:hAnsi="Times New Roman" w:eastAsia="바탕"/>
                <w:sz w:val="20"/>
              </w:rPr>
              <w:t>The screen has three parts from top to bottom.</w:t>
            </w:r>
          </w:p>
          <w:p>
            <w:pPr>
              <w:spacing w:after="80" w:line="276" w:lineRule="auto"/>
              <w:jc w:val="both"/>
            </w:pPr>
            <w:r>
              <w:rPr>
                <w:rFonts w:ascii="Times New Roman" w:hAnsi="Times New Roman" w:eastAsia="바탕"/>
                <w:sz w:val="20"/>
              </w:rPr>
              <w:t>[Table 23] The parts of the past-days screen and why each sits where it does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Order</w:t>
                  </w:r>
                </w:p>
              </w:tc>
              <w:tc>
                <w:tcPr>
                  <w:tcW w:type="dxa" w:w="3238"/>
                  <w:shd w:val="clear" w:fill="F2F2F2"/>
                </w:tcPr>
                <w:p>
                  <w:r>
                    <w:rPr>
                      <w:rFonts w:ascii="Times New Roman" w:hAnsi="Times New Roman" w:eastAsia="바탕"/>
                      <w:b/>
                      <w:sz w:val="18"/>
                    </w:rPr>
                    <w:t>What is there</w:t>
                  </w:r>
                </w:p>
              </w:tc>
              <w:tc>
                <w:tcPr>
                  <w:tcW w:type="dxa" w:w="3238"/>
                  <w:shd w:val="clear" w:fill="F2F2F2"/>
                </w:tcPr>
                <w:p>
                  <w:r>
                    <w:rPr>
                      <w:rFonts w:ascii="Times New Roman" w:hAnsi="Times New Roman" w:eastAsia="바탕"/>
                      <w:b/>
                      <w:sz w:val="18"/>
                    </w:rPr>
                    <w:t>Why here</w:t>
                  </w:r>
                </w:p>
              </w:tc>
            </w:tr>
            <w:tr>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The medication routine as currently set: for each medicine, the next dose time and how many times a day</w:t>
                  </w:r>
                </w:p>
              </w:tc>
              <w:tc>
                <w:tcPr>
                  <w:tcW w:type="dxa" w:w="3238"/>
                </w:tcPr>
                <w:p>
                  <w:r>
                    <w:rPr>
                      <w:rFonts w:ascii="Times New Roman" w:hAnsi="Times New Roman" w:eastAsia="바탕"/>
                      <w:sz w:val="18"/>
                    </w:rPr>
                    <w:t>It has to come before the calendar below. Two empty cells mean a whole day skipped on a twice-daily prescription and one late dose on a five-times-daily one. Without knowing what should have happened, the same picture means different things</w:t>
                  </w:r>
                </w:p>
              </w:tc>
            </w:tr>
            <w:tr>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A four-week calendar. One day is one cell and one bar inside a cell is one dose. A filled bar was taken, an outlined bar was missed</w:t>
                  </w:r>
                </w:p>
              </w:tc>
              <w:tc>
                <w:tcPr>
                  <w:tcW w:type="dxa" w:w="3238"/>
                </w:tcPr>
                <w:p>
                  <w:r>
                    <w:rPr>
                      <w:rFonts w:ascii="Times New Roman" w:hAnsi="Times New Roman" w:eastAsia="바탕"/>
                      <w:sz w:val="18"/>
                    </w:rPr>
                    <w:t>One week cannot be read by weekday. Each weekday appears only once, so "it is always the weekend" cannot be told apart from a single coincidence. Over four weeks the same weekday lines up four times, and only then does a vertical column mean something. Beyond that the cells get too small on a phone</w:t>
                  </w:r>
                </w:p>
              </w:tc>
            </w:tr>
            <w:tr>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A gauge, showing as the length of a bar how much of the four weeks was filled, split into one row per medicine</w:t>
                  </w:r>
                </w:p>
              </w:tc>
              <w:tc>
                <w:tcPr>
                  <w:tcW w:type="dxa" w:w="3238"/>
                </w:tcPr>
                <w:p>
                  <w:r>
                    <w:rPr>
                      <w:rFonts w:ascii="Times New Roman" w:hAnsi="Times New Roman" w:eastAsia="바탕"/>
                      <w:sz w:val="18"/>
                    </w:rPr>
                    <w:t>The calendar and the gauge answer different questions. The calendar shows which days were missed, the gauge how much of the whole was filled. And one combined number cannot point at what to fix. If ten of eighty-three doses were missed, ten piled onto one medicine means that medicine is the problem while ten scattered across means the habit is, and the two call for different things. The questions asked in a consulting room are per medicine too</w:t>
                  </w:r>
                </w:p>
              </w:tc>
            </w:tr>
          </w:tbl>
          <w:p/>
          <w:p>
            <w:pPr>
              <w:spacing w:after="120"/>
            </w:pPr>
          </w:p>
          <w:p>
            <w:pPr>
              <w:spacing w:after="80" w:line="276" w:lineRule="auto"/>
              <w:jc w:val="both"/>
            </w:pPr>
            <w:r>
              <w:rPr>
                <w:rFonts w:ascii="Times New Roman" w:hAnsi="Times New Roman" w:eastAsia="바탕"/>
                <w:sz w:val="20"/>
              </w:rPr>
              <w:t>Medication is at the top because the urgency differs. Food can be known a day late; medicine has to be known this evening.</w:t>
            </w:r>
          </w:p>
          <w:p>
            <w:pPr>
              <w:spacing w:after="80" w:line="276" w:lineRule="auto"/>
              <w:jc w:val="both"/>
            </w:pPr>
            <w:r>
              <w:rPr>
                <w:rFonts w:ascii="Times New Roman" w:hAnsi="Times New Roman" w:eastAsia="바탕"/>
                <w:sz w:val="20"/>
              </w:rPr>
              <w:t>No percentage is written large on this screen. The number 86% does not arrive for someone who cannot read numbers, and that person is the user this app took as its standard (§1.13). So the same thing is drawn instead. Whether a cell is empty can be counted, and how far a bar has filled can be judged by eye. Neither passes through reading.</w:t>
            </w:r>
          </w:p>
          <w:p>
            <w:pPr>
              <w:spacing w:after="80" w:line="276" w:lineRule="auto"/>
              <w:jc w:val="both"/>
            </w:pPr>
            <w:r>
              <w:rPr>
                <w:rFonts w:ascii="Times New Roman" w:hAnsi="Times New Roman" w:eastAsia="바탕"/>
                <w:sz w:val="20"/>
              </w:rPr>
              <w:t>What groups the gauges is worth noting as well: not the name of a medicine but the tray layer in the box. What the box reports is the layer, and the name is something the app attaches from the prescription, so it may be absent. This machine also stacks its trays in layers, so when the screen speaks in layers that leads straight into opening the box and looking at that layer. The place on the screen and the place the hand reaches point at the same thing.</w:t>
            </w:r>
          </w:p>
          <w:p>
            <w:pPr>
              <w:spacing w:after="80" w:line="276" w:lineRule="auto"/>
              <w:jc w:val="both"/>
            </w:pPr>
            <w:r>
              <w:rPr>
                <w:rFonts w:ascii="Times New Roman" w:hAnsi="Times New Roman" w:eastAsia="바탕"/>
                <w:sz w:val="20"/>
              </w:rPr>
              <w:t>The calendar shows four weeks but the window can be moved. There are two arrows and no date picker, because offering a date picker to someone who came to look at a calendar amounts to handing them a second calendar. Moving forward stops at today. The future is an empty grid, and a button that does nothing when pressed reads as broken. Moving the window does not move the "today" marker, which stays on the real today. If some past day were marked as today on a paged-back screen, that screen would be lying.</w:t>
            </w:r>
          </w:p>
          <w:p>
            <w:pPr>
              <w:spacing w:after="80" w:line="276" w:lineRule="auto"/>
              <w:jc w:val="both"/>
            </w:pPr>
            <w:r>
              <w:rPr>
                <w:rFonts w:ascii="Times New Roman" w:hAnsi="Times New Roman" w:eastAsia="바탕"/>
                <w:sz w:val="20"/>
              </w:rPr>
              <w:t>There is no list laying out the records day by day. There was one and it was taken out. Showing records back one at a time is not what this app does with that data. The calendar, the gauge, what is suspected and how the body responded all come out of it. The list only added twenty-eight more rows on top, and after a few months it becomes a wall nobody scrolls.</w:t>
            </w:r>
          </w:p>
          <w:p>
            <w:pPr>
              <w:spacing w:after="80" w:line="276" w:lineRule="auto"/>
              <w:jc w:val="both"/>
            </w:pPr>
            <w:r>
              <w:rPr>
                <w:rFonts w:ascii="Times New Roman" w:hAnsi="Times New Roman" w:eastAsia="바탕"/>
                <w:sz w:val="20"/>
              </w:rPr>
              <w:t>This is why the screen spans several conditions in Table 7 of §1.13. What someone carrying a load on executive function needs is "what do I take now", and that is the first part. What someone with damage to memory needs is "did I already take it", and that is the second. What the consulting room needs is "when did the missing start", and that is the third. One screen answers three questions, and it was built so that those answers are not obtained by reading. The difference between a filled bar and an empty one is not a letter, and the shape of a column going blank is seen rather than read.</w:t>
            </w:r>
          </w:p>
          <w:p>
            <w:pPr>
              <w:spacing w:after="80" w:line="276" w:lineRule="auto"/>
              <w:jc w:val="both"/>
            </w:pPr>
            <w:r>
              <w:rPr>
                <w:rFonts w:ascii="Times New Roman" w:hAnsi="Times New Roman" w:eastAsia="바탕"/>
                <w:sz w:val="20"/>
              </w:rPr>
              <w:t>The screen does lean on the picture and colour layers of §2.1, with speech carried by the read-aloud button on each card. Medicine names and times do appear as text, and the principle of §2.1 holds here as elsewhere: this app did not erase text from the screen, it removed anything that can only be known by reading. What the calendar conveys is a shape rather than a name.</w:t>
            </w:r>
          </w:p>
          <w:p>
            <w:pPr>
              <w:spacing w:before="160" w:after="60"/>
              <w:jc w:val="center"/>
            </w:pPr>
            <w:r>
              <w:drawing>
                <wp:inline xmlns:a="http://schemas.openxmlformats.org/drawingml/2006/main" xmlns:pic="http://schemas.openxmlformats.org/drawingml/2006/picture">
                  <wp:extent cx="1524000" cy="4754880"/>
                  <wp:docPr id="30" name="Picture 30"/>
                  <wp:cNvGraphicFramePr>
                    <a:graphicFrameLocks noChangeAspect="1"/>
                  </wp:cNvGraphicFramePr>
                  <a:graphic>
                    <a:graphicData uri="http://schemas.openxmlformats.org/drawingml/2006/picture">
                      <pic:pic>
                        <pic:nvPicPr>
                          <pic:cNvPr id="0" name="fig17_history.png"/>
                          <pic:cNvPicPr/>
                        </pic:nvPicPr>
                        <pic:blipFill>
                          <a:blip r:embed="rId47"/>
                          <a:stretch>
                            <a:fillRect/>
                          </a:stretch>
                        </pic:blipFill>
                        <pic:spPr>
                          <a:xfrm>
                            <a:off x="0" y="0"/>
                            <a:ext cx="1524000"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30]</w:t>
            </w:r>
            <w:r>
              <w:rPr>
                <w:rFonts w:ascii="Times New Roman" w:hAnsi="Times New Roman" w:eastAsia="바탕"/>
                <w:color w:val="606068"/>
                <w:sz w:val="18"/>
              </w:rPr>
              <w:t xml:space="preserve"> The medication routine and the last four weeks. The card at the top is what is currently set; in the calendar one day is one cell and one bar inside a cell is one dose. A filled bar was taken, an outlined one missed. The bars below are the adherence rate per medicine, and the sentence at the bottom puts the same thing into words. Below the red line, scrolling is required.</w:t>
            </w:r>
          </w:p>
          <w:p>
            <w:pPr>
              <w:spacing w:after="80" w:line="276" w:lineRule="auto"/>
              <w:jc w:val="both"/>
            </w:pPr>
            <w:r>
              <w:rPr>
                <w:rFonts w:ascii="Times New Roman" w:hAnsi="Times New Roman" w:eastAsia="바탕"/>
                <w:sz w:val="20"/>
              </w:rPr>
              <w:t>The screen says one more sentence at the end: that of eighty-three doses ten were missed, and the time most often missed was seven in the evening. It was said above that a vertical column in the calendar comes to mean something, and what is read from that column the screen also sends out in words. The three layers of §2.1, where speech remains for someone who could not read the picture, appear on this screen in that form.</w:t>
            </w:r>
          </w:p>
          <w:p>
            <w:pPr>
              <w:spacing w:after="80" w:line="276" w:lineRule="auto"/>
              <w:jc w:val="both"/>
            </w:pPr>
            <w:r>
              <w:rPr>
                <w:rFonts w:ascii="Times New Roman" w:hAnsi="Times New Roman" w:eastAsia="바탕"/>
                <w:sz w:val="20"/>
              </w:rPr>
              <w:t>The limits of this screen are written by the screen itself. The bottom line says that this count comes from the pill box alone and that medicines taken without it are not in the number. The counting is deliberately narrow. What reaches this calendar is only the doses a paired box reported. When the box offered a tray and nobody pressed, that arrives as missed; when someone pressed, it arrives as taken. Records a person left by photographing are not in this number, and not because they cannot be counted but because they must not be. A hand-left record says only that a dose was taken and never that one was missed, since nobody opens the app on the day they skip. Put those in the denominator and adherence is always 100%. So for a user without a box this calendar is empty, and it is drawn not at all rather than shown as 0%. Were that limit written only in this document and hidden on the screen, users would read their own adherence as lower than it is. So it is written on the screen, and the same item is also among the unverified items in §5.9.</w:t>
            </w:r>
          </w:p>
        </w:tc>
      </w:tr>
      <w:tr w:rsidR="00223ACC" w14:paraId="7353010C" w14:textId="77777777" w:rsidTr="00931699">
        <w:trPr>
          <w:trHeight w:val="823"/>
        </w:trPr>
        <w:tc>
          <w:tcPr>
            <w:tcW w:w="9715"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062E971A" w14:textId="57AB9D9D" w:rsidR="00223ACC" w:rsidRDefault="00223ACC" w:rsidP="00223ACC">
            <w:pPr>
              <w:rPr>
                <w:rFonts w:ascii="Arial" w:eastAsia="Arial" w:hAnsi="Arial" w:cs="Arial"/>
                <w:color w:val="002060"/>
                <w:sz w:val="24"/>
                <w:szCs w:val="24"/>
              </w:rPr>
            </w:pPr>
            <w:r>
              <w:rPr>
                <w:rFonts w:ascii="Arial" w:eastAsia="Arial" w:hAnsi="Arial" w:cs="Arial"/>
                <w:b/>
                <w:bCs/>
                <w:color w:val="002060"/>
                <w:sz w:val="28"/>
                <w:szCs w:val="28"/>
              </w:rPr>
              <w:t xml:space="preserve">□ </w:t>
            </w:r>
            <w:r w:rsidRPr="00223ACC">
              <w:rPr>
                <w:rFonts w:ascii="Arial" w:eastAsia="Arial" w:hAnsi="Arial" w:cs="Arial"/>
                <w:b/>
                <w:bCs/>
                <w:color w:val="002060"/>
                <w:sz w:val="28"/>
                <w:szCs w:val="28"/>
              </w:rPr>
              <w:t>Development and Implementation</w:t>
            </w:r>
          </w:p>
          <w:p w14:paraId="0AAEE9FB" w14:textId="5FF5662D" w:rsidR="00223ACC" w:rsidRPr="00223ACC" w:rsidRDefault="00C07B64" w:rsidP="00223ACC">
            <w:pPr>
              <w:rPr>
                <w:rFonts w:ascii="Arial" w:hAnsi="Arial" w:cs="Arial"/>
              </w:rPr>
            </w:pPr>
            <w:r w:rsidRPr="00C07B64">
              <w:rPr>
                <w:rFonts w:ascii="Arial" w:eastAsia="Arial" w:hAnsi="Arial" w:cs="Arial"/>
              </w:rPr>
              <w:t>Describe the tools, platforms, technologies, data sources, APIs, and deployment environment used to develop and implement your web application.</w:t>
            </w:r>
          </w:p>
        </w:tc>
      </w:tr>
      <w:tr w:rsidR="00223ACC" w14:paraId="42586E77" w14:textId="77777777" w:rsidTr="00223ACC">
        <w:trPr>
          <w:trHeight w:val="255"/>
        </w:trPr>
        <w:tc>
          <w:tcPr>
            <w:tcW w:w="9715" w:type="dxa"/>
            <w:tcBorders>
              <w:top w:val="single" w:sz="4" w:space="0" w:color="000000"/>
              <w:left w:val="single" w:sz="4" w:space="0" w:color="000000"/>
              <w:bottom w:val="single" w:sz="4" w:space="0" w:color="000000"/>
              <w:right w:val="single" w:sz="4" w:space="0" w:color="000000"/>
            </w:tcBorders>
          </w:tcPr>
          <w:p w14:paraId="313B1319" w14:textId="19497814" w:rsidR="00223ACC" w:rsidRPr="00931699" w:rsidRDefault="00223ACC" w:rsidP="00223ACC">
            <w:pPr>
              <w:rPr>
                <w:rFonts w:ascii="Arial" w:hAnsi="Arial" w:cs="Arial"/>
              </w:rPr>
            </w:pPr>
            <w:r>
              <w:rPr>
                <w:rFonts w:ascii="Arial" w:eastAsia="Arial" w:hAnsi="Arial" w:cs="Arial"/>
                <w:b/>
                <w:bCs/>
              </w:rPr>
              <w:t>Content</w:t>
            </w:r>
          </w:p>
        </w:tc>
      </w:tr>
      <w:tr w:rsidR="00223ACC" w14:paraId="44E71BF7" w14:textId="77777777" w:rsidTr="00A13D48">
        <w:trPr>
          <w:trHeight w:val="3621"/>
        </w:trPr>
        <w:tc>
          <w:tcPr>
            <w:tcW w:w="9715" w:type="dxa"/>
            <w:tcBorders>
              <w:top w:val="single" w:sz="4" w:space="0" w:color="000000"/>
              <w:left w:val="single" w:sz="4" w:space="0" w:color="000000"/>
              <w:bottom w:val="single" w:sz="4" w:space="0" w:color="000000"/>
              <w:right w:val="single" w:sz="4" w:space="0" w:color="000000"/>
            </w:tcBorders>
          </w:tcPr>
          <w:p w14:paraId="72BFD8A5" w14:textId="77777777" w:rsidR="00223ACC" w:rsidRPr="00182E9B" w:rsidRDefault="00223ACC" w:rsidP="00223ACC">
            <w:pPr>
              <w:spacing w:before="180" w:after="40"/>
              <w:rPr>
                <w:rFonts w:ascii="Arial" w:hAnsi="Arial" w:cs="Arial"/>
              </w:rPr>
            </w:pPr>
            <w:r>
              <w:rPr>
                <w:rFonts w:ascii="Times New Roman" w:hAnsi="Times New Roman" w:eastAsia="바탕"/>
                <w:b/>
                <w:sz w:val="23"/>
              </w:rPr>
              <w:t>4.1 Overview of the stack</w:t>
            </w:r>
          </w:p>
          <w:p>
            <w:pPr>
              <w:spacing w:after="80" w:line="276" w:lineRule="auto"/>
              <w:jc w:val="both"/>
            </w:pPr>
            <w:r>
              <w:rPr>
                <w:rFonts w:ascii="Times New Roman" w:hAnsi="Times New Roman" w:eastAsia="바탕"/>
                <w:sz w:val="20"/>
              </w:rPr>
              <w:t>This section first sets out what was built with which tools, and the sections that follow take up one by one the points where a judgement had to be made. The content of this section is why those choices were made rather than the stack itself.</w:t>
            </w:r>
          </w:p>
          <w:p>
            <w:pPr>
              <w:spacing w:after="80" w:line="276" w:lineRule="auto"/>
              <w:jc w:val="both"/>
            </w:pPr>
            <w:r>
              <w:rPr>
                <w:rFonts w:ascii="Times New Roman" w:hAnsi="Times New Roman" w:eastAsia="바탕"/>
                <w:sz w:val="20"/>
              </w:rPr>
              <w:t>[Table 24] Technical stack</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Layer</w:t>
                  </w:r>
                </w:p>
              </w:tc>
              <w:tc>
                <w:tcPr>
                  <w:tcW w:type="dxa" w:w="3238"/>
                  <w:shd w:val="clear" w:fill="F2F2F2"/>
                </w:tcPr>
                <w:p>
                  <w:r>
                    <w:rPr>
                      <w:rFonts w:ascii="Times New Roman" w:hAnsi="Times New Roman" w:eastAsia="바탕"/>
                      <w:b/>
                      <w:sz w:val="18"/>
                    </w:rPr>
                    <w:t>Technology</w:t>
                  </w:r>
                </w:p>
              </w:tc>
              <w:tc>
                <w:tcPr>
                  <w:tcW w:type="dxa" w:w="3238"/>
                  <w:shd w:val="clear" w:fill="F2F2F2"/>
                </w:tcPr>
                <w:p>
                  <w:r>
                    <w:rPr>
                      <w:rFonts w:ascii="Times New Roman" w:hAnsi="Times New Roman" w:eastAsia="바탕"/>
                      <w:b/>
                      <w:sz w:val="18"/>
                    </w:rPr>
                    <w:t>Note</w:t>
                  </w:r>
                </w:p>
              </w:tc>
            </w:tr>
            <w:tr>
              <w:tc>
                <w:tcPr>
                  <w:tcW w:type="dxa" w:w="3238"/>
                </w:tcPr>
                <w:p>
                  <w:r>
                    <w:rPr>
                      <w:rFonts w:ascii="Times New Roman" w:hAnsi="Times New Roman" w:eastAsia="바탕"/>
                      <w:sz w:val="18"/>
                    </w:rPr>
                    <w:t>Web app</w:t>
                  </w:r>
                </w:p>
              </w:tc>
              <w:tc>
                <w:tcPr>
                  <w:tcW w:type="dxa" w:w="3238"/>
                </w:tcPr>
                <w:p>
                  <w:r>
                    <w:rPr>
                      <w:rFonts w:ascii="Times New Roman" w:hAnsi="Times New Roman" w:eastAsia="바탕"/>
                      <w:sz w:val="18"/>
                    </w:rPr>
                    <w:t>Next.js 16 (App Router) · React 19 · TypeScript · Tailwind</w:t>
                  </w:r>
                </w:p>
              </w:tc>
              <w:tc>
                <w:tcPr>
                  <w:tcW w:type="dxa" w:w="3238"/>
                </w:tcPr>
                <w:p>
                  <w:r>
                    <w:rPr>
                      <w:rFonts w:ascii="Times New Roman" w:hAnsi="Times New Roman" w:eastAsia="바탕"/>
                      <w:sz w:val="18"/>
                    </w:rPr>
                    <w:t>Static build maintained</w:t>
                  </w:r>
                </w:p>
              </w:tc>
            </w:tr>
            <w:tr>
              <w:tc>
                <w:tcPr>
                  <w:tcW w:type="dxa" w:w="3238"/>
                </w:tcPr>
                <w:p>
                  <w:r>
                    <w:rPr>
                      <w:rFonts w:ascii="Times New Roman" w:hAnsi="Times New Roman" w:eastAsia="바탕"/>
                      <w:sz w:val="18"/>
                    </w:rPr>
                    <w:t>Pictogram engine</w:t>
                  </w:r>
                </w:p>
              </w:tc>
              <w:tc>
                <w:tcPr>
                  <w:tcW w:type="dxa" w:w="3238"/>
                </w:tcPr>
                <w:p>
                  <w:r>
                    <w:rPr>
                      <w:rFonts w:ascii="Times New Roman" w:hAnsi="Times New Roman" w:eastAsia="바탕"/>
                      <w:sz w:val="18"/>
                    </w:rPr>
                    <w:t>SIGIL — own DSL · recursive descent parser · Python/Pillow composition</w:t>
                  </w:r>
                </w:p>
              </w:tc>
              <w:tc>
                <w:tcPr>
                  <w:tcW w:type="dxa" w:w="3238"/>
                </w:tcPr>
                <w:p>
                  <w:r>
                    <w:rPr>
                      <w:rFonts w:ascii="Times New Roman" w:hAnsi="Times New Roman" w:eastAsia="바탕"/>
                      <w:sz w:val="18"/>
                    </w:rPr>
                    <w:t>78 morphemes</w:t>
                  </w:r>
                </w:p>
              </w:tc>
            </w:tr>
            <w:tr>
              <w:tc>
                <w:tcPr>
                  <w:tcW w:type="dxa" w:w="3238"/>
                </w:tcPr>
                <w:p>
                  <w:r>
                    <w:rPr>
                      <w:rFonts w:ascii="Times New Roman" w:hAnsi="Times New Roman" w:eastAsia="바탕"/>
                      <w:sz w:val="18"/>
                    </w:rPr>
                    <w:t>Speech engine</w:t>
                  </w:r>
                </w:p>
              </w:tc>
              <w:tc>
                <w:tcPr>
                  <w:tcW w:type="dxa" w:w="3238"/>
                </w:tcPr>
                <w:p>
                  <w:r>
                    <w:rPr>
                      <w:rFonts w:ascii="Times New Roman" w:hAnsi="Times New Roman" w:eastAsia="바탕"/>
                      <w:sz w:val="18"/>
                    </w:rPr>
                    <w:t>VOCA — own composition logic · Web Speech API</w:t>
                  </w:r>
                </w:p>
              </w:tc>
              <w:tc>
                <w:tcPr>
                  <w:tcW w:type="dxa" w:w="3238"/>
                </w:tcPr>
                <w:p>
                  <w:r>
                    <w:rPr>
                      <w:rFonts w:ascii="Times New Roman" w:hAnsi="Times New Roman" w:eastAsia="바탕"/>
                      <w:sz w:val="18"/>
                    </w:rPr>
                    <w:t>Device built-in voices</w:t>
                  </w:r>
                </w:p>
              </w:tc>
            </w:tr>
            <w:tr>
              <w:tc>
                <w:tcPr>
                  <w:tcW w:type="dxa" w:w="3238"/>
                </w:tcPr>
                <w:p>
                  <w:r>
                    <w:rPr>
                      <w:rFonts w:ascii="Times New Roman" w:hAnsi="Times New Roman" w:eastAsia="바탕"/>
                      <w:sz w:val="18"/>
                    </w:rPr>
                    <w:t>OCR</w:t>
                  </w:r>
                </w:p>
              </w:tc>
              <w:tc>
                <w:tcPr>
                  <w:tcW w:type="dxa" w:w="3238"/>
                </w:tcPr>
                <w:p>
                  <w:r>
                    <w:rPr>
                      <w:rFonts w:ascii="Times New Roman" w:hAnsi="Times New Roman" w:eastAsia="바탕"/>
                      <w:sz w:val="18"/>
                    </w:rPr>
                    <w:t>Tesseract.js</w:t>
                  </w:r>
                </w:p>
              </w:tc>
              <w:tc>
                <w:tcPr>
                  <w:tcW w:type="dxa" w:w="3238"/>
                </w:tcPr>
                <w:p>
                  <w:r>
                    <w:rPr>
                      <w:rFonts w:ascii="Times New Roman" w:hAnsi="Times New Roman" w:eastAsia="바탕"/>
                      <w:sz w:val="18"/>
                    </w:rPr>
                    <w:t>Runs in the browser</w:t>
                  </w:r>
                </w:p>
              </w:tc>
            </w:tr>
            <w:tr>
              <w:tc>
                <w:tcPr>
                  <w:tcW w:type="dxa" w:w="3238"/>
                </w:tcPr>
                <w:p>
                  <w:r>
                    <w:rPr>
                      <w:rFonts w:ascii="Times New Roman" w:hAnsi="Times New Roman" w:eastAsia="바탕"/>
                      <w:sz w:val="18"/>
                    </w:rPr>
                    <w:t>Nutrition estimation</w:t>
                  </w:r>
                </w:p>
              </w:tc>
              <w:tc>
                <w:tcPr>
                  <w:tcW w:type="dxa" w:w="3238"/>
                </w:tcPr>
                <w:p>
                  <w:r>
                    <w:rPr>
                      <w:rFonts w:ascii="Times New Roman" w:hAnsi="Times New Roman" w:eastAsia="바탕"/>
                      <w:sz w:val="18"/>
                    </w:rPr>
                    <w:t>EfficientNet-B0 224px (trained on Nutrition5k) · onnxruntime-web</w:t>
                  </w:r>
                </w:p>
              </w:tc>
              <w:tc>
                <w:tcPr>
                  <w:tcW w:type="dxa" w:w="3238"/>
                </w:tcPr>
                <w:p>
                  <w:r>
                    <w:rPr>
                      <w:rFonts w:ascii="Times New Roman" w:hAnsi="Times New Roman" w:eastAsia="바탕"/>
                      <w:sz w:val="18"/>
                    </w:rPr>
                    <w:t>On-device inference</w:t>
                  </w:r>
                </w:p>
              </w:tc>
            </w:tr>
            <w:tr>
              <w:tc>
                <w:tcPr>
                  <w:tcW w:type="dxa" w:w="3238"/>
                </w:tcPr>
                <w:p>
                  <w:r>
                    <w:rPr>
                      <w:rFonts w:ascii="Times New Roman" w:hAnsi="Times New Roman" w:eastAsia="바탕"/>
                      <w:sz w:val="18"/>
                    </w:rPr>
                    <w:t>Product data</w:t>
                  </w:r>
                </w:p>
              </w:tc>
              <w:tc>
                <w:tcPr>
                  <w:tcW w:type="dxa" w:w="3238"/>
                </w:tcPr>
                <w:p>
                  <w:r>
                    <w:rPr>
                      <w:rFonts w:ascii="Times New Roman" w:hAnsi="Times New Roman" w:eastAsia="바탕"/>
                      <w:sz w:val="18"/>
                    </w:rPr>
                    <w:t>OpenFoodFacts API</w:t>
                  </w:r>
                </w:p>
              </w:tc>
              <w:tc>
                <w:tcPr>
                  <w:tcW w:type="dxa" w:w="3238"/>
                </w:tcPr>
                <w:p>
                  <w:r>
                    <w:rPr>
                      <w:rFonts w:ascii="Times New Roman" w:hAnsi="Times New Roman" w:eastAsia="바탕"/>
                      <w:sz w:val="18"/>
                    </w:rPr>
                    <w:t>Via server</w:t>
                  </w:r>
                </w:p>
              </w:tc>
            </w:tr>
            <w:tr>
              <w:tc>
                <w:tcPr>
                  <w:tcW w:type="dxa" w:w="3238"/>
                </w:tcPr>
                <w:p>
                  <w:r>
                    <w:rPr>
                      <w:rFonts w:ascii="Times New Roman" w:hAnsi="Times New Roman" w:eastAsia="바탕"/>
                      <w:sz w:val="18"/>
                    </w:rPr>
                    <w:t>Image recognition</w:t>
                  </w:r>
                </w:p>
              </w:tc>
              <w:tc>
                <w:tcPr>
                  <w:tcW w:type="dxa" w:w="3238"/>
                </w:tcPr>
                <w:p>
                  <w:r>
                    <w:rPr>
                      <w:rFonts w:ascii="Times New Roman" w:hAnsi="Times New Roman" w:eastAsia="바탕"/>
                      <w:sz w:val="18"/>
                    </w:rPr>
                    <w:t>Claude Vision</w:t>
                  </w:r>
                </w:p>
              </w:tc>
              <w:tc>
                <w:tcPr>
                  <w:tcW w:type="dxa" w:w="3238"/>
                </w:tcPr>
                <w:p>
                  <w:r>
                    <w:rPr>
                      <w:rFonts w:ascii="Times New Roman" w:hAnsi="Times New Roman" w:eastAsia="바탕"/>
                      <w:sz w:val="18"/>
                    </w:rPr>
                    <w:t>Via server</w:t>
                  </w:r>
                </w:p>
              </w:tc>
            </w:tr>
            <w:tr>
              <w:tc>
                <w:tcPr>
                  <w:tcW w:type="dxa" w:w="3238"/>
                </w:tcPr>
                <w:p>
                  <w:r>
                    <w:rPr>
                      <w:rFonts w:ascii="Times New Roman" w:hAnsi="Times New Roman" w:eastAsia="바탕"/>
                      <w:sz w:val="18"/>
                    </w:rPr>
                    <w:t>Hardware</w:t>
                  </w:r>
                </w:p>
              </w:tc>
              <w:tc>
                <w:tcPr>
                  <w:tcW w:type="dxa" w:w="3238"/>
                </w:tcPr>
                <w:p>
                  <w:r>
                    <w:rPr>
                      <w:rFonts w:ascii="Times New Roman" w:hAnsi="Times New Roman" w:eastAsia="바탕"/>
                      <w:sz w:val="18"/>
                    </w:rPr>
                    <w:t>Raspberry Pi 3B · 3 servos · WS2812 · DS1302</w:t>
                  </w:r>
                </w:p>
              </w:tc>
              <w:tc>
                <w:tcPr>
                  <w:tcW w:type="dxa" w:w="3238"/>
                </w:tcPr>
                <w:p>
                  <w:r>
                    <w:rPr>
                      <w:rFonts w:ascii="Times New Roman" w:hAnsi="Times New Roman" w:eastAsia="바탕"/>
                      <w:sz w:val="18"/>
                    </w:rPr>
                    <w:t>Three trays fitted, eight layers reserved in firmware</w:t>
                  </w:r>
                </w:p>
              </w:tc>
            </w:tr>
            <w:tr>
              <w:tc>
                <w:tcPr>
                  <w:tcW w:type="dxa" w:w="3238"/>
                </w:tcPr>
                <w:p>
                  <w:r>
                    <w:rPr>
                      <w:rFonts w:ascii="Times New Roman" w:hAnsi="Times New Roman" w:eastAsia="바탕"/>
                      <w:sz w:val="18"/>
                    </w:rPr>
                    <w:t>Deployment</w:t>
                  </w:r>
                </w:p>
              </w:tc>
              <w:tc>
                <w:tcPr>
                  <w:tcW w:type="dxa" w:w="3238"/>
                </w:tcPr>
                <w:p>
                  <w:r>
                    <w:rPr>
                      <w:rFonts w:ascii="Times New Roman" w:hAnsi="Times New Roman" w:eastAsia="바탕"/>
                      <w:sz w:val="18"/>
                    </w:rPr>
                    <w:t>fly.io (Tokyo) · 1 GB persistent volume</w:t>
                  </w:r>
                </w:p>
              </w:tc>
              <w:tc>
                <w:tcPr>
                  <w:tcW w:type="dxa" w:w="3238"/>
                </w:tcPr>
                <w:p>
                  <w:r>
                    <w:rPr>
                      <w:rFonts w:ascii="Times New Roman" w:hAnsi="Times New Roman" w:eastAsia="바탕"/>
                      <w:sz w:val="18"/>
                    </w:rPr>
                    <w:t>Always on (</w:t>
                  </w:r>
                  <w:r>
                    <w:rPr>
                      <w:rFonts w:ascii="Consolas" w:hAnsi="Consolas" w:eastAsia="Consolas"/>
                      <w:sz w:val="17"/>
                    </w:rPr>
                    <w:t>auto_stop_machines = off</w:t>
                  </w:r>
                  <w:r>
                    <w:rPr>
                      <w:rFonts w:ascii="Times New Roman" w:hAnsi="Times New Roman" w:eastAsia="바탕"/>
                      <w:sz w:val="18"/>
                    </w:rPr>
                    <w:t>)</w:t>
                  </w:r>
                </w:p>
              </w:tc>
            </w:tr>
          </w:tbl>
          <w:p/>
          <w:p>
            <w:pPr>
              <w:spacing w:after="120"/>
            </w:pPr>
          </w:p>
          <w:p>
            <w:pPr>
              <w:spacing w:after="80" w:line="276" w:lineRule="auto"/>
              <w:jc w:val="both"/>
            </w:pPr>
            <w:r>
              <w:rPr>
                <w:rFonts w:ascii="Times New Roman" w:hAnsi="Times New Roman" w:eastAsia="바탕"/>
                <w:sz w:val="20"/>
              </w:rPr>
              <w:t xml:space="preserve">The last row should be set down first. At the outset, to avoid leaving a machine idle, we set </w:t>
            </w:r>
            <w:r>
              <w:rPr>
                <w:rFonts w:ascii="Consolas" w:hAnsi="Consolas" w:eastAsia="Consolas"/>
                <w:sz w:val="19"/>
              </w:rPr>
              <w:t>min_machines_running = 0</w:t>
            </w:r>
            <w:r>
              <w:rPr>
                <w:rFonts w:ascii="Times New Roman" w:hAnsi="Times New Roman" w:eastAsia="바탕"/>
                <w:sz w:val="20"/>
              </w:rPr>
              <w:t>, which stops the machine when nobody is using it and wakes it on the first request. Measured on 3 August 2026, the first request took 6.5 seconds and the ones after it 0.17.</w:t>
            </w:r>
          </w:p>
          <w:p>
            <w:pPr>
              <w:spacing w:after="80" w:line="276" w:lineRule="auto"/>
              <w:jc w:val="both"/>
            </w:pPr>
            <w:r>
              <w:rPr>
                <w:rFonts w:ascii="Times New Roman" w:hAnsi="Times New Roman" w:eastAsia="바탕"/>
                <w:sz w:val="20"/>
              </w:rPr>
              <w:t xml:space="preserve">We then decided to remove that 6.5 seconds and changed the configuration. </w:t>
            </w:r>
            <w:r>
              <w:rPr>
                <w:rFonts w:ascii="Consolas" w:hAnsi="Consolas" w:eastAsia="Consolas"/>
                <w:sz w:val="19"/>
              </w:rPr>
              <w:t>min_machines_running = 1</w:t>
            </w:r>
            <w:r>
              <w:rPr>
                <w:rFonts w:ascii="Times New Roman" w:hAnsi="Times New Roman" w:eastAsia="바탕"/>
                <w:sz w:val="20"/>
              </w:rPr>
              <w:t xml:space="preserve"> was not enough on its own, because that value is the minimum number to keep while there is traffic and does not start a machine that is already stopped. Immediately after a deploy the machine sat stopped and the first request took 6.4 seconds. With </w:t>
            </w:r>
            <w:r>
              <w:rPr>
                <w:rFonts w:ascii="Consolas" w:hAnsi="Consolas" w:eastAsia="Consolas"/>
                <w:sz w:val="19"/>
              </w:rPr>
              <w:t>auto_stop_machines</w:t>
            </w:r>
            <w:r>
              <w:rPr>
                <w:rFonts w:ascii="Times New Roman" w:hAnsi="Times New Roman" w:eastAsia="바탕"/>
                <w:sz w:val="20"/>
              </w:rPr>
              <w:t xml:space="preserve"> set to </w:t>
            </w:r>
            <w:r>
              <w:rPr>
                <w:rFonts w:ascii="Consolas" w:hAnsi="Consolas" w:eastAsia="Consolas"/>
                <w:sz w:val="19"/>
              </w:rPr>
              <w:t>off</w:t>
            </w:r>
            <w:r>
              <w:rPr>
                <w:rFonts w:ascii="Times New Roman" w:hAnsi="Times New Roman" w:eastAsia="바탕"/>
                <w:sz w:val="20"/>
              </w:rPr>
              <w:t xml:space="preserve"> and 5 minutes 30 seconds of idling, the measurement was 0.50 seconds.</w:t>
            </w:r>
          </w:p>
          <w:p>
            <w:pPr>
              <w:spacing w:after="80" w:line="276" w:lineRule="auto"/>
              <w:jc w:val="both"/>
            </w:pPr>
            <w:r>
              <w:rPr>
                <w:rFonts w:ascii="Times New Roman" w:hAnsi="Times New Roman" w:eastAsia="바탕"/>
                <w:sz w:val="20"/>
              </w:rPr>
              <w:t>As of 4 August 2026, opening the deployment three times in a row measures 0.22, 0.20 and 0.17 seconds. That is what someone who reads this document and opens the deployment meets. It should also be said that this is a configuration that spends money. Setting the machine back to stopping would bring back the six seconds for whoever opens it first.</w:t>
            </w:r>
          </w:p>
          <w:p>
            <w:pPr>
              <w:spacing w:after="80" w:line="276" w:lineRule="auto"/>
              <w:jc w:val="both"/>
            </w:pPr>
            <w:r>
              <w:rPr>
                <w:rFonts w:ascii="Times New Roman" w:hAnsi="Times New Roman" w:eastAsia="바탕"/>
                <w:sz w:val="20"/>
              </w:rPr>
              <w:t>Reading the last column on its own shows how this stack is put together. The heavy things are on the device and the light things are on the server. A 16 MB nutrition estimation model runs in the browser, while recognising what a photograph shows goes out to the server. This is the reverse of an ordinary web app. Sending heavy computation to the server is the conventional choice, and it lets the device be old and makes the model easy to swap.</w:t>
            </w:r>
          </w:p>
          <w:p>
            <w:pPr>
              <w:spacing w:after="80" w:line="276" w:lineRule="auto"/>
              <w:jc w:val="both"/>
            </w:pPr>
            <w:r>
              <w:rPr>
                <w:rFonts w:ascii="Times New Roman" w:hAnsi="Times New Roman" w:eastAsia="바탕"/>
                <w:sz w:val="20"/>
              </w:rPr>
              <w:t>There is one reason for inverting that convention. Anything on the server becomes nothing when the internet drops. Only the things "without which the verdict does not hold at all" were therefore moved onto the device.</w:t>
            </w:r>
          </w:p>
          <w:p>
            <w:pPr>
              <w:spacing w:after="80" w:line="276" w:lineRule="auto"/>
              <w:jc w:val="both"/>
            </w:pPr>
            <w:r>
              <w:rPr>
                <w:rFonts w:ascii="Times New Roman" w:hAnsi="Times New Roman" w:eastAsia="바탕"/>
                <w:sz w:val="20"/>
              </w:rPr>
              <w:t>[Table 25] What runs where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Task</w:t>
                  </w:r>
                </w:p>
              </w:tc>
              <w:tc>
                <w:tcPr>
                  <w:tcW w:type="dxa" w:w="3238"/>
                  <w:shd w:val="clear" w:fill="F2F2F2"/>
                </w:tcPr>
                <w:p>
                  <w:r>
                    <w:rPr>
                      <w:rFonts w:ascii="Times New Roman" w:hAnsi="Times New Roman" w:eastAsia="바탕"/>
                      <w:b/>
                      <w:sz w:val="18"/>
                    </w:rPr>
                    <w:t>Runs on</w:t>
                  </w:r>
                </w:p>
              </w:tc>
              <w:tc>
                <w:tcPr>
                  <w:tcW w:type="dxa" w:w="3238"/>
                  <w:shd w:val="clear" w:fill="F2F2F2"/>
                </w:tcPr>
                <w:p>
                  <w:r>
                    <w:rPr>
                      <w:rFonts w:ascii="Times New Roman" w:hAnsi="Times New Roman" w:eastAsia="바탕"/>
                      <w:b/>
                      <w:sz w:val="18"/>
                    </w:rPr>
                    <w:t>If the internet drops</w:t>
                  </w:r>
                </w:p>
              </w:tc>
            </w:tr>
            <w:tr>
              <w:tc>
                <w:tcPr>
                  <w:tcW w:type="dxa" w:w="3238"/>
                </w:tcPr>
                <w:p>
                  <w:r>
                    <w:rPr>
                      <w:rFonts w:ascii="Times New Roman" w:hAnsi="Times New Roman" w:eastAsia="바탕"/>
                      <w:sz w:val="18"/>
                    </w:rPr>
                    <w:t>Reading text from a photograph</w:t>
                  </w:r>
                </w:p>
              </w:tc>
              <w:tc>
                <w:tcPr>
                  <w:tcW w:type="dxa" w:w="3238"/>
                </w:tcPr>
                <w:p>
                  <w:r>
                    <w:rPr>
                      <w:rFonts w:ascii="Times New Roman" w:hAnsi="Times New Roman" w:eastAsia="바탕"/>
                      <w:sz w:val="18"/>
                    </w:rPr>
                    <w:t>Device</w:t>
                  </w:r>
                </w:p>
              </w:tc>
              <w:tc>
                <w:tcPr>
                  <w:tcW w:type="dxa" w:w="3238"/>
                </w:tcPr>
                <w:p>
                  <w:r>
                    <w:rPr>
                      <w:rFonts w:ascii="Times New Roman" w:hAnsi="Times New Roman" w:eastAsia="바탕"/>
                      <w:sz w:val="18"/>
                    </w:rPr>
                    <w:t>Works as normal</w:t>
                  </w:r>
                </w:p>
              </w:tc>
            </w:tr>
            <w:tr>
              <w:tc>
                <w:tcPr>
                  <w:tcW w:type="dxa" w:w="3238"/>
                </w:tcPr>
                <w:p>
                  <w:r>
                    <w:rPr>
                      <w:rFonts w:ascii="Times New Roman" w:hAnsi="Times New Roman" w:eastAsia="바탕"/>
                      <w:sz w:val="18"/>
                    </w:rPr>
                    <w:t>Label parsing and physical checks</w:t>
                  </w:r>
                </w:p>
              </w:tc>
              <w:tc>
                <w:tcPr>
                  <w:tcW w:type="dxa" w:w="3238"/>
                </w:tcPr>
                <w:p>
                  <w:r>
                    <w:rPr>
                      <w:rFonts w:ascii="Times New Roman" w:hAnsi="Times New Roman" w:eastAsia="바탕"/>
                      <w:sz w:val="18"/>
                    </w:rPr>
                    <w:t>Device</w:t>
                  </w:r>
                </w:p>
              </w:tc>
              <w:tc>
                <w:tcPr>
                  <w:tcW w:type="dxa" w:w="3238"/>
                </w:tcPr>
                <w:p>
                  <w:r>
                    <w:rPr>
                      <w:rFonts w:ascii="Times New Roman" w:hAnsi="Times New Roman" w:eastAsia="바탕"/>
                      <w:sz w:val="18"/>
                    </w:rPr>
                    <w:t>Works as normal</w:t>
                  </w:r>
                </w:p>
              </w:tc>
            </w:tr>
            <w:tr>
              <w:tc>
                <w:tcPr>
                  <w:tcW w:type="dxa" w:w="3238"/>
                </w:tcPr>
                <w:p>
                  <w:r>
                    <w:rPr>
                      <w:rFonts w:ascii="Times New Roman" w:hAnsi="Times New Roman" w:eastAsia="바탕"/>
                      <w:sz w:val="18"/>
                    </w:rPr>
                    <w:t>Prescription parsing</w:t>
                  </w:r>
                </w:p>
              </w:tc>
              <w:tc>
                <w:tcPr>
                  <w:tcW w:type="dxa" w:w="3238"/>
                </w:tcPr>
                <w:p>
                  <w:r>
                    <w:rPr>
                      <w:rFonts w:ascii="Times New Roman" w:hAnsi="Times New Roman" w:eastAsia="바탕"/>
                      <w:sz w:val="18"/>
                    </w:rPr>
                    <w:t>Device</w:t>
                  </w:r>
                </w:p>
              </w:tc>
              <w:tc>
                <w:tcPr>
                  <w:tcW w:type="dxa" w:w="3238"/>
                </w:tcPr>
                <w:p>
                  <w:r>
                    <w:rPr>
                      <w:rFonts w:ascii="Times New Roman" w:hAnsi="Times New Roman" w:eastAsia="바탕"/>
                      <w:sz w:val="18"/>
                    </w:rPr>
                    <w:t>Works as normal</w:t>
                  </w:r>
                </w:p>
              </w:tc>
            </w:tr>
            <w:tr>
              <w:tc>
                <w:tcPr>
                  <w:tcW w:type="dxa" w:w="3238"/>
                </w:tcPr>
                <w:p>
                  <w:r>
                    <w:rPr>
                      <w:rFonts w:ascii="Times New Roman" w:hAnsi="Times New Roman" w:eastAsia="바탕"/>
                      <w:sz w:val="18"/>
                    </w:rPr>
                    <w:t>Reading the paper form</w:t>
                  </w:r>
                </w:p>
              </w:tc>
              <w:tc>
                <w:tcPr>
                  <w:tcW w:type="dxa" w:w="3238"/>
                </w:tcPr>
                <w:p>
                  <w:r>
                    <w:rPr>
                      <w:rFonts w:ascii="Times New Roman" w:hAnsi="Times New Roman" w:eastAsia="바탕"/>
                      <w:sz w:val="18"/>
                    </w:rPr>
                    <w:t>Device</w:t>
                  </w:r>
                </w:p>
              </w:tc>
              <w:tc>
                <w:tcPr>
                  <w:tcW w:type="dxa" w:w="3238"/>
                </w:tcPr>
                <w:p>
                  <w:r>
                    <w:rPr>
                      <w:rFonts w:ascii="Times New Roman" w:hAnsi="Times New Roman" w:eastAsia="바탕"/>
                      <w:sz w:val="18"/>
                    </w:rPr>
                    <w:t>Works as normal</w:t>
                  </w:r>
                </w:p>
              </w:tc>
            </w:tr>
            <w:tr>
              <w:tc>
                <w:tcPr>
                  <w:tcW w:type="dxa" w:w="3238"/>
                </w:tcPr>
                <w:p>
                  <w:r>
                    <w:rPr>
                      <w:rFonts w:ascii="Times New Roman" w:hAnsi="Times New Roman" w:eastAsia="바탕"/>
                      <w:sz w:val="18"/>
                    </w:rPr>
                    <w:t>Nutrition estimation (photo)</w:t>
                  </w:r>
                </w:p>
              </w:tc>
              <w:tc>
                <w:tcPr>
                  <w:tcW w:type="dxa" w:w="3238"/>
                </w:tcPr>
                <w:p>
                  <w:r>
                    <w:rPr>
                      <w:rFonts w:ascii="Times New Roman" w:hAnsi="Times New Roman" w:eastAsia="바탕"/>
                      <w:sz w:val="18"/>
                    </w:rPr>
                    <w:t>Device</w:t>
                  </w:r>
                </w:p>
              </w:tc>
              <w:tc>
                <w:tcPr>
                  <w:tcW w:type="dxa" w:w="3238"/>
                </w:tcPr>
                <w:p>
                  <w:r>
                    <w:rPr>
                      <w:rFonts w:ascii="Times New Roman" w:hAnsi="Times New Roman" w:eastAsia="바탕"/>
                      <w:sz w:val="18"/>
                    </w:rPr>
                    <w:t>Works as normal</w:t>
                  </w:r>
                </w:p>
              </w:tc>
            </w:tr>
            <w:tr>
              <w:tc>
                <w:tcPr>
                  <w:tcW w:type="dxa" w:w="3238"/>
                </w:tcPr>
                <w:p>
                  <w:r>
                    <w:rPr>
                      <w:rFonts w:ascii="Times New Roman" w:hAnsi="Times New Roman" w:eastAsia="바탕"/>
                      <w:sz w:val="18"/>
                    </w:rPr>
                    <w:t>Verdict and daily reference calculation</w:t>
                  </w:r>
                </w:p>
              </w:tc>
              <w:tc>
                <w:tcPr>
                  <w:tcW w:type="dxa" w:w="3238"/>
                </w:tcPr>
                <w:p>
                  <w:r>
                    <w:rPr>
                      <w:rFonts w:ascii="Times New Roman" w:hAnsi="Times New Roman" w:eastAsia="바탕"/>
                      <w:sz w:val="18"/>
                    </w:rPr>
                    <w:t>Device</w:t>
                  </w:r>
                </w:p>
              </w:tc>
              <w:tc>
                <w:tcPr>
                  <w:tcW w:type="dxa" w:w="3238"/>
                </w:tcPr>
                <w:p>
                  <w:r>
                    <w:rPr>
                      <w:rFonts w:ascii="Times New Roman" w:hAnsi="Times New Roman" w:eastAsia="바탕"/>
                      <w:sz w:val="18"/>
                    </w:rPr>
                    <w:t>Works as normal</w:t>
                  </w:r>
                </w:p>
              </w:tc>
            </w:tr>
            <w:tr>
              <w:tc>
                <w:tcPr>
                  <w:tcW w:type="dxa" w:w="3238"/>
                </w:tcPr>
                <w:p>
                  <w:r>
                    <w:rPr>
                      <w:rFonts w:ascii="Times New Roman" w:hAnsi="Times New Roman" w:eastAsia="바탕"/>
                      <w:sz w:val="18"/>
                    </w:rPr>
                    <w:t>Recognising what was photographed</w:t>
                  </w:r>
                </w:p>
              </w:tc>
              <w:tc>
                <w:tcPr>
                  <w:tcW w:type="dxa" w:w="3238"/>
                </w:tcPr>
                <w:p>
                  <w:r>
                    <w:rPr>
                      <w:rFonts w:ascii="Times New Roman" w:hAnsi="Times New Roman" w:eastAsia="바탕"/>
                      <w:sz w:val="18"/>
                    </w:rPr>
                    <w:t>Server</w:t>
                  </w:r>
                </w:p>
              </w:tc>
              <w:tc>
                <w:tcPr>
                  <w:tcW w:type="dxa" w:w="3238"/>
                </w:tcPr>
                <w:p>
                  <w:r>
                    <w:rPr>
                      <w:rFonts w:ascii="Times New Roman" w:hAnsi="Times New Roman" w:eastAsia="바탕"/>
                      <w:sz w:val="18"/>
                    </w:rPr>
                    <w:t>Treated as unrecognised, shown as caution</w:t>
                  </w:r>
                </w:p>
              </w:tc>
            </w:tr>
            <w:tr>
              <w:tc>
                <w:tcPr>
                  <w:tcW w:type="dxa" w:w="3238"/>
                </w:tcPr>
                <w:p>
                  <w:r>
                    <w:rPr>
                      <w:rFonts w:ascii="Times New Roman" w:hAnsi="Times New Roman" w:eastAsia="바탕"/>
                      <w:sz w:val="18"/>
                    </w:rPr>
                    <w:t>Product data lookup</w:t>
                  </w:r>
                </w:p>
              </w:tc>
              <w:tc>
                <w:tcPr>
                  <w:tcW w:type="dxa" w:w="3238"/>
                </w:tcPr>
                <w:p>
                  <w:r>
                    <w:rPr>
                      <w:rFonts w:ascii="Times New Roman" w:hAnsi="Times New Roman" w:eastAsia="바탕"/>
                      <w:sz w:val="18"/>
                    </w:rPr>
                    <w:t>Server</w:t>
                  </w:r>
                </w:p>
              </w:tc>
              <w:tc>
                <w:tcPr>
                  <w:tcW w:type="dxa" w:w="3238"/>
                </w:tcPr>
                <w:p>
                  <w:r>
                    <w:rPr>
                      <w:rFonts w:ascii="Times New Roman" w:hAnsi="Times New Roman" w:eastAsia="바탕"/>
                      <w:sz w:val="18"/>
                    </w:rPr>
                    <w:t>Proceeds without the lookup</w:t>
                  </w:r>
                </w:p>
              </w:tc>
            </w:tr>
            <w:tr>
              <w:tc>
                <w:tcPr>
                  <w:tcW w:type="dxa" w:w="3238"/>
                </w:tcPr>
                <w:p>
                  <w:r>
                    <w:rPr>
                      <w:rFonts w:ascii="Times New Roman" w:hAnsi="Times New Roman" w:eastAsia="바탕"/>
                      <w:sz w:val="18"/>
                    </w:rPr>
                    <w:t>Composing a new pictogram</w:t>
                  </w:r>
                </w:p>
              </w:tc>
              <w:tc>
                <w:tcPr>
                  <w:tcW w:type="dxa" w:w="3238"/>
                </w:tcPr>
                <w:p>
                  <w:r>
                    <w:rPr>
                      <w:rFonts w:ascii="Times New Roman" w:hAnsi="Times New Roman" w:eastAsia="바탕"/>
                      <w:sz w:val="18"/>
                    </w:rPr>
                    <w:t>Server</w:t>
                  </w:r>
                </w:p>
              </w:tc>
              <w:tc>
                <w:tcPr>
                  <w:tcW w:type="dxa" w:w="3238"/>
                </w:tcPr>
                <w:p>
                  <w:r>
                    <w:rPr>
                      <w:rFonts w:ascii="Times New Roman" w:hAnsi="Times New Roman" w:eastAsia="바탕"/>
                      <w:sz w:val="18"/>
                    </w:rPr>
                    <w:t>Only pre-built ones appear</w:t>
                  </w:r>
                </w:p>
              </w:tc>
            </w:tr>
          </w:tbl>
          <w:p/>
          <w:p>
            <w:pPr>
              <w:spacing w:after="120"/>
            </w:pPr>
          </w:p>
          <w:p>
            <w:pPr>
              <w:spacing w:after="80" w:line="276" w:lineRule="auto"/>
              <w:jc w:val="both"/>
            </w:pPr>
            <w:r>
              <w:rPr>
                <w:rFonts w:ascii="Times New Roman" w:hAnsi="Times New Roman" w:eastAsia="바탕"/>
                <w:sz w:val="20"/>
              </w:rPr>
              <w:t>What separates the top six rows from the bottom three is urgency. Reading a prescription is not the kind of thing that can be postponed for want of a connection, whereas a verdict still comes out without a product lookup. Whether this boundary actually behaves as stated was checked in §5.6 with the connection cut.</w:t>
            </w:r>
          </w:p>
          <w:p>
            <w:pPr>
              <w:spacing w:after="80" w:line="276" w:lineRule="auto"/>
              <w:jc w:val="both"/>
            </w:pPr>
            <w:r>
              <w:rPr>
                <w:rFonts w:ascii="Times New Roman" w:hAnsi="Times New Roman" w:eastAsia="바탕"/>
                <w:sz w:val="20"/>
              </w:rPr>
              <w:t>One cost should be recorded. Running the model on the device means 16 MB is downloaded again whenever the model changes. Kept on the server, it could have been swapped without the user noticing. Between working without an internet connection and being fixable quietly, the former was chosen, and once the target users were settled this left no room for deliberation.</w:t>
            </w:r>
          </w:p>
          <w:p>
            <w:pPr>
              <w:spacing w:before="180" w:after="40"/>
            </w:pPr>
            <w:r>
              <w:rPr>
                <w:rFonts w:ascii="Times New Roman" w:hAnsi="Times New Roman" w:eastAsia="바탕"/>
                <w:b/>
                <w:sz w:val="23"/>
              </w:rPr>
              <w:t>4.2 Physical checks in the verdict engine</w:t>
            </w:r>
          </w:p>
          <w:p>
            <w:pPr>
              <w:spacing w:after="80" w:line="276" w:lineRule="auto"/>
              <w:jc w:val="both"/>
            </w:pPr>
            <w:r>
              <w:rPr>
                <w:rFonts w:ascii="Times New Roman" w:hAnsi="Times New Roman" w:eastAsia="바탕"/>
                <w:sz w:val="20"/>
              </w:rPr>
              <w:t xml:space="preserve">Nutrition information arrives by three routes: OCR of a nutrition label, a product database lookup, and estimation from a food photograph. The three differ in reliability, and photograph estimation is the least reliable. The most recent models in this field give a mean absolute error of </w:t>
            </w:r>
            <w:r>
              <w:rPr>
                <w:rFonts w:ascii="Times New Roman" w:hAnsi="Times New Roman" w:eastAsia="바탕"/>
                <w:b/>
                <w:sz w:val="20"/>
              </w:rPr>
              <w:t>253.7 kcal</w:t>
            </w:r>
            <w:r>
              <w:rPr>
                <w:rFonts w:ascii="Times New Roman" w:hAnsi="Times New Roman" w:eastAsia="바탕"/>
                <w:sz w:val="20"/>
              </w:rPr>
              <w:t xml:space="preserve"> for energy, 98.4 g for mass, 24.2 g for carbohydrate, 22.1 g for protein and 14.3 g for fat (Chen, T. et al., "NutritionVerse-Direct: Exploring Deep Neural Networks for Multitask Nutrition Prediction from Food Images," arXiv:2405.07814, 2024).</w:t>
            </w:r>
          </w:p>
          <w:p>
            <w:pPr>
              <w:spacing w:after="80" w:line="276" w:lineRule="auto"/>
              <w:jc w:val="both"/>
            </w:pPr>
            <w:r>
              <w:rPr>
                <w:rFonts w:ascii="Times New Roman" w:hAnsi="Times New Roman" w:eastAsia="바탕"/>
                <w:sz w:val="20"/>
              </w:rPr>
              <w:t xml:space="preserve">How large an energy error of 253.7 kcal is becomes clear against the thresholds in §2.4. Against a daily 1,800 kcal at age 70 it is </w:t>
            </w:r>
            <w:r>
              <w:rPr>
                <w:rFonts w:ascii="Times New Roman" w:hAnsi="Times New Roman" w:eastAsia="바탕"/>
                <w:b/>
                <w:sz w:val="20"/>
              </w:rPr>
              <w:t>14%</w:t>
            </w:r>
            <w:r>
              <w:rPr>
                <w:rFonts w:ascii="Times New Roman" w:hAnsi="Times New Roman" w:eastAsia="바탕"/>
                <w:sz w:val="20"/>
              </w:rPr>
              <w:t>, and taken against a 700 kcal meal it is more than a third. That is not accuracy sufficient to judge "may I eat this" from a single photograph. This route was kept anyway because local food in the target regions is in no product database, and for that reason values from this route reach the screen only after passing exactly the same physical checks as the other two.</w:t>
            </w:r>
          </w:p>
          <w:p>
            <w:pPr>
              <w:spacing w:after="80" w:line="276" w:lineRule="auto"/>
              <w:jc w:val="both"/>
            </w:pPr>
            <w:r>
              <w:rPr>
                <w:rFonts w:ascii="Times New Roman" w:hAnsi="Times New Roman" w:eastAsia="바탕"/>
                <w:sz w:val="20"/>
              </w:rPr>
              <w:t>SnapCare therefore applies the same checks regardless of which route a value came in by.</w:t>
            </w:r>
          </w:p>
          <w:p>
            <w:pPr>
              <w:spacing w:after="80" w:line="276" w:lineRule="auto"/>
              <w:jc w:val="both"/>
            </w:pPr>
            <w:r>
              <w:rPr>
                <w:rFonts w:ascii="Times New Roman" w:hAnsi="Times New Roman" w:eastAsia="바탕"/>
                <w:sz w:val="20"/>
              </w:rPr>
              <w:t>[Table 26] Checks a value must pass before it is accepted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Check</w:t>
                  </w:r>
                </w:p>
              </w:tc>
              <w:tc>
                <w:tcPr>
                  <w:tcW w:type="dxa" w:w="4857"/>
                  <w:shd w:val="clear" w:fill="F2F2F2"/>
                </w:tcPr>
                <w:p>
                  <w:r>
                    <w:rPr>
                      <w:rFonts w:ascii="Times New Roman" w:hAnsi="Times New Roman" w:eastAsia="바탕"/>
                      <w:b/>
                      <w:sz w:val="18"/>
                    </w:rPr>
                    <w:t>Content</w:t>
                  </w:r>
                </w:p>
              </w:tc>
            </w:tr>
            <w:tr>
              <w:tc>
                <w:tcPr>
                  <w:tcW w:type="dxa" w:w="4857"/>
                </w:tcPr>
                <w:p>
                  <w:r>
                    <w:rPr>
                      <w:rFonts w:ascii="Times New Roman" w:hAnsi="Times New Roman" w:eastAsia="바탕"/>
                      <w:sz w:val="18"/>
                    </w:rPr>
                    <w:t>Range</w:t>
                  </w:r>
                </w:p>
              </w:tc>
              <w:tc>
                <w:tcPr>
                  <w:tcW w:type="dxa" w:w="4857"/>
                </w:tcPr>
                <w:p>
                  <w:r>
                    <w:rPr>
                      <w:rFonts w:ascii="Times New Roman" w:hAnsi="Times New Roman" w:eastAsia="바탕"/>
                      <w:sz w:val="18"/>
                    </w:rPr>
                    <w:t>Is each nutrient within a physically possible range</w:t>
                  </w:r>
                </w:p>
              </w:tc>
            </w:tr>
            <w:tr>
              <w:tc>
                <w:tcPr>
                  <w:tcW w:type="dxa" w:w="4857"/>
                </w:tcPr>
                <w:p>
                  <w:r>
                    <w:rPr>
                      <w:rFonts w:ascii="Times New Roman" w:hAnsi="Times New Roman" w:eastAsia="바탕"/>
                      <w:sz w:val="18"/>
                    </w:rPr>
                    <w:t>Subset</w:t>
                  </w:r>
                </w:p>
              </w:tc>
              <w:tc>
                <w:tcPr>
                  <w:tcW w:type="dxa" w:w="4857"/>
                </w:tcPr>
                <w:p>
                  <w:r>
                    <w:rPr>
                      <w:rFonts w:ascii="Times New Roman" w:hAnsi="Times New Roman" w:eastAsia="바탕"/>
                      <w:sz w:val="18"/>
                    </w:rPr>
                    <w:t>Saturated fat ≤ total fat, sugars ≤ carbohydrates</w:t>
                  </w:r>
                </w:p>
              </w:tc>
            </w:tr>
            <w:tr>
              <w:tc>
                <w:tcPr>
                  <w:tcW w:type="dxa" w:w="4857"/>
                </w:tcPr>
                <w:p>
                  <w:r>
                    <w:rPr>
                      <w:rFonts w:ascii="Times New Roman" w:hAnsi="Times New Roman" w:eastAsia="바탕"/>
                      <w:sz w:val="18"/>
                    </w:rPr>
                    <w:t>Mass balance</w:t>
                  </w:r>
                </w:p>
              </w:tc>
              <w:tc>
                <w:tcPr>
                  <w:tcW w:type="dxa" w:w="4857"/>
                </w:tcPr>
                <w:p>
                  <w:r>
                    <w:rPr>
                      <w:rFonts w:ascii="Times New Roman" w:hAnsi="Times New Roman" w:eastAsia="바탕"/>
                      <w:sz w:val="18"/>
                    </w:rPr>
                    <w:t>Does the sum of nutrients exceed the total mass</w:t>
                  </w:r>
                </w:p>
              </w:tc>
            </w:tr>
            <w:tr>
              <w:tc>
                <w:tcPr>
                  <w:tcW w:type="dxa" w:w="4857"/>
                </w:tcPr>
                <w:p>
                  <w:r>
                    <w:rPr>
                      <w:rFonts w:ascii="Times New Roman" w:hAnsi="Times New Roman" w:eastAsia="바탕"/>
                      <w:sz w:val="18"/>
                    </w:rPr>
                    <w:t>Atwater identity</w:t>
                  </w:r>
                </w:p>
              </w:tc>
              <w:tc>
                <w:tcPr>
                  <w:tcW w:type="dxa" w:w="4857"/>
                </w:tcPr>
                <w:p>
                  <w:r>
                    <w:rPr>
                      <w:rFonts w:ascii="Times New Roman" w:hAnsi="Times New Roman" w:eastAsia="바탕"/>
                      <w:sz w:val="18"/>
                    </w:rPr>
                    <w:t>4·carbohydrate + 4·protein + 9·fat ≈ energy</w:t>
                  </w:r>
                </w:p>
              </w:tc>
            </w:tr>
          </w:tbl>
          <w:p/>
          <w:p>
            <w:pPr>
              <w:spacing w:after="120"/>
            </w:pPr>
          </w:p>
          <w:p>
            <w:pPr>
              <w:spacing w:before="160" w:after="60"/>
              <w:jc w:val="center"/>
            </w:pPr>
            <w:r>
              <w:drawing>
                <wp:inline xmlns:a="http://schemas.openxmlformats.org/drawingml/2006/main" xmlns:pic="http://schemas.openxmlformats.org/drawingml/2006/picture">
                  <wp:extent cx="5486400" cy="3108960"/>
                  <wp:docPr id="31" name="Picture 31"/>
                  <wp:cNvGraphicFramePr>
                    <a:graphicFrameLocks noChangeAspect="1"/>
                  </wp:cNvGraphicFramePr>
                  <a:graphic>
                    <a:graphicData uri="http://schemas.openxmlformats.org/drawingml/2006/picture">
                      <pic:pic>
                        <pic:nvPicPr>
                          <pic:cNvPr id="0" name="fig17_gate.png"/>
                          <pic:cNvPicPr/>
                        </pic:nvPicPr>
                        <pic:blipFill>
                          <a:blip r:embed="rId48"/>
                          <a:stretch>
                            <a:fillRect/>
                          </a:stretch>
                        </pic:blipFill>
                        <pic:spPr>
                          <a:xfrm>
                            <a:off x="0" y="0"/>
                            <a:ext cx="5486400" cy="310896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31]</w:t>
            </w:r>
            <w:r>
              <w:rPr>
                <w:rFonts w:ascii="Times New Roman" w:hAnsi="Times New Roman" w:eastAsia="바탕"/>
                <w:color w:val="606068"/>
                <w:sz w:val="18"/>
              </w:rPr>
              <w:t xml:space="preserve"> Three paths pass through one gate (§4.2). The red line underneath is the reason the checks were gathered in one place rather than placed on each path. The third path arrived in this app later, and no additional validation code was written for it. It was simply routed through the gate that already existed.</w:t>
            </w:r>
          </w:p>
          <w:p>
            <w:pPr>
              <w:spacing w:after="80" w:line="276" w:lineRule="auto"/>
              <w:jc w:val="both"/>
            </w:pPr>
            <w:r>
              <w:rPr>
                <w:rFonts w:ascii="Times New Roman" w:hAnsi="Times New Roman" w:eastAsia="바탕"/>
                <w:sz w:val="20"/>
              </w:rPr>
              <w:t>One response in §5.7 sums up why these checks sit ahead of the verdict. Associate Professor Hangil Lee of the College of Pharmacy, Ewha Womans University, withheld judgement on whether the app could fit a pharmacy workflow and pointed at the order: accuracy has to be secured before convenience. The gate in this section is that order written into code. Wherever a value came from, it is not used in a verdict unless it holds up physically, and the price is that sometimes no value is produced.</w:t>
            </w:r>
          </w:p>
          <w:p>
            <w:pPr>
              <w:spacing w:after="80" w:line="276" w:lineRule="auto"/>
              <w:jc w:val="both"/>
            </w:pPr>
            <w:r>
              <w:rPr>
                <w:rFonts w:ascii="Times New Roman" w:hAnsi="Times New Roman" w:eastAsia="바탕"/>
                <w:sz w:val="20"/>
              </w:rPr>
              <w:t>The Atwater identity is particularly useful. It is a relation that must hold for values from any source, so the consistency of the values themselves can be checked without having to trust the source.</w:t>
            </w:r>
          </w:p>
          <w:p>
            <w:pPr>
              <w:spacing w:after="80" w:line="276" w:lineRule="auto"/>
              <w:jc w:val="both"/>
            </w:pPr>
            <w:r>
              <w:rPr>
                <w:rFonts w:ascii="Times New Roman" w:hAnsi="Times New Roman" w:eastAsia="바탕"/>
                <w:sz w:val="20"/>
              </w:rPr>
              <w:t>There was a case where this check was genuinely needed. During development the label parser was found reading the fat value at ten times its actual figure while discarding correctly read carbohydrate and protein values. The Atwater check does not let that combination through.</w:t>
            </w:r>
          </w:p>
          <w:p>
            <w:pPr>
              <w:spacing w:after="80" w:line="276" w:lineRule="auto"/>
              <w:jc w:val="both"/>
            </w:pPr>
            <w:r>
              <w:rPr>
                <w:rFonts w:ascii="Times New Roman" w:hAnsi="Times New Roman" w:eastAsia="바탕"/>
                <w:sz w:val="20"/>
              </w:rPr>
              <w:t>The checks are gathered into a single function in front of the verdict engine. All three routes pass through this function before anything becomes a value.</w:t>
            </w:r>
          </w:p>
          <w:p>
            <w:pPr>
              <w:spacing w:after="160"/>
            </w:pPr>
            <w:r>
              <w:rPr>
                <w:rFonts w:ascii="Consolas" w:hAnsi="Consolas" w:eastAsia="Consolas"/>
                <w:sz w:val="18"/>
              </w:rPr>
              <w:t>export function validateDensity(per100: NutrientAmounts): ValidationResult {</w:t>
              <w:br/>
              <w:t xml:space="preserve">  const problems: string[] = [];</w:t>
              <w:br/>
              <w:br/>
              <w:t xml:space="preserve">  for (const [k, v] of Object.entries(per100) as [NutrientKey, number][]) {</w:t>
              <w:br/>
              <w:t xml:space="preserve">    const b = BOUNDS[k];                                   // ① physical range</w:t>
              <w:br/>
              <w:t xml:space="preserve">    if (b &amp;&amp; (v &lt; b[0] || v &gt; b[1])) problems.push(`${k}=${v} out of range ${b[0]}–${b[1]}`);</w:t>
              <w:br/>
              <w:t xml:space="preserve">  }</w:t>
              <w:br/>
              <w:br/>
              <w:t xml:space="preserve">  if (gt(per100.sugars, per100.carbohydrates)) problems.push('sugars &gt; carbohydrates');</w:t>
              <w:br/>
              <w:t xml:space="preserve">  if (gt(per100.saturatedFat, per100.fat)) problems.push('saturatedFat &gt; fat');   // ② subset</w:t>
              <w:br/>
              <w:br/>
              <w:t xml:space="preserve">  const mass = (['carbohydrates', 'fat', 'protein', 'fiber', 'salt'] as NutrientKey[])</w:t>
              <w:br/>
              <w:t xml:space="preserve">    .reduce((s, k) =&gt; s + (per100[k] ?? 0), 0);</w:t>
              <w:br/>
              <w:t xml:space="preserve">  if (mass &gt; MASS_LIMIT) problems.push(`mass ${mass.toFixed(1)} g per 100 g`);     // ③ mass balance</w:t>
              <w:br/>
              <w:t xml:space="preserve">  ...</w:t>
              <w:br/>
              <w:t>}</w:t>
            </w:r>
          </w:p>
          <w:p>
            <w:pPr>
              <w:spacing w:after="80" w:line="276" w:lineRule="auto"/>
              <w:jc w:val="both"/>
            </w:pPr>
            <w:r>
              <w:rPr>
                <w:rFonts w:ascii="Times New Roman" w:hAnsi="Times New Roman" w:eastAsia="바탕"/>
                <w:sz w:val="20"/>
              </w:rPr>
              <w:t>Design intent. The checks were gathered in one place rather than placed on each route. Placing them per route means reattaching them every time a route is added, and a route where someone forgot to attach them immediately becomes an unverified channel. The third route (photograph estimation) did in fact arrive later in this app, and no additional verification code was written for it. It was simply made to pass through the gate that already existed.</w:t>
            </w:r>
          </w:p>
          <w:p>
            <w:pPr>
              <w:spacing w:after="80" w:line="276" w:lineRule="auto"/>
              <w:jc w:val="both"/>
            </w:pPr>
            <w:r>
              <w:rPr>
                <w:rFonts w:ascii="Times New Roman" w:hAnsi="Times New Roman" w:eastAsia="바탕"/>
                <w:sz w:val="20"/>
              </w:rPr>
              <w:t xml:space="preserve">Returning </w:t>
            </w:r>
            <w:r>
              <w:rPr>
                <w:rFonts w:ascii="Consolas" w:hAnsi="Consolas" w:eastAsia="Consolas"/>
                <w:sz w:val="19"/>
              </w:rPr>
              <w:t>problems</w:t>
            </w:r>
            <w:r>
              <w:rPr>
                <w:rFonts w:ascii="Times New Roman" w:hAnsi="Times New Roman" w:eastAsia="바탕"/>
                <w:sz w:val="20"/>
              </w:rPr>
              <w:t xml:space="preserve"> as an array of strings rather than a boolean is also deliberate. When a value is rejected the screen has to be able to say what went wrong rather than "could not read it," and during development those strings become the log directly. It was these strings that surfaced the case of the fat value read at ten times its figure.</w:t>
            </w:r>
          </w:p>
          <w:p>
            <w:pPr>
              <w:spacing w:before="180" w:after="40"/>
            </w:pPr>
            <w:r>
              <w:rPr>
                <w:rFonts w:ascii="Times New Roman" w:hAnsi="Times New Roman" w:eastAsia="바탕"/>
                <w:b/>
                <w:sz w:val="23"/>
              </w:rPr>
              <w:t>4.3 Choosing the hardware link</w:t>
            </w:r>
          </w:p>
          <w:p>
            <w:pPr>
              <w:spacing w:after="80" w:line="276" w:lineRule="auto"/>
              <w:jc w:val="both"/>
            </w:pPr>
            <w:r>
              <w:rPr>
                <w:rFonts w:ascii="Times New Roman" w:hAnsi="Times New Roman" w:eastAsia="바탕"/>
                <w:sz w:val="20"/>
              </w:rPr>
              <w:t>Connecting the phone to the dispenser was a problem with several constraints applying at once.</w:t>
            </w:r>
          </w:p>
          <w:p>
            <w:pPr>
              <w:spacing w:after="80" w:line="276" w:lineRule="auto"/>
              <w:jc w:val="both"/>
            </w:pPr>
            <w:r>
              <w:rPr>
                <w:rFonts w:ascii="Times New Roman" w:hAnsi="Times New Roman" w:eastAsia="바탕"/>
                <w:sz w:val="20"/>
              </w:rPr>
              <w:t>[Table 27] Connection methods considered and why each was excluded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Method</w:t>
                  </w:r>
                </w:p>
              </w:tc>
              <w:tc>
                <w:tcPr>
                  <w:tcW w:type="dxa" w:w="3238"/>
                  <w:shd w:val="clear" w:fill="F2F2F2"/>
                </w:tcPr>
                <w:p>
                  <w:r>
                    <w:rPr>
                      <w:rFonts w:ascii="Times New Roman" w:hAnsi="Times New Roman" w:eastAsia="바탕"/>
                      <w:b/>
                      <w:sz w:val="18"/>
                    </w:rPr>
                    <w:t>Reason for exclusion</w:t>
                  </w:r>
                </w:p>
              </w:tc>
              <w:tc>
                <w:tcPr>
                  <w:tcW w:type="dxa" w:w="3238"/>
                  <w:shd w:val="clear" w:fill="F2F2F2"/>
                </w:tcPr>
                <w:p>
                  <w:r>
                    <w:rPr>
                      <w:rFonts w:ascii="Times New Roman" w:hAnsi="Times New Roman" w:eastAsia="바탕"/>
                      <w:b/>
                      <w:sz w:val="18"/>
                    </w:rPr>
                    <w:t>Nature</w:t>
                  </w:r>
                </w:p>
              </w:tc>
            </w:tr>
            <w:tr>
              <w:tc>
                <w:tcPr>
                  <w:tcW w:type="dxa" w:w="3238"/>
                </w:tcPr>
                <w:p>
                  <w:r>
                    <w:rPr>
                      <w:rFonts w:ascii="Times New Roman" w:hAnsi="Times New Roman" w:eastAsia="바탕"/>
                      <w:sz w:val="18"/>
                    </w:rPr>
                    <w:t>Web Bluetooth</w:t>
                  </w:r>
                </w:p>
              </w:tc>
              <w:tc>
                <w:tcPr>
                  <w:tcW w:type="dxa" w:w="3238"/>
                </w:tcPr>
                <w:p>
                  <w:r>
                    <w:rPr>
                      <w:rFonts w:ascii="Times New Roman" w:hAnsi="Times New Roman" w:eastAsia="바탕"/>
                      <w:sz w:val="18"/>
                    </w:rPr>
                    <w:t xml:space="preserve">iOS forces WebKit on all browsers, so </w:t>
                  </w:r>
                  <w:r>
                    <w:rPr>
                      <w:rFonts w:ascii="Consolas" w:hAnsi="Consolas" w:eastAsia="Consolas"/>
                      <w:sz w:val="17"/>
                    </w:rPr>
                    <w:t>navigator.bluetooth</w:t>
                  </w:r>
                  <w:r>
                    <w:rPr>
                      <w:rFonts w:ascii="Times New Roman" w:hAnsi="Times New Roman" w:eastAsia="바탕"/>
                      <w:sz w:val="18"/>
                    </w:rPr>
                    <w:t xml:space="preserve"> does not exist</w:t>
                  </w:r>
                </w:p>
              </w:tc>
              <w:tc>
                <w:tcPr>
                  <w:tcW w:type="dxa" w:w="3238"/>
                </w:tcPr>
                <w:p>
                  <w:r>
                    <w:rPr>
                      <w:rFonts w:ascii="Times New Roman" w:hAnsi="Times New Roman" w:eastAsia="바탕"/>
                      <w:sz w:val="18"/>
                    </w:rPr>
                    <w:t>Platform constraint</w:t>
                  </w:r>
                </w:p>
              </w:tc>
            </w:tr>
            <w:tr>
              <w:tc>
                <w:tcPr>
                  <w:tcW w:type="dxa" w:w="3238"/>
                </w:tcPr>
                <w:p>
                  <w:r>
                    <w:rPr>
                      <w:rFonts w:ascii="Times New Roman" w:hAnsi="Times New Roman" w:eastAsia="바탕"/>
                      <w:sz w:val="18"/>
                    </w:rPr>
                    <w:t xml:space="preserve">Direct </w:t>
                  </w:r>
                  <w:r>
                    <w:rPr>
                      <w:rFonts w:ascii="Consolas" w:hAnsi="Consolas" w:eastAsia="Consolas"/>
                      <w:sz w:val="17"/>
                    </w:rPr>
                    <w:t>fetch</w:t>
                  </w:r>
                  <w:r>
                    <w:rPr>
                      <w:rFonts w:ascii="Times New Roman" w:hAnsi="Times New Roman" w:eastAsia="바탕"/>
                      <w:sz w:val="18"/>
                    </w:rPr>
                    <w:t xml:space="preserve"> from an HTTPS page to the device</w:t>
                  </w:r>
                </w:p>
              </w:tc>
              <w:tc>
                <w:tcPr>
                  <w:tcW w:type="dxa" w:w="3238"/>
                </w:tcPr>
                <w:p>
                  <w:r>
                    <w:rPr>
                      <w:rFonts w:ascii="Times New Roman" w:hAnsi="Times New Roman" w:eastAsia="바탕"/>
                      <w:sz w:val="18"/>
                    </w:rPr>
                    <w:t>Mixed content blocking. The request never leaves the browser</w:t>
                  </w:r>
                </w:p>
              </w:tc>
              <w:tc>
                <w:tcPr>
                  <w:tcW w:type="dxa" w:w="3238"/>
                </w:tcPr>
                <w:p>
                  <w:r>
                    <w:rPr>
                      <w:rFonts w:ascii="Times New Roman" w:hAnsi="Times New Roman" w:eastAsia="바탕"/>
                      <w:sz w:val="18"/>
                    </w:rPr>
                    <w:t>Platform constraint</w:t>
                  </w:r>
                </w:p>
              </w:tc>
            </w:tr>
            <w:tr>
              <w:tc>
                <w:tcPr>
                  <w:tcW w:type="dxa" w:w="3238"/>
                </w:tcPr>
                <w:p>
                  <w:r>
                    <w:rPr>
                      <w:rFonts w:ascii="Times New Roman" w:hAnsi="Times New Roman" w:eastAsia="바탕"/>
                      <w:sz w:val="18"/>
                    </w:rPr>
                    <w:t>Cloud broker (MQTT over wss)</w:t>
                  </w:r>
                </w:p>
              </w:tc>
              <w:tc>
                <w:tcPr>
                  <w:tcW w:type="dxa" w:w="3238"/>
                </w:tcPr>
                <w:p>
                  <w:r>
                    <w:rPr>
                      <w:rFonts w:ascii="Times New Roman" w:hAnsi="Times New Roman" w:eastAsia="바탕"/>
                      <w:sz w:val="18"/>
                    </w:rPr>
                    <w:t xml:space="preserve">Solves all three problems but </w:t>
                  </w:r>
                  <w:r>
                    <w:rPr>
                      <w:rFonts w:ascii="Times New Roman" w:hAnsi="Times New Roman" w:eastAsia="바탕"/>
                      <w:b/>
                      <w:sz w:val="18"/>
                    </w:rPr>
                    <w:t>requires internet on both sides</w:t>
                  </w:r>
                </w:p>
              </w:tc>
              <w:tc>
                <w:tcPr>
                  <w:tcW w:type="dxa" w:w="3238"/>
                </w:tcPr>
                <w:p>
                  <w:r>
                    <w:rPr>
                      <w:rFonts w:ascii="Times New Roman" w:hAnsi="Times New Roman" w:eastAsia="바탕"/>
                      <w:sz w:val="18"/>
                    </w:rPr>
                    <w:t>Conflicts with the target environment</w:t>
                  </w:r>
                </w:p>
              </w:tc>
            </w:tr>
            <w:tr>
              <w:tc>
                <w:tcPr>
                  <w:tcW w:type="dxa" w:w="3238"/>
                </w:tcPr>
                <w:p>
                  <w:r>
                    <w:rPr>
                      <w:rFonts w:ascii="Times New Roman" w:hAnsi="Times New Roman" w:eastAsia="바탕"/>
                      <w:sz w:val="18"/>
                    </w:rPr>
                    <w:t>Dropping iOS support</w:t>
                  </w:r>
                </w:p>
              </w:tc>
              <w:tc>
                <w:tcPr>
                  <w:tcW w:type="dxa" w:w="3238"/>
                </w:tcPr>
                <w:p>
                  <w:r>
                    <w:rPr>
                      <w:rFonts w:ascii="Times New Roman" w:hAnsi="Times New Roman" w:eastAsia="바탕"/>
                      <w:sz w:val="18"/>
                    </w:rPr>
                    <w:t xml:space="preserve">Android share is 86.6% in Africa, 90.9% in Latin America and about 95% in India, so there is a basis, but </w:t>
                  </w:r>
                  <w:r>
                    <w:rPr>
                      <w:rFonts w:ascii="Times New Roman" w:hAnsi="Times New Roman" w:eastAsia="바탕"/>
                      <w:b/>
                      <w:sz w:val="18"/>
                    </w:rPr>
                    <w:t>it contradicts the product's claim of working for anyone</w:t>
                  </w:r>
                </w:p>
              </w:tc>
              <w:tc>
                <w:tcPr>
                  <w:tcW w:type="dxa" w:w="3238"/>
                </w:tcPr>
                <w:p>
                  <w:r>
                    <w:rPr>
                      <w:rFonts w:ascii="Times New Roman" w:hAnsi="Times New Roman" w:eastAsia="바탕"/>
                      <w:sz w:val="18"/>
                    </w:rPr>
                    <w:t>Our own principle</w:t>
                  </w:r>
                </w:p>
              </w:tc>
            </w:tr>
          </w:tbl>
          <w:p/>
          <w:p>
            <w:pPr>
              <w:spacing w:after="120"/>
            </w:pPr>
          </w:p>
          <w:p>
            <w:pPr>
              <w:spacing w:after="80" w:line="276" w:lineRule="auto"/>
              <w:jc w:val="both"/>
            </w:pPr>
            <w:r>
              <w:rPr>
                <w:rFonts w:ascii="Times New Roman" w:hAnsi="Times New Roman" w:eastAsia="바탕"/>
                <w:sz w:val="20"/>
              </w:rPr>
              <w:t>The first two are set by the platforms and cannot be worked around, the third is unacceptable as long as low-infrastructure regions are the target, and the fourth we ruled out ourselves. The last row of Table 27 is different in nature from the rest, which should be stated. Technology did not block it; we narrowed the options to keep the product's claim.</w:t>
            </w:r>
          </w:p>
          <w:p>
            <w:pPr>
              <w:spacing w:after="80" w:line="276" w:lineRule="auto"/>
              <w:jc w:val="both"/>
            </w:pPr>
            <w:r>
              <w:rPr>
                <w:rFonts w:ascii="Times New Roman" w:hAnsi="Times New Roman" w:eastAsia="바탕"/>
                <w:sz w:val="20"/>
              </w:rPr>
              <w:t xml:space="preserve">The remaining route is top-level navigation. An HTTPS page cannot </w:t>
            </w:r>
            <w:r>
              <w:rPr>
                <w:rFonts w:ascii="Consolas" w:hAnsi="Consolas" w:eastAsia="Consolas"/>
                <w:sz w:val="19"/>
              </w:rPr>
              <w:t>fetch</w:t>
            </w:r>
            <w:r>
              <w:rPr>
                <w:rFonts w:ascii="Times New Roman" w:hAnsi="Times New Roman" w:eastAsia="바탕"/>
                <w:sz w:val="20"/>
              </w:rPr>
              <w:t xml:space="preserve"> an HTTP device, but navigating to that address is not blocked. The app therefore builds a link to the device's save address, and one press from the user has the device store the schedule and show a confirmation page. No broker and no cloud are required, and the whole thing completes inside the home.</w:t>
            </w:r>
          </w:p>
          <w:p>
            <w:pPr>
              <w:spacing w:before="120" w:after="20"/>
            </w:pPr>
            <w:r>
              <w:rPr>
                <w:rFonts w:ascii="Times New Roman" w:hAnsi="Times New Roman" w:eastAsia="바탕"/>
                <w:b/>
                <w:sz w:val="21"/>
              </w:rPr>
              <w:t>4.3.1 Adding a relay path</w:t>
            </w:r>
          </w:p>
          <w:p>
            <w:pPr>
              <w:spacing w:after="80" w:line="276" w:lineRule="auto"/>
              <w:jc w:val="both"/>
            </w:pPr>
            <w:r>
              <w:rPr>
                <w:rFonts w:ascii="Times New Roman" w:hAnsi="Times New Roman" w:eastAsia="바탕"/>
                <w:sz w:val="20"/>
              </w:rPr>
              <w:t>The reason for excluding the cloud broker in the third row of Table 27 was that it "requires internet on both sides." That sentence is true when relying on that route alone. Since the LAN route above is already complete, adding an internet route on top of it does not increase the requirements.</w:t>
            </w:r>
          </w:p>
          <w:p>
            <w:pPr>
              <w:spacing w:after="80" w:line="276" w:lineRule="auto"/>
              <w:jc w:val="both"/>
            </w:pPr>
            <w:r>
              <w:rPr>
                <w:rFonts w:ascii="Times New Roman" w:hAnsi="Times New Roman" w:eastAsia="바탕"/>
                <w:sz w:val="20"/>
              </w:rPr>
              <w:t>That judgement was reached because a problem remained that the LAN route does not solve. The person managing the prescription is usually not in the house. The carer is at work and the dosing time changes on a Tuesday afternoon. And the two constraints excluded earlier in §4.3 remain in force on the LAN route. Mixed content means the app cannot call the device's API, so all a link can carry is the fields the legacy compatibility URL accepts. There is no field there for days of the week and none for duration. A Monday-Wednesday-Friday prescription goes out all seven days, and a 30-day prescription goes out until the tray is empty.</w:t>
            </w:r>
          </w:p>
          <w:p>
            <w:pPr>
              <w:spacing w:after="80" w:line="276" w:lineRule="auto"/>
              <w:jc w:val="both"/>
            </w:pPr>
            <w:r>
              <w:rPr>
                <w:rFonts w:ascii="Times New Roman" w:hAnsi="Times New Roman" w:eastAsia="바탕"/>
                <w:sz w:val="20"/>
              </w:rPr>
              <w:t>The dispenser was therefore made to hold open one outbound connection to a relay. The direction is outbound because home routers do not open a port to the dispenser, and asking them to is not something to ask for. The relay being HTTPS removes the mixed content problem, and days of the week and duration ride along.</w:t>
            </w:r>
          </w:p>
          <w:p>
            <w:pPr>
              <w:spacing w:after="80" w:line="276" w:lineRule="auto"/>
              <w:jc w:val="both"/>
            </w:pPr>
            <w:r>
              <w:rPr>
                <w:rFonts w:ascii="Times New Roman" w:hAnsi="Times New Roman" w:eastAsia="바탕"/>
                <w:sz w:val="20"/>
              </w:rPr>
              <w:t>The relay cannot read what it carries. Everything passing through is AES-256-GCM, and the key that opens it is derived independently on both sides from ten characters printed on the device. Neither side ever sends that key. The relay is given a different branch of the same derivation, a value sufficient to distinguish mailboxes and useless for opening them.</w:t>
            </w:r>
          </w:p>
          <w:p>
            <w:pPr>
              <w:spacing w:after="160"/>
            </w:pPr>
            <w:r>
              <w:rPr>
                <w:rFonts w:ascii="Consolas" w:hAnsi="Consolas" w:eastAsia="Consolas"/>
                <w:sz w:val="18"/>
              </w:rPr>
              <w:t>printed code ──HKDF──► device id      the relay's address    (relay sees it)</w:t>
              <w:br/>
              <w:t xml:space="preserve">             ──HKDF──► access token   rights to that mailbox (relay sees it)</w:t>
              <w:br/>
              <w:t xml:space="preserve">             ──HKDF──► box key        opens the schedule     (relay never sees it)</w:t>
            </w:r>
          </w:p>
          <w:p>
            <w:pPr>
              <w:spacing w:before="160" w:after="60"/>
              <w:jc w:val="center"/>
            </w:pPr>
            <w:r>
              <w:drawing>
                <wp:inline xmlns:a="http://schemas.openxmlformats.org/drawingml/2006/main" xmlns:pic="http://schemas.openxmlformats.org/drawingml/2006/picture">
                  <wp:extent cx="5486400" cy="2194560"/>
                  <wp:docPr id="32" name="Picture 32"/>
                  <wp:cNvGraphicFramePr>
                    <a:graphicFrameLocks noChangeAspect="1"/>
                  </wp:cNvGraphicFramePr>
                  <a:graphic>
                    <a:graphicData uri="http://schemas.openxmlformats.org/drawingml/2006/picture">
                      <pic:pic>
                        <pic:nvPicPr>
                          <pic:cNvPr id="0" name="fig20_relay_keys.png"/>
                          <pic:cNvPicPr/>
                        </pic:nvPicPr>
                        <pic:blipFill>
                          <a:blip r:embed="rId49"/>
                          <a:stretch>
                            <a:fillRect/>
                          </a:stretch>
                        </pic:blipFill>
                        <pic:spPr>
                          <a:xfrm>
                            <a:off x="0" y="0"/>
                            <a:ext cx="5486400" cy="219456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32]</w:t>
            </w:r>
            <w:r>
              <w:rPr>
                <w:rFonts w:ascii="Times New Roman" w:hAnsi="Times New Roman" w:eastAsia="바탕"/>
                <w:color w:val="606068"/>
                <w:sz w:val="18"/>
              </w:rPr>
              <w:t xml:space="preserve"> Three values separate out of ten printed characters. The relay distinguishes mailboxes by the first two, and the last is sent by neither side, so the relay has no way of holding it.</w:t>
            </w:r>
          </w:p>
          <w:p>
            <w:pPr>
              <w:spacing w:after="80" w:line="276" w:lineRule="auto"/>
              <w:jc w:val="both"/>
            </w:pPr>
            <w:r>
              <w:rPr>
                <w:rFonts w:ascii="Times New Roman" w:hAnsi="Times New Roman" w:eastAsia="바탕"/>
                <w:sz w:val="20"/>
              </w:rPr>
              <w:t>This is one more channel rather than a dependency. The schedule is already on the device's SD card and the time is known to the real-time clock. Whether the relay is down, unreachable or never configured at all, nobody's dose is missed. The judgement in Table 27 stands. We still do not require a cloud.</w:t>
            </w:r>
          </w:p>
          <w:p>
            <w:pPr>
              <w:spacing w:before="180" w:after="40"/>
            </w:pPr>
            <w:r>
              <w:rPr>
                <w:rFonts w:ascii="Times New Roman" w:hAnsi="Times New Roman" w:eastAsia="바탕"/>
                <w:b/>
                <w:sz w:val="23"/>
              </w:rPr>
              <w:t>4.4 Reading the paper form</w:t>
            </w:r>
          </w:p>
          <w:p>
            <w:pPr>
              <w:spacing w:after="80" w:line="276" w:lineRule="auto"/>
              <w:jc w:val="both"/>
            </w:pPr>
            <w:r>
              <w:rPr>
                <w:rFonts w:ascii="Times New Roman" w:hAnsi="Times New Roman" w:eastAsia="바탕"/>
                <w:sz w:val="20"/>
              </w:rPr>
              <w:t>The original open-source design for the dispenser performs all configuration through a 2.8-inch touchscreen. This collides head-on with SnapCare's premise. A screen with a text menu that has to be read is the very thing we are removing.</w:t>
            </w:r>
          </w:p>
          <w:p>
            <w:pPr>
              <w:spacing w:after="80" w:line="276" w:lineRule="auto"/>
              <w:jc w:val="both"/>
            </w:pPr>
            <w:r>
              <w:rPr>
                <w:rFonts w:ascii="Times New Roman" w:hAnsi="Times New Roman" w:eastAsia="바탕"/>
                <w:sz w:val="20"/>
              </w:rPr>
              <w:t>The screen was therefore removed and replaced with a paper form. A doctor or pharmacist marks the form, and the patient only has to photograph it. Reading is performed by an OpenCV parser the team built.</w:t>
            </w:r>
          </w:p>
          <w:p>
            <w:pPr>
              <w:spacing w:after="80" w:line="276" w:lineRule="auto"/>
              <w:jc w:val="both"/>
            </w:pPr>
            <w:r>
              <w:rPr>
                <w:rFonts w:ascii="Times New Roman" w:hAnsi="Times New Roman" w:eastAsia="바탕"/>
                <w:sz w:val="20"/>
              </w:rPr>
              <w:t>The reader was first built in Python with OpenCV on the server and then moved into the browser. The reason for moving it is that this was the only path still requiring the internet. Text recognition, the nutrition estimation model, the verdict engine and the pictograms are all on the device (§4.1), and yet the feature one would most want in a clinic without internet was calling a server.</w:t>
            </w:r>
          </w:p>
          <w:p>
            <w:pPr>
              <w:spacing w:after="80" w:line="276" w:lineRule="auto"/>
              <w:jc w:val="both"/>
            </w:pPr>
            <w:r>
              <w:rPr>
                <w:rFonts w:ascii="Times New Roman" w:hAnsi="Times New Roman" w:eastAsia="바탕"/>
                <w:sz w:val="20"/>
              </w:rPr>
              <w:t>Rather than shipping opencv.js whole, only the functions used were transcribed: Gaussian blur, adaptive thresholding, Laplacian variance, perspective warp and Otsu thresholding. Making the user fetch another 8 MB runs against the judgement in §4.5 that the 16 MB model is fetched on first use. We wrote the ArUco detection ourselves as well. Only four markers are printed on the paper, so there is no reason to port a dictionary of 50, and the path by which a candidate could be "corrected" into one of the other 46 disappears with it.</w:t>
            </w:r>
          </w:p>
          <w:p>
            <w:pPr>
              <w:spacing w:after="80" w:line="276" w:lineRule="auto"/>
              <w:jc w:val="both"/>
            </w:pPr>
            <w:r>
              <w:rPr>
                <w:rFonts w:ascii="Times New Roman" w:hAnsi="Times New Roman" w:eastAsia="바탕"/>
                <w:sz w:val="20"/>
              </w:rPr>
              <w:t>We kept the Python version rather than deleting it, because whether the two implementations give the same answer is the only way to judge whether the move was correct.</w:t>
            </w:r>
          </w:p>
          <w:p>
            <w:pPr>
              <w:spacing w:after="80" w:line="276" w:lineRule="auto"/>
              <w:jc w:val="both"/>
            </w:pPr>
            <w:r>
              <w:rPr>
                <w:rFonts w:ascii="Times New Roman" w:hAnsi="Times New Roman" w:eastAsia="바탕"/>
                <w:sz w:val="20"/>
              </w:rPr>
              <w:t>Reading has four stages. ArUco markers at the four corners of the form are located and the perspective corrected (flattened to 1000×1000), adaptive thresholding is applied, the fill ratio of each bubble is measured at coordinates given in a configuration file, and what has been marked is decided from those ratios. If the markers are not found, no value is invented and an error meaning "the whole sheet is not in frame" is returned.</w:t>
            </w:r>
          </w:p>
          <w:p>
            <w:pPr>
              <w:spacing w:after="80" w:line="276" w:lineRule="auto"/>
              <w:jc w:val="both"/>
            </w:pPr>
            <w:r>
              <w:rPr>
                <w:rFonts w:ascii="Times New Roman" w:hAnsi="Times New Roman" w:eastAsia="바탕"/>
                <w:sz w:val="20"/>
              </w:rPr>
              <w:t>There is one judgement embedded in the rule for deciding values. Items where only one option may be chosen (tray number, duration, time of day) are handled differently from items where several may be (days of the week). The former picks the single darkest cell but only if the gap from the runner-up is sufficient, and otherwise yields no value and reports a problem. Picking plausibly among ambiguous marks is the worst failure on this route. A misread dosing time is more dangerous than no value read at all.</w:t>
            </w:r>
          </w:p>
          <w:p>
            <w:pPr>
              <w:spacing w:after="160"/>
            </w:pPr>
            <w:r>
              <w:rPr>
                <w:rFonts w:ascii="Consolas" w:hAnsi="Consolas" w:eastAsia="Consolas"/>
                <w:sz w:val="18"/>
              </w:rPr>
              <w:t>if group["mode"] == "one":</w:t>
              <w:br/>
              <w:t xml:space="preserve">    ranked = sorted(s.items(), key=lambda kv: -kv[1])</w:t>
              <w:br/>
              <w:t xml:space="preserve">    best, second = ranked[0], ranked[1]</w:t>
              <w:br/>
              <w:br/>
              <w:t xml:space="preserve">    if best[1] &lt; abs_min:                      # ① nothing filled in</w:t>
              <w:br/>
              <w:t xml:space="preserve">        values[name] = None</w:t>
              <w:br/>
              <w:t xml:space="preserve">        problems.append(f"{name}: nothing filled")</w:t>
              <w:br/>
              <w:br/>
              <w:t xml:space="preserve">    elif second[1] &gt;= abs_min:                 # ② both properly filled in</w:t>
              <w:br/>
              <w:t xml:space="preserve">        # Looking only at the gap between the two would quietly pick whichever</w:t>
              <w:br/>
              <w:t xml:space="preserve">        # the pen covered more on a sheet where someone changed their mind and</w:t>
              <w:br/>
              <w:t xml:space="preserve">        # did not erase the first mark. The paper is saying two different</w:t>
              <w:br/>
              <w:t xml:space="preserve">        # things, and only the person who wrote it knows which one it was.</w:t>
              <w:br/>
              <w:t xml:space="preserve">        values[name] = None</w:t>
              <w:br/>
              <w:t xml:space="preserve">        problems.append(</w:t>
              <w:br/>
              <w:t xml:space="preserve">            f"{name}: two boxes filled ({best[0]}={best[1]:.2f}, "</w:t>
              <w:br/>
              <w:t xml:space="preserve">            f"{second[0]}={second[1]:.2f}) — erase one and retake"</w:t>
              <w:br/>
              <w:t xml:space="preserve">        )</w:t>
              <w:br/>
              <w:br/>
              <w:t xml:space="preserve">    elif best[1] - second[1] &lt; margin:         # ③ does not separate</w:t>
              <w:br/>
              <w:t xml:space="preserve">        values[name] = None</w:t>
              <w:br/>
              <w:t xml:space="preserve">        problems.append(</w:t>
              <w:br/>
              <w:t xml:space="preserve">            f"{name}: ambiguous ({best[0]}={best[1]:.2f}, {second[0]}={second[1]:.2f})"</w:t>
              <w:br/>
              <w:t xml:space="preserve">        )</w:t>
              <w:br/>
              <w:br/>
              <w:t xml:space="preserve">    else:</w:t>
              <w:br/>
              <w:t xml:space="preserve">        values[name] = best[0]</w:t>
              <w:br/>
              <w:t>else:                                          # multi-select items (days of week)</w:t>
              <w:br/>
              <w:t xml:space="preserve">    picked  = [k for k in group["bubbles"] if s[k] &gt;= abs_min]</w:t>
              <w:br/>
              <w:t xml:space="preserve">    unclear = [k for k in group["bubbles"] if abs_min - margin &lt;= s[k] &lt; abs_min]</w:t>
            </w:r>
          </w:p>
          <w:p>
            <w:pPr>
              <w:spacing w:before="160" w:after="60"/>
              <w:jc w:val="center"/>
            </w:pPr>
            <w:r>
              <w:drawing>
                <wp:inline xmlns:a="http://schemas.openxmlformats.org/drawingml/2006/main" xmlns:pic="http://schemas.openxmlformats.org/drawingml/2006/picture">
                  <wp:extent cx="5486400" cy="2194560"/>
                  <wp:docPr id="33" name="Picture 33"/>
                  <wp:cNvGraphicFramePr>
                    <a:graphicFrameLocks noChangeAspect="1"/>
                  </wp:cNvGraphicFramePr>
                  <a:graphic>
                    <a:graphicData uri="http://schemas.openxmlformats.org/drawingml/2006/picture">
                      <pic:pic>
                        <pic:nvPicPr>
                          <pic:cNvPr id="0" name="fig23_formsheet.png"/>
                          <pic:cNvPicPr/>
                        </pic:nvPicPr>
                        <pic:blipFill>
                          <a:blip r:embed="rId50"/>
                          <a:stretch>
                            <a:fillRect/>
                          </a:stretch>
                        </pic:blipFill>
                        <pic:spPr>
                          <a:xfrm>
                            <a:off x="0" y="0"/>
                            <a:ext cx="5486400" cy="219456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33]</w:t>
            </w:r>
            <w:r>
              <w:rPr>
                <w:rFonts w:ascii="Times New Roman" w:hAnsi="Times New Roman" w:eastAsia="바탕"/>
                <w:color w:val="606068"/>
                <w:sz w:val="18"/>
              </w:rPr>
              <w:t xml:space="preserve"> The four stages of reading the paper form, and the three branches on which a single-choice item yields no value. All three red boxes end on the side that produces nothing.</w:t>
            </w:r>
          </w:p>
          <w:p>
            <w:pPr>
              <w:spacing w:after="80" w:line="276" w:lineRule="auto"/>
              <w:jc w:val="both"/>
            </w:pPr>
            <w:r>
              <w:rPr>
                <w:rFonts w:ascii="Times New Roman" w:hAnsi="Times New Roman" w:eastAsia="바탕"/>
                <w:sz w:val="20"/>
              </w:rPr>
              <w:t>Design intent. That branches ①, ② and ③ all end by yielding no value is the character of this function. Branch ② especially. When two cells are both properly filled in, picking the darker is technically easy, but it manufactures something the paper did not say.</w:t>
            </w:r>
          </w:p>
          <w:p>
            <w:pPr>
              <w:spacing w:after="80" w:line="276" w:lineRule="auto"/>
              <w:jc w:val="both"/>
            </w:pPr>
            <w:r>
              <w:rPr>
                <w:rFonts w:ascii="Times New Roman" w:hAnsi="Times New Roman" w:eastAsia="바탕"/>
                <w:sz w:val="20"/>
              </w:rPr>
              <w:t>A named problem (</w:t>
            </w:r>
            <w:r>
              <w:rPr>
                <w:rFonts w:ascii="Consolas" w:hAnsi="Consolas" w:eastAsia="Consolas"/>
                <w:sz w:val="19"/>
              </w:rPr>
              <w:t>problems</w:t>
            </w:r>
            <w:r>
              <w:rPr>
                <w:rFonts w:ascii="Times New Roman" w:hAnsi="Times New Roman" w:eastAsia="바탕"/>
                <w:sz w:val="20"/>
              </w:rPr>
              <w:t>) sends the user back to the paper and is recoverable. A confident misreading is not. This is why the reader has to be able to say "I do not know," and it is the same principle as the parser in §2.2 turning an invented name into an error rather than a picture, and the checker in §5.2 not lowering the pass criterion to fit the results.</w:t>
            </w:r>
          </w:p>
          <w:p>
            <w:pPr>
              <w:spacing w:after="80" w:line="276" w:lineRule="auto"/>
              <w:jc w:val="both"/>
            </w:pPr>
            <w:r>
              <w:rPr>
                <w:rFonts w:ascii="Times New Roman" w:hAnsi="Times New Roman" w:eastAsia="바탕"/>
                <w:sz w:val="20"/>
              </w:rPr>
              <w:t xml:space="preserve">For multi-select items such as days of the week, the </w:t>
            </w:r>
            <w:r>
              <w:rPr>
                <w:rFonts w:ascii="Consolas" w:hAnsi="Consolas" w:eastAsia="Consolas"/>
                <w:sz w:val="19"/>
              </w:rPr>
              <w:t>unclear</w:t>
            </w:r>
            <w:r>
              <w:rPr>
                <w:rFonts w:ascii="Times New Roman" w:hAnsi="Times New Roman" w:eastAsia="바탕"/>
                <w:sz w:val="20"/>
              </w:rPr>
              <w:t xml:space="preserve"> marks, those too ambiguous to call either empty or filled, are collected separately and reported alongside. Yielding a value while also saying what is doubtful is better than dropping something silently.</w:t>
            </w:r>
          </w:p>
          <w:p>
            <w:pPr>
              <w:spacing w:before="120" w:after="20"/>
            </w:pPr>
            <w:r>
              <w:rPr>
                <w:rFonts w:ascii="Times New Roman" w:hAnsi="Times New Roman" w:eastAsia="바탕"/>
                <w:b/>
                <w:sz w:val="21"/>
              </w:rPr>
              <w:t>4.4.1 Measuring where degradation breaks it</w:t>
            </w:r>
          </w:p>
          <w:p>
            <w:pPr>
              <w:spacing w:after="80" w:line="276" w:lineRule="auto"/>
              <w:jc w:val="both"/>
            </w:pPr>
            <w:r>
              <w:rPr>
                <w:rFonts w:ascii="Times New Roman" w:hAnsi="Times New Roman" w:eastAsia="바탕"/>
                <w:sz w:val="20"/>
              </w:rPr>
              <w:t>We wanted how rough a photograph the parser can still read to be recorded as a measurement rather than an opinion. Testing an optical mark reader normally means printing the form, filling it by hand and photographing it under various lighting, and repeating all of that whenever the code changes. Then nobody runs it, and behaviour under poor conditions stays a guess.</w:t>
            </w:r>
          </w:p>
          <w:p>
            <w:pPr>
              <w:spacing w:after="80" w:line="276" w:lineRule="auto"/>
              <w:jc w:val="both"/>
            </w:pPr>
            <w:r>
              <w:rPr>
                <w:rFonts w:ascii="Times New Roman" w:hAnsi="Times New Roman" w:eastAsia="바탕"/>
                <w:sz w:val="20"/>
              </w:rPr>
              <w:t>Photographs are therefore generated. Starting from a real form image, bubbles are filled the way a person fills them (off centre, underfilled, sometimes spilling past the outline), and that sheet is put through what a phone camera does to it: perspective from holding it at an angle, a lighting gradient from standing with a window behind, defocus, sensor noise, JPEG compression. The result is an image the parser has never seen and whose correct answer is known exactly.</w:t>
            </w:r>
          </w:p>
          <w:p>
            <w:pPr>
              <w:spacing w:after="80" w:line="276" w:lineRule="auto"/>
              <w:jc w:val="both"/>
            </w:pPr>
            <w:r>
              <w:rPr>
                <w:rFonts w:ascii="Times New Roman" w:hAnsi="Times New Roman" w:eastAsia="바탕"/>
                <w:sz w:val="20"/>
              </w:rPr>
              <w:t>With this generator each degradation was pushed until reading broke. A point counts as passing only if every trial at that point was read correctly.</w:t>
            </w:r>
          </w:p>
          <w:p>
            <w:pPr>
              <w:spacing w:after="80" w:line="276" w:lineRule="auto"/>
              <w:jc w:val="both"/>
            </w:pPr>
            <w:r>
              <w:rPr>
                <w:rFonts w:ascii="Times New Roman" w:hAnsi="Times New Roman" w:eastAsia="바탕"/>
                <w:sz w:val="20"/>
              </w:rPr>
              <w:t>[Table 28] The last point at which reading stayed at 100% (16 images per point)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Degradation</w:t>
                  </w:r>
                </w:p>
              </w:tc>
              <w:tc>
                <w:tcPr>
                  <w:tcW w:type="dxa" w:w="3238"/>
                  <w:shd w:val="clear" w:fill="F2F2F2"/>
                </w:tcPr>
                <w:p>
                  <w:r>
                    <w:rPr>
                      <w:rFonts w:ascii="Times New Roman" w:hAnsi="Times New Roman" w:eastAsia="바탕"/>
                      <w:b/>
                      <w:sz w:val="18"/>
                    </w:rPr>
                    <w:t>Last value read entirely correctly</w:t>
                  </w:r>
                </w:p>
              </w:tc>
              <w:tc>
                <w:tcPr>
                  <w:tcW w:type="dxa" w:w="3238"/>
                  <w:shd w:val="clear" w:fill="F2F2F2"/>
                </w:tcPr>
                <w:p>
                  <w:r>
                    <w:rPr>
                      <w:rFonts w:ascii="Times New Roman" w:hAnsi="Times New Roman" w:eastAsia="바탕"/>
                      <w:b/>
                      <w:sz w:val="18"/>
                    </w:rPr>
                    <w:t>At the next value</w:t>
                  </w:r>
                </w:p>
              </w:tc>
            </w:tr>
            <w:tr>
              <w:tc>
                <w:tcPr>
                  <w:tcW w:type="dxa" w:w="3238"/>
                </w:tcPr>
                <w:p>
                  <w:r>
                    <w:rPr>
                      <w:rFonts w:ascii="Times New Roman" w:hAnsi="Times New Roman" w:eastAsia="바탕"/>
                      <w:sz w:val="18"/>
                    </w:rPr>
                    <w:t>Defocus</w:t>
                  </w:r>
                </w:p>
              </w:tc>
              <w:tc>
                <w:tcPr>
                  <w:tcW w:type="dxa" w:w="3238"/>
                </w:tcPr>
                <w:p>
                  <w:r>
                    <w:rPr>
                      <w:rFonts w:ascii="Times New Roman" w:hAnsi="Times New Roman" w:eastAsia="바탕"/>
                      <w:sz w:val="18"/>
                    </w:rPr>
                    <w:t>2.0 px</w:t>
                  </w:r>
                </w:p>
              </w:tc>
              <w:tc>
                <w:tcPr>
                  <w:tcW w:type="dxa" w:w="3238"/>
                </w:tcPr>
                <w:p>
                  <w:r>
                    <w:rPr>
                      <w:rFonts w:ascii="Times New Roman" w:hAnsi="Times New Roman" w:eastAsia="바탕"/>
                      <w:sz w:val="18"/>
                    </w:rPr>
                    <w:t>Collapses at 2.5 px</w:t>
                  </w:r>
                </w:p>
              </w:tc>
            </w:tr>
            <w:tr>
              <w:tc>
                <w:tcPr>
                  <w:tcW w:type="dxa" w:w="3238"/>
                </w:tcPr>
                <w:p>
                  <w:r>
                    <w:rPr>
                      <w:rFonts w:ascii="Times New Roman" w:hAnsi="Times New Roman" w:eastAsia="바탕"/>
                      <w:sz w:val="18"/>
                    </w:rPr>
                    <w:t>Perspective skew</w:t>
                  </w:r>
                </w:p>
              </w:tc>
              <w:tc>
                <w:tcPr>
                  <w:tcW w:type="dxa" w:w="3238"/>
                </w:tcPr>
                <w:p>
                  <w:r>
                    <w:rPr>
                      <w:rFonts w:ascii="Times New Roman" w:hAnsi="Times New Roman" w:eastAsia="바탕"/>
                      <w:sz w:val="18"/>
                    </w:rPr>
                    <w:t>0.18</w:t>
                  </w:r>
                </w:p>
              </w:tc>
              <w:tc>
                <w:tcPr>
                  <w:tcW w:type="dxa" w:w="3238"/>
                </w:tcPr>
                <w:p>
                  <w:r>
                    <w:rPr>
                      <w:rFonts w:ascii="Times New Roman" w:hAnsi="Times New Roman" w:eastAsia="바탕"/>
                      <w:sz w:val="18"/>
                    </w:rPr>
                    <w:t>Collapses at 0.22</w:t>
                  </w:r>
                </w:p>
              </w:tc>
            </w:tr>
            <w:tr>
              <w:tc>
                <w:tcPr>
                  <w:tcW w:type="dxa" w:w="3238"/>
                </w:tcPr>
                <w:p>
                  <w:r>
                    <w:rPr>
                      <w:rFonts w:ascii="Times New Roman" w:hAnsi="Times New Roman" w:eastAsia="바탕"/>
                      <w:sz w:val="18"/>
                    </w:rPr>
                    <w:t>Sensor noise</w:t>
                  </w:r>
                </w:p>
              </w:tc>
              <w:tc>
                <w:tcPr>
                  <w:tcW w:type="dxa" w:w="3238"/>
                </w:tcPr>
                <w:p>
                  <w:r>
                    <w:rPr>
                      <w:rFonts w:ascii="Times New Roman" w:hAnsi="Times New Roman" w:eastAsia="바탕"/>
                      <w:sz w:val="18"/>
                    </w:rPr>
                    <w:t>σ = 32</w:t>
                  </w:r>
                </w:p>
              </w:tc>
              <w:tc>
                <w:tcPr>
                  <w:tcW w:type="dxa" w:w="3238"/>
                </w:tcPr>
                <w:p>
                  <w:r>
                    <w:rPr>
                      <w:rFonts w:ascii="Times New Roman" w:hAnsi="Times New Roman" w:eastAsia="바탕"/>
                      <w:sz w:val="18"/>
                    </w:rPr>
                    <w:t>81.2% at σ = 48</w:t>
                  </w:r>
                </w:p>
              </w:tc>
            </w:tr>
            <w:tr>
              <w:tc>
                <w:tcPr>
                  <w:tcW w:type="dxa" w:w="3238"/>
                </w:tcPr>
                <w:p>
                  <w:r>
                    <w:rPr>
                      <w:rFonts w:ascii="Times New Roman" w:hAnsi="Times New Roman" w:eastAsia="바탕"/>
                      <w:sz w:val="18"/>
                    </w:rPr>
                    <w:t>Mark fill level</w:t>
                  </w:r>
                </w:p>
              </w:tc>
              <w:tc>
                <w:tcPr>
                  <w:tcW w:type="dxa" w:w="3238"/>
                </w:tcPr>
                <w:p>
                  <w:r>
                    <w:rPr>
                      <w:rFonts w:ascii="Times New Roman" w:hAnsi="Times New Roman" w:eastAsia="바탕"/>
                      <w:sz w:val="18"/>
                    </w:rPr>
                    <w:t>0.4</w:t>
                  </w:r>
                </w:p>
              </w:tc>
              <w:tc>
                <w:tcPr>
                  <w:tcW w:type="dxa" w:w="3238"/>
                </w:tcPr>
                <w:p>
                  <w:r>
                    <w:rPr>
                      <w:rFonts w:ascii="Times New Roman" w:hAnsi="Times New Roman" w:eastAsia="바탕"/>
                      <w:sz w:val="18"/>
                    </w:rPr>
                    <w:t>50.0% at 0.3</w:t>
                  </w:r>
                </w:p>
              </w:tc>
            </w:tr>
            <w:tr>
              <w:tc>
                <w:tcPr>
                  <w:tcW w:type="dxa" w:w="3238"/>
                </w:tcPr>
                <w:p>
                  <w:r>
                    <w:rPr>
                      <w:rFonts w:ascii="Times New Roman" w:hAnsi="Times New Roman" w:eastAsia="바탕"/>
                      <w:sz w:val="18"/>
                    </w:rPr>
                    <w:t>Shadow</w:t>
                  </w:r>
                </w:p>
              </w:tc>
              <w:tc>
                <w:tcPr>
                  <w:tcW w:type="dxa" w:w="3238"/>
                </w:tcPr>
                <w:p>
                  <w:r>
                    <w:rPr>
                      <w:rFonts w:ascii="Times New Roman" w:hAnsi="Times New Roman" w:eastAsia="바탕"/>
                      <w:sz w:val="18"/>
                    </w:rPr>
                    <w:t>0.9</w:t>
                  </w:r>
                </w:p>
              </w:tc>
              <w:tc>
                <w:tcPr>
                  <w:tcW w:type="dxa" w:w="3238"/>
                </w:tcPr>
                <w:p>
                  <w:r>
                    <w:rPr>
                      <w:rFonts w:ascii="Times New Roman" w:hAnsi="Times New Roman" w:eastAsia="바탕"/>
                      <w:b/>
                      <w:sz w:val="18"/>
                    </w:rPr>
                    <w:t>Did not break within the range tested</w:t>
                  </w:r>
                </w:p>
              </w:tc>
            </w:tr>
            <w:tr>
              <w:tc>
                <w:tcPr>
                  <w:tcW w:type="dxa" w:w="3238"/>
                </w:tcPr>
                <w:p>
                  <w:r>
                    <w:rPr>
                      <w:rFonts w:ascii="Times New Roman" w:hAnsi="Times New Roman" w:eastAsia="바탕"/>
                      <w:sz w:val="18"/>
                    </w:rPr>
                    <w:t>Brightness</w:t>
                  </w:r>
                </w:p>
              </w:tc>
              <w:tc>
                <w:tcPr>
                  <w:tcW w:type="dxa" w:w="3238"/>
                </w:tcPr>
                <w:p>
                  <w:r>
                    <w:rPr>
                      <w:rFonts w:ascii="Times New Roman" w:hAnsi="Times New Roman" w:eastAsia="바탕"/>
                      <w:sz w:val="18"/>
                    </w:rPr>
                    <w:t>0.25×</w:t>
                  </w:r>
                </w:p>
              </w:tc>
              <w:tc>
                <w:tcPr>
                  <w:tcW w:type="dxa" w:w="3238"/>
                </w:tcPr>
                <w:p>
                  <w:r>
                    <w:rPr>
                      <w:rFonts w:ascii="Times New Roman" w:hAnsi="Times New Roman" w:eastAsia="바탕"/>
                      <w:b/>
                      <w:sz w:val="18"/>
                    </w:rPr>
                    <w:t>Did not break within the range tested</w:t>
                  </w:r>
                </w:p>
              </w:tc>
            </w:tr>
            <w:tr>
              <w:tc>
                <w:tcPr>
                  <w:tcW w:type="dxa" w:w="3238"/>
                </w:tcPr>
                <w:p>
                  <w:r>
                    <w:rPr>
                      <w:rFonts w:ascii="Times New Roman" w:hAnsi="Times New Roman" w:eastAsia="바탕"/>
                      <w:sz w:val="18"/>
                    </w:rPr>
                    <w:t>JPEG quality</w:t>
                  </w:r>
                </w:p>
              </w:tc>
              <w:tc>
                <w:tcPr>
                  <w:tcW w:type="dxa" w:w="3238"/>
                </w:tcPr>
                <w:p>
                  <w:r>
                    <w:rPr>
                      <w:rFonts w:ascii="Times New Roman" w:hAnsi="Times New Roman" w:eastAsia="바탕"/>
                      <w:sz w:val="18"/>
                    </w:rPr>
                    <w:t>8</w:t>
                  </w:r>
                </w:p>
              </w:tc>
              <w:tc>
                <w:tcPr>
                  <w:tcW w:type="dxa" w:w="3238"/>
                </w:tcPr>
                <w:p>
                  <w:r>
                    <w:rPr>
                      <w:rFonts w:ascii="Times New Roman" w:hAnsi="Times New Roman" w:eastAsia="바탕"/>
                      <w:b/>
                      <w:sz w:val="18"/>
                    </w:rPr>
                    <w:t>Did not break within the range tested</w:t>
                  </w:r>
                </w:p>
              </w:tc>
            </w:tr>
          </w:tbl>
          <w:p/>
          <w:p>
            <w:pPr>
              <w:spacing w:after="120"/>
            </w:pPr>
          </w:p>
          <w:p>
            <w:pPr>
              <w:spacing w:after="80" w:line="276" w:lineRule="auto"/>
              <w:jc w:val="both"/>
            </w:pPr>
            <w:r>
              <w:rPr>
                <w:rFonts w:ascii="Times New Roman" w:hAnsi="Times New Roman" w:eastAsia="바탕"/>
                <w:sz w:val="20"/>
              </w:rPr>
              <w:t>The bottom three rows are lower bounds rather than limits. They mean 100% was maintained to the harshest value tested, and where they break beyond that is unknown. Reading them as limits would record the parser as worse than it is, so they are marked separately.</w:t>
            </w:r>
          </w:p>
          <w:p>
            <w:pPr>
              <w:spacing w:after="80" w:line="276" w:lineRule="auto"/>
              <w:jc w:val="both"/>
            </w:pPr>
            <w:r>
              <w:rPr>
                <w:rFonts w:ascii="Times New Roman" w:hAnsi="Times New Roman" w:eastAsia="바탕"/>
                <w:sz w:val="20"/>
              </w:rPr>
              <w:t>What has to be read here is not the left of Table 28 but what the right two rows mean. Robustness to shadow and brightness comes from adaptive thresholding setting its threshold locally, and surviving JPEG quality 8 comes from what is being read being a filled area rather than a fine pattern. The two that collapse are different in nature. Defocus and mark fill erase the boundary of the bubble itself. Half being wrong at fill 0.3 is because at that lightness the difference between filled and unfilled becomes smaller than the paper's own blotching.</w:t>
            </w:r>
          </w:p>
          <w:p>
            <w:pPr>
              <w:spacing w:after="80" w:line="276" w:lineRule="auto"/>
              <w:jc w:val="both"/>
            </w:pPr>
            <w:r>
              <w:rPr>
                <w:rFonts w:ascii="Times New Roman" w:hAnsi="Times New Roman" w:eastAsia="바탕"/>
                <w:sz w:val="20"/>
              </w:rPr>
              <w:t>Two practical instructions come out of this. Fill more than half the box when marking, and focus when taking the photograph. Nothing else needs worrying about. Dark, shadowed or poor quality makes no difference. That is also why the guidance printed alongside the paper form says only these two things.</w:t>
            </w:r>
          </w:p>
          <w:p>
            <w:pPr>
              <w:spacing w:before="160" w:after="60"/>
              <w:jc w:val="center"/>
            </w:pPr>
            <w:r>
              <w:drawing>
                <wp:inline xmlns:a="http://schemas.openxmlformats.org/drawingml/2006/main" xmlns:pic="http://schemas.openxmlformats.org/drawingml/2006/picture">
                  <wp:extent cx="5486400" cy="3135086"/>
                  <wp:docPr id="34" name="Picture 34"/>
                  <wp:cNvGraphicFramePr>
                    <a:graphicFrameLocks noChangeAspect="1"/>
                  </wp:cNvGraphicFramePr>
                  <a:graphic>
                    <a:graphicData uri="http://schemas.openxmlformats.org/drawingml/2006/picture">
                      <pic:pic>
                        <pic:nvPicPr>
                          <pic:cNvPr id="0" name="fig14_formsheet.png"/>
                          <pic:cNvPicPr/>
                        </pic:nvPicPr>
                        <pic:blipFill>
                          <a:blip r:embed="rId51"/>
                          <a:stretch>
                            <a:fillRect/>
                          </a:stretch>
                        </pic:blipFill>
                        <pic:spPr>
                          <a:xfrm>
                            <a:off x="0" y="0"/>
                            <a:ext cx="5486400" cy="3135086"/>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34]</w:t>
            </w:r>
            <w:r>
              <w:rPr>
                <w:rFonts w:ascii="Times New Roman" w:hAnsi="Times New Roman" w:eastAsia="바탕"/>
                <w:color w:val="606068"/>
                <w:sz w:val="18"/>
              </w:rPr>
              <w:t xml:space="preserve"> The paper form and what was read from it. On the left is the photograph actually fed to the parser, having been through perspective, a lighting gradient, defocus and sensor noise. On the right are the values read from that photograph and the fill score of each cell. The gap between the chosen cells and the rest (0.55–0.74 against 0.00–0.04) shows the reading was not a near miss at the boundary. For each row the figure prints the lowest of the chosen cells beside the highest of the rest. The narrowest is the days row, where the lowest chosen is Friday at 0.55 and the highest unchosen is Tuesday at 0.04, a factor of fourteen even there. The top of the range, 0.74, is Wednesday, and does not appear in the figure because the figure prints only each row's minimum. The values match exactly the answers set when the image was generated.</w:t>
            </w:r>
          </w:p>
          <w:p>
            <w:pPr>
              <w:spacing w:before="180" w:after="40"/>
            </w:pPr>
            <w:r>
              <w:rPr>
                <w:rFonts w:ascii="Times New Roman" w:hAnsi="Times New Roman" w:eastAsia="바탕"/>
                <w:b/>
                <w:sz w:val="23"/>
              </w:rPr>
              <w:t>4.5 Offline operation</w:t>
            </w:r>
          </w:p>
          <w:p>
            <w:pPr>
              <w:spacing w:after="80" w:line="276" w:lineRule="auto"/>
              <w:jc w:val="both"/>
            </w:pPr>
            <w:r>
              <w:rPr>
                <w:rFonts w:ascii="Times New Roman" w:hAnsi="Times New Roman" w:eastAsia="바탕"/>
                <w:sz w:val="20"/>
              </w:rPr>
              <w:t>The app is built as a PWA, with a service worker caching screens, assets and the model. The strategy differs by the nature of the resource. Navigation is handled network-first so that the latest is always fetched when connected, while static assets and pictograms are handled cache-first. The verdict API is not intercepted, because failing is better than serving a stale answer.</w:t>
            </w:r>
          </w:p>
          <w:p>
            <w:pPr>
              <w:spacing w:before="160" w:after="60"/>
              <w:jc w:val="center"/>
            </w:pPr>
            <w:r>
              <w:drawing>
                <wp:inline xmlns:a="http://schemas.openxmlformats.org/drawingml/2006/main" xmlns:pic="http://schemas.openxmlformats.org/drawingml/2006/picture">
                  <wp:extent cx="5486400" cy="2194560"/>
                  <wp:docPr id="35" name="Picture 35"/>
                  <wp:cNvGraphicFramePr>
                    <a:graphicFrameLocks noChangeAspect="1"/>
                  </wp:cNvGraphicFramePr>
                  <a:graphic>
                    <a:graphicData uri="http://schemas.openxmlformats.org/drawingml/2006/picture">
                      <pic:pic>
                        <pic:nvPicPr>
                          <pic:cNvPr id="0" name="fig21_sw.png"/>
                          <pic:cNvPicPr/>
                        </pic:nvPicPr>
                        <pic:blipFill>
                          <a:blip r:embed="rId52"/>
                          <a:stretch>
                            <a:fillRect/>
                          </a:stretch>
                        </pic:blipFill>
                        <pic:spPr>
                          <a:xfrm>
                            <a:off x="0" y="0"/>
                            <a:ext cx="5486400" cy="219456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35]</w:t>
            </w:r>
            <w:r>
              <w:rPr>
                <w:rFonts w:ascii="Times New Roman" w:hAnsi="Times New Roman" w:eastAsia="바탕"/>
                <w:color w:val="606068"/>
                <w:sz w:val="18"/>
              </w:rPr>
              <w:t xml:space="preserve"> The three ways the service worker splits a request. Each is a distinct judgement, and the red cell is a constraint that exists because this app handles medicines.</w:t>
            </w:r>
          </w:p>
          <w:p>
            <w:pPr>
              <w:spacing w:after="80" w:line="276" w:lineRule="auto"/>
              <w:jc w:val="both"/>
            </w:pPr>
            <w:r>
              <w:rPr>
                <w:rFonts w:ascii="Times New Roman" w:hAnsi="Times New Roman" w:eastAsia="바탕"/>
                <w:sz w:val="20"/>
              </w:rPr>
              <w:t xml:space="preserve">The branching of the strategy is visible directly in the service worker's </w:t>
            </w:r>
            <w:r>
              <w:rPr>
                <w:rFonts w:ascii="Consolas" w:hAnsi="Consolas" w:eastAsia="Consolas"/>
                <w:sz w:val="19"/>
              </w:rPr>
              <w:t>fetch</w:t>
            </w:r>
            <w:r>
              <w:rPr>
                <w:rFonts w:ascii="Times New Roman" w:hAnsi="Times New Roman" w:eastAsia="바탕"/>
                <w:sz w:val="20"/>
              </w:rPr>
              <w:t xml:space="preserve"> handling (</w:t>
            </w:r>
            <w:r>
              <w:rPr>
                <w:rFonts w:ascii="Consolas" w:hAnsi="Consolas" w:eastAsia="Consolas"/>
                <w:sz w:val="19"/>
              </w:rPr>
              <w:t>public/sw.js</w:t>
            </w:r>
            <w:r>
              <w:rPr>
                <w:rFonts w:ascii="Times New Roman" w:hAnsi="Times New Roman" w:eastAsia="바탕"/>
                <w:sz w:val="20"/>
              </w:rPr>
              <w:t>). Only two long comments have been shortened; the code is as it stands in the file.</w:t>
            </w:r>
          </w:p>
          <w:p>
            <w:pPr>
              <w:spacing w:after="160"/>
            </w:pPr>
            <w:r>
              <w:rPr>
                <w:rFonts w:ascii="Consolas" w:hAnsi="Consolas" w:eastAsia="Consolas"/>
                <w:sz w:val="18"/>
              </w:rPr>
              <w:t>self.addEventListener('fetch', (event) =&gt; {</w:t>
              <w:br/>
              <w:t xml:space="preserve">  const { request } = event;</w:t>
              <w:br/>
              <w:t xml:space="preserve">  if (request.method !== 'GET') return;</w:t>
              <w:br/>
              <w:br/>
              <w:t xml:space="preserve">  const url = new URL(request.url);</w:t>
              <w:br/>
              <w:t xml:space="preserve">  if (url.origin !== self.location.origin) return;</w:t>
              <w:br/>
              <w:br/>
              <w:t xml:space="preserve">  // The verdict API is not intercepted. Failing is better than giving a stale</w:t>
              <w:br/>
              <w:t xml:space="preserve">  // answer, and the app code (cached profile and pictograms) already covers</w:t>
              <w:br/>
              <w:t xml:space="preserve">  // being offline.</w:t>
              <w:br/>
              <w:t xml:space="preserve">  if (url.pathname.startsWith('/api/')) return;</w:t>
              <w:br/>
              <w:br/>
              <w:t xml:space="preserve">  if (request.mode === 'navigate' || SHELL_URLS.includes(url.pathname)) {</w:t>
              <w:br/>
              <w:t xml:space="preserve">    event.respondWith(networkFirst(request));</w:t>
              <w:br/>
              <w:t xml:space="preserve">    return;</w:t>
              <w:br/>
              <w:t xml:space="preserve">  }</w:t>
              <w:br/>
              <w:br/>
              <w:t xml:space="preserve">  if (</w:t>
              <w:br/>
              <w:t xml:space="preserve">    url.pathname.startsWith('/_next/static/') ||</w:t>
              <w:br/>
              <w:t xml:space="preserve">    url.pathname.startsWith('/pictograms/') ||</w:t>
              <w:br/>
              <w:t xml:space="preserve">    // …the nutrition model (16 MB) and its config. Comment shortened</w:t>
              <w:br/>
              <w:t xml:space="preserve">    url.pathname.startsWith('/models/') ||</w:t>
              <w:br/>
              <w:t xml:space="preserve">    // …the OCR worker, core and language data</w:t>
              <w:br/>
              <w:t xml:space="preserve">    url.pathname.startsWith('/ocr/') ||</w:t>
              <w:br/>
              <w:t xml:space="preserve">    url.pathname.startsWith('/nutrition/') ||</w:t>
              <w:br/>
              <w:t xml:space="preserve">    url.pathname.startsWith('/icons/')</w:t>
              <w:br/>
              <w:t xml:space="preserve">  ) {</w:t>
              <w:br/>
              <w:t xml:space="preserve">    event.respondWith(cacheFirst(request));</w:t>
              <w:br/>
              <w:t xml:space="preserve">  }</w:t>
              <w:br/>
              <w:t>});</w:t>
            </w:r>
          </w:p>
          <w:p>
            <w:pPr>
              <w:spacing w:after="80" w:line="276" w:lineRule="auto"/>
              <w:jc w:val="both"/>
            </w:pPr>
            <w:r>
              <w:rPr>
                <w:rFonts w:ascii="Times New Roman" w:hAnsi="Times New Roman" w:eastAsia="바탕"/>
                <w:sz w:val="20"/>
              </w:rPr>
              <w:t>Design intent. The three branches are three different judgements.</w:t>
            </w:r>
          </w:p>
          <w:p>
            <w:pPr>
              <w:spacing w:after="80" w:line="276" w:lineRule="auto"/>
              <w:jc w:val="both"/>
            </w:pPr>
            <w:r>
              <w:rPr>
                <w:rFonts w:ascii="Times New Roman" w:hAnsi="Times New Roman" w:eastAsia="바탕"/>
                <w:sz w:val="20"/>
              </w:rPr>
              <w:t>The verdict API is not intercepted because what this app handles is medicine. Returning a cached verdict leaves the user with no way of knowing whether it is today's answer or yesterday's. A failure is noticed by the user; a stale success is not.</w:t>
            </w:r>
          </w:p>
          <w:p>
            <w:pPr>
              <w:spacing w:after="80" w:line="276" w:lineRule="auto"/>
              <w:jc w:val="both"/>
            </w:pPr>
            <w:r>
              <w:rPr>
                <w:rFonts w:ascii="Times New Roman" w:hAnsi="Times New Roman" w:eastAsia="바탕"/>
                <w:sz w:val="20"/>
              </w:rPr>
              <w:t xml:space="preserve">The list of shell paths joining the condition that catches page requests is a correction of the same kind. At first only the request's </w:t>
            </w:r>
            <w:r>
              <w:rPr>
                <w:rFonts w:ascii="Consolas" w:hAnsi="Consolas" w:eastAsia="Consolas"/>
                <w:sz w:val="19"/>
              </w:rPr>
              <w:t>mode</w:t>
            </w:r>
            <w:r>
              <w:rPr>
                <w:rFonts w:ascii="Times New Roman" w:hAnsi="Times New Roman" w:eastAsia="바탕"/>
                <w:sz w:val="20"/>
              </w:rPr>
              <w:t xml:space="preserve"> was checked for </w:t>
            </w:r>
            <w:r>
              <w:rPr>
                <w:rFonts w:ascii="Consolas" w:hAnsi="Consolas" w:eastAsia="Consolas"/>
                <w:sz w:val="19"/>
              </w:rPr>
              <w:t>navigate</w:t>
            </w:r>
            <w:r>
              <w:rPr>
                <w:rFonts w:ascii="Times New Roman" w:hAnsi="Times New Roman" w:eastAsia="바탕"/>
                <w:sz w:val="20"/>
              </w:rPr>
              <w:t xml:space="preserve">, but offline warm-up fetches page HTML with </w:t>
            </w:r>
            <w:r>
              <w:rPr>
                <w:rFonts w:ascii="Consolas" w:hAnsi="Consolas" w:eastAsia="Consolas"/>
                <w:sz w:val="19"/>
              </w:rPr>
              <w:t>fetch('/nutrition')</w:t>
            </w:r>
            <w:r>
              <w:rPr>
                <w:rFonts w:ascii="Times New Roman" w:hAnsi="Times New Roman" w:eastAsia="바탕"/>
                <w:sz w:val="20"/>
              </w:rPr>
              <w:t xml:space="preserve">, and that request's </w:t>
            </w:r>
            <w:r>
              <w:rPr>
                <w:rFonts w:ascii="Consolas" w:hAnsi="Consolas" w:eastAsia="Consolas"/>
                <w:sz w:val="19"/>
              </w:rPr>
              <w:t>mode</w:t>
            </w:r>
            <w:r>
              <w:rPr>
                <w:rFonts w:ascii="Times New Roman" w:hAnsi="Times New Roman" w:eastAsia="바탕"/>
                <w:sz w:val="20"/>
              </w:rPr>
              <w:t xml:space="preserve"> is </w:t>
            </w:r>
            <w:r>
              <w:rPr>
                <w:rFonts w:ascii="Consolas" w:hAnsi="Consolas" w:eastAsia="Consolas"/>
                <w:sz w:val="19"/>
              </w:rPr>
              <w:t>cors</w:t>
            </w:r>
            <w:r>
              <w:rPr>
                <w:rFonts w:ascii="Times New Roman" w:hAnsi="Times New Roman" w:eastAsia="바탕"/>
                <w:sz w:val="20"/>
              </w:rPr>
              <w:t xml:space="preserve"> rather than </w:t>
            </w:r>
            <w:r>
              <w:rPr>
                <w:rFonts w:ascii="Consolas" w:hAnsi="Consolas" w:eastAsia="Consolas"/>
                <w:sz w:val="19"/>
              </w:rPr>
              <w:t>navigate</w:t>
            </w:r>
            <w:r>
              <w:rPr>
                <w:rFonts w:ascii="Times New Roman" w:hAnsi="Times New Roman" w:eastAsia="바탕"/>
                <w:sz w:val="20"/>
              </w:rPr>
              <w:t xml:space="preserve">. The pages warm-up brought back were therefore stored nowhere and simply went out to the network. Because the HTML cached at install time was there it worked on the surface, so the defect would only have surfaced the moment a new page was added to the list, and that page alone would have quietly dropped out of offline use. The same line fixed </w:t>
            </w:r>
            <w:r>
              <w:rPr>
                <w:rFonts w:ascii="Consolas" w:hAnsi="Consolas" w:eastAsia="Consolas"/>
                <w:sz w:val="19"/>
              </w:rPr>
              <w:t>manifest.webmanifest</w:t>
            </w:r>
            <w:r>
              <w:rPr>
                <w:rFonts w:ascii="Times New Roman" w:hAnsi="Times New Roman" w:eastAsia="바탕"/>
                <w:sz w:val="20"/>
              </w:rPr>
              <w:t xml:space="preserve"> as well: it sat in the shell yet matched no rule, so with the file in cache the worker still went to the network and failed.</w:t>
            </w:r>
          </w:p>
          <w:p>
            <w:pPr>
              <w:spacing w:after="80" w:line="276" w:lineRule="auto"/>
              <w:jc w:val="both"/>
            </w:pPr>
            <w:r>
              <w:rPr>
                <w:rFonts w:ascii="Times New Roman" w:hAnsi="Times New Roman" w:eastAsia="바탕"/>
                <w:sz w:val="20"/>
              </w:rPr>
              <w:t>Putting the model and OCR assets under cache-first was the fix for a defect found during development. The whole point of the app is that it computes verdicts on the device without an internet connection, yet the 16 MB estimation model was missing from the cache list. The computation ran on the device while the model to perform it could not be fetched, so the offline claim was only half true.</w:t>
            </w:r>
          </w:p>
          <w:p>
            <w:pPr>
              <w:spacing w:after="80" w:line="276" w:lineRule="auto"/>
              <w:jc w:val="both"/>
            </w:pPr>
            <w:r>
              <w:rPr>
                <w:rFonts w:ascii="Times New Roman" w:hAnsi="Times New Roman" w:eastAsia="바탕"/>
                <w:sz w:val="20"/>
              </w:rPr>
              <w:t>These assets are nonetheless not prefetched. They are fetched on first use. Demanding 16 MB at the first screen makes the app look as though it has not opened at all where the network is slow, and that is precisely where our users are. One feature arriving late is better than the app not opening.</w:t>
            </w:r>
          </w:p>
          <w:p>
            <w:pPr>
              <w:spacing w:after="80" w:line="276" w:lineRule="auto"/>
              <w:jc w:val="both"/>
            </w:pPr>
            <w:r>
              <w:rPr>
                <w:rFonts w:ascii="Times New Roman" w:hAnsi="Times New Roman" w:eastAsia="바탕"/>
                <w:sz w:val="20"/>
              </w:rPr>
              <w:t xml:space="preserve">Cache names carry an asset fingerprint. A pictogram's address is derived from its DSL string, so replacing a picture does not change the address, and without a fingerprint anyone who visited even once would keep being served the old picture. When </w:t>
            </w:r>
            <w:r>
              <w:rPr>
                <w:rFonts w:ascii="Consolas" w:hAnsi="Consolas" w:eastAsia="Consolas"/>
                <w:sz w:val="19"/>
              </w:rPr>
              <w:t>qty_four</w:t>
            </w:r>
            <w:r>
              <w:rPr>
                <w:rFonts w:ascii="Times New Roman" w:hAnsi="Times New Roman" w:eastAsia="바탕"/>
                <w:sz w:val="20"/>
              </w:rPr>
              <w:t xml:space="preserve"> was fixed and re-rendered (§5.2), the fingerprint changed and all 113 cached pictograms were re-rendered as a set. Without the fingerprint those users would have gone on seeing the four rings from before the fix.</w:t>
            </w:r>
          </w:p>
          <w:p>
            <w:pPr>
              <w:spacing w:before="180" w:after="40"/>
            </w:pPr>
            <w:r>
              <w:rPr>
                <w:rFonts w:ascii="Times New Roman" w:hAnsi="Times New Roman" w:eastAsia="바탕"/>
                <w:b/>
                <w:sz w:val="23"/>
              </w:rPr>
              <w:t>4.6 Privacy</w:t>
            </w:r>
          </w:p>
          <w:p>
            <w:pPr>
              <w:spacing w:after="80" w:line="276" w:lineRule="auto"/>
              <w:jc w:val="both"/>
            </w:pPr>
            <w:r>
              <w:rPr>
                <w:rFonts w:ascii="Times New Roman" w:hAnsi="Times New Roman" w:eastAsia="바탕"/>
                <w:sz w:val="20"/>
              </w:rPr>
              <w:t>Because health information is involved, measures were needed on both storage and transmission.</w:t>
            </w:r>
          </w:p>
          <w:p>
            <w:pPr>
              <w:spacing w:after="80" w:line="276" w:lineRule="auto"/>
              <w:jc w:val="both"/>
            </w:pPr>
            <w:r>
              <w:rPr>
                <w:rFonts w:ascii="Times New Roman" w:hAnsi="Times New Roman" w:eastAsia="바탕"/>
                <w:sz w:val="20"/>
              </w:rPr>
              <w:t>[Table 29] Privacy-related design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Item</w:t>
                  </w:r>
                </w:p>
              </w:tc>
              <w:tc>
                <w:tcPr>
                  <w:tcW w:type="dxa" w:w="4857"/>
                  <w:shd w:val="clear" w:fill="F2F2F2"/>
                </w:tcPr>
                <w:p>
                  <w:r>
                    <w:rPr>
                      <w:rFonts w:ascii="Times New Roman" w:hAnsi="Times New Roman" w:eastAsia="바탕"/>
                      <w:b/>
                      <w:sz w:val="18"/>
                    </w:rPr>
                    <w:t>Content</w:t>
                  </w:r>
                </w:p>
              </w:tc>
            </w:tr>
            <w:tr>
              <w:tc>
                <w:tcPr>
                  <w:tcW w:type="dxa" w:w="4857"/>
                </w:tcPr>
                <w:p>
                  <w:r>
                    <w:rPr>
                      <w:rFonts w:ascii="Times New Roman" w:hAnsi="Times New Roman" w:eastAsia="바탕"/>
                      <w:sz w:val="18"/>
                    </w:rPr>
                    <w:t>Photographs</w:t>
                  </w:r>
                </w:p>
              </w:tc>
              <w:tc>
                <w:tcPr>
                  <w:tcW w:type="dxa" w:w="4857"/>
                </w:tcPr>
                <w:p>
                  <w:r>
                    <w:rPr>
                      <w:rFonts w:ascii="Times New Roman" w:hAnsi="Times New Roman" w:eastAsia="바탕"/>
                      <w:b/>
                      <w:sz w:val="18"/>
                    </w:rPr>
                    <w:t>Not stored.</w:t>
                  </w:r>
                  <w:r>
                    <w:rPr>
                      <w:rFonts w:ascii="Times New Roman" w:hAnsi="Times New Roman" w:eastAsia="바탕"/>
                      <w:sz w:val="18"/>
                    </w:rPr>
                    <w:t xml:space="preserve"> Only the verdict is kept and the image is discarded</w:t>
                  </w:r>
                </w:p>
              </w:tc>
            </w:tr>
            <w:tr>
              <w:tc>
                <w:tcPr>
                  <w:tcW w:type="dxa" w:w="4857"/>
                </w:tcPr>
                <w:p>
                  <w:r>
                    <w:rPr>
                      <w:rFonts w:ascii="Times New Roman" w:hAnsi="Times New Roman" w:eastAsia="바탕"/>
                      <w:sz w:val="18"/>
                    </w:rPr>
                    <w:t>Verdict history</w:t>
                  </w:r>
                </w:p>
              </w:tc>
              <w:tc>
                <w:tcPr>
                  <w:tcW w:type="dxa" w:w="4857"/>
                </w:tcPr>
                <w:p>
                  <w:r>
                    <w:rPr>
                      <w:rFonts w:ascii="Times New Roman" w:hAnsi="Times New Roman" w:eastAsia="바탕"/>
                      <w:sz w:val="18"/>
                    </w:rPr>
                    <w:t>Automatically deleted after 90 days</w:t>
                  </w:r>
                </w:p>
              </w:tc>
            </w:tr>
            <w:tr>
              <w:tc>
                <w:tcPr>
                  <w:tcW w:type="dxa" w:w="4857"/>
                </w:tcPr>
                <w:p>
                  <w:r>
                    <w:rPr>
                      <w:rFonts w:ascii="Times New Roman" w:hAnsi="Times New Roman" w:eastAsia="바탕"/>
                      <w:sz w:val="18"/>
                    </w:rPr>
                    <w:t>Server backup</w:t>
                  </w:r>
                </w:p>
              </w:tc>
              <w:tc>
                <w:tcPr>
                  <w:tcW w:type="dxa" w:w="4857"/>
                </w:tcPr>
                <w:p>
                  <w:r>
                    <w:rPr>
                      <w:rFonts w:ascii="Times New Roman" w:hAnsi="Times New Roman" w:eastAsia="바탕"/>
                      <w:sz w:val="18"/>
                    </w:rPr>
                    <w:t>Encrypted on the device before transmission. The server cannot decrypt it</w:t>
                  </w:r>
                </w:p>
              </w:tc>
            </w:tr>
            <w:tr>
              <w:tc>
                <w:tcPr>
                  <w:tcW w:type="dxa" w:w="4857"/>
                </w:tcPr>
                <w:p>
                  <w:r>
                    <w:rPr>
                      <w:rFonts w:ascii="Times New Roman" w:hAnsi="Times New Roman" w:eastAsia="바탕"/>
                      <w:sz w:val="18"/>
                    </w:rPr>
                    <w:t>Identity</w:t>
                  </w:r>
                </w:p>
              </w:tc>
              <w:tc>
                <w:tcPr>
                  <w:tcW w:type="dxa" w:w="4857"/>
                </w:tcPr>
                <w:p>
                  <w:r>
                    <w:rPr>
                      <w:rFonts w:ascii="Times New Roman" w:hAnsi="Times New Roman" w:eastAsia="바탕"/>
                      <w:sz w:val="18"/>
                    </w:rPr>
                    <w:t xml:space="preserve">Requests signed with an ECDSA private key generated on the device. The key is </w:t>
                  </w:r>
                  <w:r>
                    <w:rPr>
                      <w:rFonts w:ascii="Consolas" w:hAnsi="Consolas" w:eastAsia="Consolas"/>
                      <w:sz w:val="17"/>
                    </w:rPr>
                    <w:t>extractable: false</w:t>
                  </w:r>
                  <w:r>
                    <w:rPr>
                      <w:rFonts w:ascii="Times New Roman" w:hAnsi="Times New Roman" w:eastAsia="바탕"/>
                      <w:sz w:val="18"/>
                    </w:rPr>
                    <w:t xml:space="preserve"> and cannot leave the browser</w:t>
                  </w:r>
                </w:p>
              </w:tc>
            </w:tr>
            <w:tr>
              <w:tc>
                <w:tcPr>
                  <w:tcW w:type="dxa" w:w="4857"/>
                </w:tcPr>
                <w:p>
                  <w:r>
                    <w:rPr>
                      <w:rFonts w:ascii="Times New Roman" w:hAnsi="Times New Roman" w:eastAsia="바탕"/>
                      <w:sz w:val="18"/>
                    </w:rPr>
                    <w:t>Access control</w:t>
                  </w:r>
                </w:p>
              </w:tc>
              <w:tc>
                <w:tcPr>
                  <w:tcW w:type="dxa" w:w="4857"/>
                </w:tcPr>
                <w:p>
                  <w:r>
                    <w:rPr>
                      <w:rFonts w:ascii="Times New Roman" w:hAnsi="Times New Roman" w:eastAsia="바탕"/>
                      <w:sz w:val="18"/>
                    </w:rPr>
                    <w:t>The storage location is derived from the public key. There is no way to request another person's data</w:t>
                  </w:r>
                </w:p>
              </w:tc>
            </w:tr>
            <w:tr>
              <w:tc>
                <w:tcPr>
                  <w:tcW w:type="dxa" w:w="4857"/>
                </w:tcPr>
                <w:p>
                  <w:r>
                    <w:rPr>
                      <w:rFonts w:ascii="Times New Roman" w:hAnsi="Times New Roman" w:eastAsia="바탕"/>
                      <w:sz w:val="18"/>
                    </w:rPr>
                    <w:t>Transmission</w:t>
                  </w:r>
                </w:p>
              </w:tc>
              <w:tc>
                <w:tcPr>
                  <w:tcW w:type="dxa" w:w="4857"/>
                </w:tcPr>
                <w:p>
                  <w:r>
                    <w:rPr>
                      <w:rFonts w:ascii="Times New Roman" w:hAnsi="Times New Roman" w:eastAsia="바탕"/>
                      <w:sz w:val="18"/>
                    </w:rPr>
                    <w:t>Signatures travel in a request header. They do not appear in the address bar or in access logs</w:t>
                  </w:r>
                </w:p>
              </w:tc>
            </w:tr>
          </w:tbl>
          <w:p/>
          <w:p>
            <w:pPr>
              <w:spacing w:after="120"/>
            </w:pPr>
          </w:p>
          <w:p>
            <w:pPr>
              <w:spacing w:after="80" w:line="276" w:lineRule="auto"/>
              <w:jc w:val="both"/>
            </w:pPr>
            <w:r>
              <w:rPr>
                <w:rFonts w:ascii="Times New Roman" w:hAnsi="Times New Roman" w:eastAsia="바탕"/>
                <w:sz w:val="20"/>
              </w:rPr>
              <w:t>The second row of the table has a correction in it as well. Ninety-day retention was written down while records were in fact being cut off at 200. Someone using the box takes in two or three dose records a day before meals are added, so 200 fills up in about forty days. For as long as the document said ninety days the actual retention was forty, and because nothing marks that a record was cut, a person looking for something from two months ago learns instead that they did not use the app that day. The cap was raised to 1,500 so that the date limit binds first. The cap was not removed, because it is a ceiling on storage rather than a floor under the retention period: a date cannot stop browser storage from filling when records run away.</w:t>
            </w:r>
          </w:p>
          <w:p>
            <w:pPr>
              <w:spacing w:after="80" w:line="276" w:lineRule="auto"/>
              <w:jc w:val="both"/>
            </w:pPr>
            <w:r>
              <w:rPr>
                <w:rFonts w:ascii="Times New Roman" w:hAnsi="Times New Roman" w:eastAsia="바탕"/>
                <w:sz w:val="20"/>
              </w:rPr>
              <w:t>The last three of these are fixes for problems found during development. The initial implementation passed a random string as a query parameter, which meant the key granting access to health information accumulated in server logs, and anyone who observed the value once could reproduce it.</w:t>
            </w:r>
          </w:p>
          <w:p>
            <w:pPr>
              <w:spacing w:after="80" w:line="276" w:lineRule="auto"/>
              <w:jc w:val="both"/>
            </w:pPr>
            <w:r>
              <w:rPr>
                <w:rFonts w:ascii="Times New Roman" w:hAnsi="Times New Roman" w:eastAsia="바탕"/>
                <w:sz w:val="20"/>
              </w:rPr>
              <w:t>The fix was to use a key pair instead of a string.</w:t>
            </w:r>
          </w:p>
          <w:p>
            <w:pPr>
              <w:spacing w:after="160"/>
            </w:pPr>
            <w:r>
              <w:rPr>
                <w:rFonts w:ascii="Consolas" w:hAnsi="Consolas" w:eastAsia="Consolas"/>
                <w:sz w:val="18"/>
              </w:rPr>
              <w:t>// extractable: false — this one word is the point. With true, anyone who read</w:t>
              <w:br/>
              <w:t>// the storage takes the key with them, and then it is no different from using</w:t>
              <w:br/>
              <w:t>// a string.</w:t>
              <w:br/>
              <w:t>const pair = await crypto.subtle.generateKey(ALG, false, ['sign', 'verify']);</w:t>
              <w:br/>
              <w:br/>
              <w:t>export async function sign(method: string, body: string, ts: number): Promise&lt;string&gt; {</w:t>
              <w:br/>
              <w:t xml:space="preserve">  const { privateKey } = await keyPair();</w:t>
              <w:br/>
              <w:t xml:space="preserve">  const digest = await crypto.subtle.digest('SHA-256', new TextEncoder().encode(body));</w:t>
              <w:br/>
              <w:t xml:space="preserve">  const payload = `${ts}.${method}.${b64(digest)}`;</w:t>
              <w:br/>
              <w:t xml:space="preserve">  return b64(await crypto.subtle.sign(SIGN, privateKey, new TextEncoder().encode(payload)));</w:t>
              <w:br/>
              <w:t>}</w:t>
            </w:r>
          </w:p>
          <w:p>
            <w:pPr>
              <w:spacing w:before="160" w:after="60"/>
              <w:jc w:val="center"/>
            </w:pPr>
            <w:r>
              <w:drawing>
                <wp:inline xmlns:a="http://schemas.openxmlformats.org/drawingml/2006/main" xmlns:pic="http://schemas.openxmlformats.org/drawingml/2006/picture">
                  <wp:extent cx="5486400" cy="2103120"/>
                  <wp:docPr id="36" name="Picture 36"/>
                  <wp:cNvGraphicFramePr>
                    <a:graphicFrameLocks noChangeAspect="1"/>
                  </wp:cNvGraphicFramePr>
                  <a:graphic>
                    <a:graphicData uri="http://schemas.openxmlformats.org/drawingml/2006/picture">
                      <pic:pic>
                        <pic:nvPicPr>
                          <pic:cNvPr id="0" name="fig24_sign.png"/>
                          <pic:cNvPicPr/>
                        </pic:nvPicPr>
                        <pic:blipFill>
                          <a:blip r:embed="rId53"/>
                          <a:stretch>
                            <a:fillRect/>
                          </a:stretch>
                        </pic:blipFill>
                        <pic:spPr>
                          <a:xfrm>
                            <a:off x="0" y="0"/>
                            <a:ext cx="5486400" cy="210312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36]</w:t>
            </w:r>
            <w:r>
              <w:rPr>
                <w:rFonts w:ascii="Times New Roman" w:hAnsi="Times New Roman" w:eastAsia="바탕"/>
                <w:color w:val="606068"/>
                <w:sz w:val="18"/>
              </w:rPr>
              <w:t xml:space="preserve"> What goes into the signature and what each part prevents. Missing either one makes the signature worthless. Deriving the storage location from the public key is not the signature but a separate access control.</w:t>
            </w:r>
          </w:p>
          <w:p>
            <w:pPr>
              <w:spacing w:after="80" w:line="276" w:lineRule="auto"/>
              <w:jc w:val="both"/>
            </w:pPr>
            <w:r>
              <w:rPr>
                <w:rFonts w:ascii="Times New Roman" w:hAnsi="Times New Roman" w:eastAsia="바탕"/>
                <w:sz w:val="20"/>
              </w:rPr>
              <w:t xml:space="preserve">Design intent. The second argument to </w:t>
            </w:r>
            <w:r>
              <w:rPr>
                <w:rFonts w:ascii="Consolas" w:hAnsi="Consolas" w:eastAsia="Consolas"/>
                <w:sz w:val="19"/>
              </w:rPr>
              <w:t>generateKey</w:t>
            </w:r>
            <w:r>
              <w:rPr>
                <w:rFonts w:ascii="Times New Roman" w:hAnsi="Times New Roman" w:eastAsia="바탕"/>
                <w:sz w:val="20"/>
              </w:rPr>
              <w:t xml:space="preserve"> being </w:t>
            </w:r>
            <w:r>
              <w:rPr>
                <w:rFonts w:ascii="Consolas" w:hAnsi="Consolas" w:eastAsia="Consolas"/>
                <w:sz w:val="19"/>
              </w:rPr>
              <w:t>false</w:t>
            </w:r>
            <w:r>
              <w:rPr>
                <w:rFonts w:ascii="Times New Roman" w:hAnsi="Times New Roman" w:eastAsia="바탕"/>
                <w:sz w:val="20"/>
              </w:rPr>
              <w:t xml:space="preserve"> means not even our own code can read the private key. All we can do is ask the browser to sign with it. Taking the device's entire storage therefore yields nothing worth taking. It becomes something usable only by holding that device rather than a value that can be observed and imitated.</w:t>
            </w:r>
          </w:p>
          <w:p>
            <w:pPr>
              <w:spacing w:after="80" w:line="276" w:lineRule="auto"/>
              <w:jc w:val="both"/>
            </w:pPr>
            <w:r>
              <w:rPr>
                <w:rFonts w:ascii="Times New Roman" w:hAnsi="Times New Roman" w:eastAsia="바탕"/>
                <w:sz w:val="20"/>
              </w:rPr>
              <w:t>What is signed is composed for reasons of its own. The timestamp (</w:t>
            </w:r>
            <w:r>
              <w:rPr>
                <w:rFonts w:ascii="Consolas" w:hAnsi="Consolas" w:eastAsia="Consolas"/>
                <w:sz w:val="19"/>
              </w:rPr>
              <w:t>ts</w:t>
            </w:r>
            <w:r>
              <w:rPr>
                <w:rFonts w:ascii="Times New Roman" w:hAnsi="Times New Roman" w:eastAsia="바탕"/>
                <w:sz w:val="20"/>
              </w:rPr>
              <w:t>) is included so that anyone intercepting a signature cannot replay it later. Because the time is inside the signature the server can reject stale ones, and in practice requests older than five minutes are refused. The body hash is included so that a signature cannot be detached and attached to different content. Missing either one makes the signature worthless.</w:t>
            </w:r>
          </w:p>
          <w:p>
            <w:pPr>
              <w:spacing w:after="80" w:line="276" w:lineRule="auto"/>
              <w:jc w:val="both"/>
            </w:pPr>
            <w:r>
              <w:rPr>
                <w:rFonts w:ascii="Times New Roman" w:hAnsi="Times New Roman" w:eastAsia="바탕"/>
                <w:sz w:val="20"/>
              </w:rPr>
              <w:t>Permissions the app does not use are closed at the browser level. The response header opens the camera and closes the microphone and location.</w:t>
            </w:r>
          </w:p>
          <w:p>
            <w:pPr>
              <w:spacing w:after="160"/>
            </w:pPr>
            <w:r>
              <w:rPr>
                <w:rFonts w:ascii="Consolas" w:hAnsi="Consolas" w:eastAsia="Consolas"/>
                <w:sz w:val="18"/>
              </w:rPr>
              <w:t>res.headers.set('Permissions-Policy', 'camera=(self), microphone=(), geolocation=()');</w:t>
            </w:r>
          </w:p>
          <w:p>
            <w:pPr>
              <w:spacing w:after="80" w:line="276" w:lineRule="auto"/>
              <w:jc w:val="both"/>
            </w:pPr>
            <w:r>
              <w:rPr>
                <w:rFonts w:ascii="Times New Roman" w:hAnsi="Times New Roman" w:eastAsia="바탕"/>
                <w:sz w:val="20"/>
              </w:rPr>
              <w:t>That one line is also why the checking step of §3.8 has the user point at a picture rather than say the answer back. Carrying teach-back over as it stands would need speech recognition, and that is a permission we chose not to open. Opening a permission and not using it is different from closing it: the first can quietly begin to be used when the code changes, the second is refused by the browser.</w:t>
            </w:r>
          </w:p>
          <w:p>
            <w:pPr>
              <w:spacing w:after="80" w:line="276" w:lineRule="auto"/>
              <w:jc w:val="both"/>
            </w:pPr>
            <w:r>
              <w:rPr>
                <w:rFonts w:ascii="Times New Roman" w:hAnsi="Times New Roman" w:eastAsia="바탕"/>
                <w:sz w:val="20"/>
              </w:rPr>
              <w:t xml:space="preserve">The same middleware sends four more headers. The values are recorded here as confirmed on the deployment. </w:t>
            </w:r>
            <w:r>
              <w:rPr>
                <w:rFonts w:ascii="Consolas" w:hAnsi="Consolas" w:eastAsia="Consolas"/>
                <w:sz w:val="19"/>
              </w:rPr>
              <w:t>Content-Security-Policy</w:t>
            </w:r>
            <w:r>
              <w:rPr>
                <w:rFonts w:ascii="Times New Roman" w:hAnsi="Times New Roman" w:eastAsia="바탕"/>
                <w:sz w:val="20"/>
              </w:rPr>
              <w:t xml:space="preserve"> opens with </w:t>
            </w:r>
            <w:r>
              <w:rPr>
                <w:rFonts w:ascii="Consolas" w:hAnsi="Consolas" w:eastAsia="Consolas"/>
                <w:sz w:val="19"/>
              </w:rPr>
              <w:t>default-src 'self'</w:t>
            </w:r>
            <w:r>
              <w:rPr>
                <w:rFonts w:ascii="Times New Roman" w:hAnsi="Times New Roman" w:eastAsia="바탕"/>
                <w:sz w:val="20"/>
              </w:rPr>
              <w:t xml:space="preserve"> and pins </w:t>
            </w:r>
            <w:r>
              <w:rPr>
                <w:rFonts w:ascii="Consolas" w:hAnsi="Consolas" w:eastAsia="Consolas"/>
                <w:sz w:val="19"/>
              </w:rPr>
              <w:t>object-src 'none'</w:t>
            </w:r>
            <w:r>
              <w:rPr>
                <w:rFonts w:ascii="Times New Roman" w:hAnsi="Times New Roman" w:eastAsia="바탕"/>
                <w:sz w:val="20"/>
              </w:rPr>
              <w:t xml:space="preserve">, </w:t>
            </w:r>
            <w:r>
              <w:rPr>
                <w:rFonts w:ascii="Consolas" w:hAnsi="Consolas" w:eastAsia="Consolas"/>
                <w:sz w:val="19"/>
              </w:rPr>
              <w:t>frame-ancestors 'none'</w:t>
            </w:r>
            <w:r>
              <w:rPr>
                <w:rFonts w:ascii="Times New Roman" w:hAnsi="Times New Roman" w:eastAsia="바탕"/>
                <w:sz w:val="20"/>
              </w:rPr>
              <w:t xml:space="preserve">, </w:t>
            </w:r>
            <w:r>
              <w:rPr>
                <w:rFonts w:ascii="Consolas" w:hAnsi="Consolas" w:eastAsia="Consolas"/>
                <w:sz w:val="19"/>
              </w:rPr>
              <w:t>base-uri 'self'</w:t>
            </w:r>
            <w:r>
              <w:rPr>
                <w:rFonts w:ascii="Times New Roman" w:hAnsi="Times New Roman" w:eastAsia="바탕"/>
                <w:sz w:val="20"/>
              </w:rPr>
              <w:t xml:space="preserve"> and </w:t>
            </w:r>
            <w:r>
              <w:rPr>
                <w:rFonts w:ascii="Consolas" w:hAnsi="Consolas" w:eastAsia="Consolas"/>
                <w:sz w:val="19"/>
              </w:rPr>
              <w:t>form-action 'self'</w:t>
            </w:r>
            <w:r>
              <w:rPr>
                <w:rFonts w:ascii="Times New Roman" w:hAnsi="Times New Roman" w:eastAsia="바탕"/>
                <w:sz w:val="20"/>
              </w:rPr>
              <w:t xml:space="preserve">. Its </w:t>
            </w:r>
            <w:r>
              <w:rPr>
                <w:rFonts w:ascii="Consolas" w:hAnsi="Consolas" w:eastAsia="Consolas"/>
                <w:sz w:val="19"/>
              </w:rPr>
              <w:t>connect-src</w:t>
            </w:r>
            <w:r>
              <w:rPr>
                <w:rFonts w:ascii="Times New Roman" w:hAnsi="Times New Roman" w:eastAsia="바탕"/>
                <w:sz w:val="20"/>
              </w:rPr>
              <w:t xml:space="preserve"> is only </w:t>
            </w:r>
            <w:r>
              <w:rPr>
                <w:rFonts w:ascii="Consolas" w:hAnsi="Consolas" w:eastAsia="Consolas"/>
                <w:sz w:val="19"/>
              </w:rPr>
              <w:t>'self'</w:t>
            </w:r>
            <w:r>
              <w:rPr>
                <w:rFonts w:ascii="Times New Roman" w:hAnsi="Times New Roman" w:eastAsia="바탕"/>
                <w:sz w:val="20"/>
              </w:rPr>
              <w:t xml:space="preserve"> and </w:t>
            </w:r>
            <w:r>
              <w:rPr>
                <w:rFonts w:ascii="Consolas" w:hAnsi="Consolas" w:eastAsia="Consolas"/>
                <w:sz w:val="19"/>
              </w:rPr>
              <w:t>https://snapcare-relay.fly.dev</w:t>
            </w:r>
            <w:r>
              <w:rPr>
                <w:rFonts w:ascii="Times New Roman" w:hAnsi="Times New Roman" w:eastAsia="바탕"/>
                <w:sz w:val="20"/>
              </w:rPr>
              <w:t xml:space="preserve">. That the app sends requests nowhere else is therefore not a rule but something the browser enforces, and this header is what makes the relay the single external channel described in §4.3. The other three are </w:t>
            </w:r>
            <w:r>
              <w:rPr>
                <w:rFonts w:ascii="Consolas" w:hAnsi="Consolas" w:eastAsia="Consolas"/>
                <w:sz w:val="19"/>
              </w:rPr>
              <w:t>X-Content-Type-Options: nosniff</w:t>
            </w:r>
            <w:r>
              <w:rPr>
                <w:rFonts w:ascii="Times New Roman" w:hAnsi="Times New Roman" w:eastAsia="바탕"/>
                <w:sz w:val="20"/>
              </w:rPr>
              <w:t xml:space="preserve">, </w:t>
            </w:r>
            <w:r>
              <w:rPr>
                <w:rFonts w:ascii="Consolas" w:hAnsi="Consolas" w:eastAsia="Consolas"/>
                <w:sz w:val="19"/>
              </w:rPr>
              <w:t>Referrer-Policy: no-referrer</w:t>
            </w:r>
            <w:r>
              <w:rPr>
                <w:rFonts w:ascii="Times New Roman" w:hAnsi="Times New Roman" w:eastAsia="바탕"/>
                <w:sz w:val="20"/>
              </w:rPr>
              <w:t xml:space="preserve"> and </w:t>
            </w:r>
            <w:r>
              <w:rPr>
                <w:rFonts w:ascii="Consolas" w:hAnsi="Consolas" w:eastAsia="Consolas"/>
                <w:sz w:val="19"/>
              </w:rPr>
              <w:t>Strict-Transport-Security: max-age=31536000; includeSubDomains</w:t>
            </w:r>
            <w:r>
              <w:rPr>
                <w:rFonts w:ascii="Times New Roman" w:hAnsi="Times New Roman" w:eastAsia="바탕"/>
                <w:sz w:val="20"/>
              </w:rPr>
              <w:t>.</w:t>
            </w:r>
          </w:p>
          <w:p>
            <w:pPr>
              <w:spacing w:after="80" w:line="276" w:lineRule="auto"/>
              <w:jc w:val="both"/>
            </w:pPr>
            <w:r>
              <w:rPr>
                <w:rFonts w:ascii="Times New Roman" w:hAnsi="Times New Roman" w:eastAsia="바탕"/>
                <w:sz w:val="20"/>
              </w:rPr>
              <w:t xml:space="preserve">There is a weak point in that policy and it belongs here too. </w:t>
            </w:r>
            <w:r>
              <w:rPr>
                <w:rFonts w:ascii="Consolas" w:hAnsi="Consolas" w:eastAsia="Consolas"/>
                <w:sz w:val="19"/>
              </w:rPr>
              <w:t>script-src</w:t>
            </w:r>
            <w:r>
              <w:rPr>
                <w:rFonts w:ascii="Times New Roman" w:hAnsi="Times New Roman" w:eastAsia="바탕"/>
                <w:sz w:val="20"/>
              </w:rPr>
              <w:t xml:space="preserve"> and </w:t>
            </w:r>
            <w:r>
              <w:rPr>
                <w:rFonts w:ascii="Consolas" w:hAnsi="Consolas" w:eastAsia="Consolas"/>
                <w:sz w:val="19"/>
              </w:rPr>
              <w:t>style-src</w:t>
            </w:r>
            <w:r>
              <w:rPr>
                <w:rFonts w:ascii="Times New Roman" w:hAnsi="Times New Roman" w:eastAsia="바탕"/>
                <w:sz w:val="20"/>
              </w:rPr>
              <w:t xml:space="preserve"> both carry </w:t>
            </w:r>
            <w:r>
              <w:rPr>
                <w:rFonts w:ascii="Consolas" w:hAnsi="Consolas" w:eastAsia="Consolas"/>
                <w:sz w:val="19"/>
              </w:rPr>
              <w:t>'unsafe-inline'</w:t>
            </w:r>
            <w:r>
              <w:rPr>
                <w:rFonts w:ascii="Times New Roman" w:hAnsi="Times New Roman" w:eastAsia="바탕"/>
                <w:sz w:val="20"/>
              </w:rPr>
              <w:t xml:space="preserve">, because Next.js emits its bootstrap script and styles inline, and the defence against cross-site scripting is that much shallower for it. A nonce would remove the need; we did not do it. </w:t>
            </w:r>
            <w:r>
              <w:rPr>
                <w:rFonts w:ascii="Consolas" w:hAnsi="Consolas" w:eastAsia="Consolas"/>
                <w:sz w:val="19"/>
              </w:rPr>
              <w:t>wasm-unsafe-eval</w:t>
            </w:r>
            <w:r>
              <w:rPr>
                <w:rFonts w:ascii="Times New Roman" w:hAnsi="Times New Roman" w:eastAsia="바탕"/>
                <w:sz w:val="20"/>
              </w:rPr>
              <w:t xml:space="preserve"> is open for the same kind of reason, because the on-device nutrition model and the OCR are WebAssembly (§4.1). Having a reason to leave something open is not the same as it being closed, so it is recorded as open.</w:t>
            </w:r>
          </w:p>
          <w:p>
            <w:pPr>
              <w:spacing w:after="80" w:line="276" w:lineRule="auto"/>
              <w:jc w:val="both"/>
            </w:pPr>
            <w:r>
              <w:rPr>
                <w:rFonts w:ascii="Times New Roman" w:hAnsi="Times New Roman" w:eastAsia="바탕"/>
                <w:sz w:val="20"/>
              </w:rPr>
              <w:t>Deriving the household ID as the SHA-256 hash of the public key follows the same reasoning. It removes the registration step, and requesting someone else's data would require their private key, which cannot leave their device. Access control becomes structural rather than a rule.</w:t>
            </w:r>
          </w:p>
          <w:p>
            <w:pPr>
              <w:spacing w:before="180" w:after="40"/>
            </w:pPr>
            <w:r>
              <w:rPr>
                <w:rFonts w:ascii="Times New Roman" w:hAnsi="Times New Roman" w:eastAsia="바탕"/>
                <w:b/>
                <w:sz w:val="23"/>
              </w:rPr>
              <w:t>4.7 The repository and how the team worked</w:t>
            </w:r>
          </w:p>
          <w:p>
            <w:pPr>
              <w:spacing w:after="80" w:line="276" w:lineRule="auto"/>
              <w:jc w:val="both"/>
            </w:pPr>
            <w:r>
              <w:rPr>
                <w:rFonts w:ascii="Times New Roman" w:hAnsi="Times New Roman" w:eastAsia="바탕"/>
                <w:sz w:val="20"/>
              </w:rPr>
              <w:t>The web app, the hardware firmware and the training code are managed in a single repository. It will be transferred to the contest organisation's GitHub organisation for final submission.</w:t>
            </w:r>
          </w:p>
          <w:p>
            <w:pPr>
              <w:spacing w:after="80" w:line="276" w:lineRule="auto"/>
              <w:jc w:val="both"/>
            </w:pPr>
            <w:r>
              <w:rPr>
                <w:rFonts w:ascii="Times New Roman" w:hAnsi="Times New Roman" w:eastAsia="바탕"/>
                <w:sz w:val="20"/>
              </w:rPr>
              <w:t>[Table 30] Composition of the repository (as of 3 August 2026)</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Area</w:t>
                  </w:r>
                </w:p>
              </w:tc>
              <w:tc>
                <w:tcPr>
                  <w:tcW w:type="dxa" w:w="2429"/>
                  <w:shd w:val="clear" w:fill="F2F2F2"/>
                </w:tcPr>
                <w:p>
                  <w:r>
                    <w:rPr>
                      <w:rFonts w:ascii="Times New Roman" w:hAnsi="Times New Roman" w:eastAsia="바탕"/>
                      <w:b/>
                      <w:sz w:val="18"/>
                    </w:rPr>
                    <w:t>Files</w:t>
                  </w:r>
                </w:p>
              </w:tc>
              <w:tc>
                <w:tcPr>
                  <w:tcW w:type="dxa" w:w="2429"/>
                  <w:shd w:val="clear" w:fill="F2F2F2"/>
                </w:tcPr>
                <w:p>
                  <w:r>
                    <w:rPr>
                      <w:rFonts w:ascii="Times New Roman" w:hAnsi="Times New Roman" w:eastAsia="바탕"/>
                      <w:b/>
                      <w:sz w:val="18"/>
                    </w:rPr>
                    <w:t>Lines</w:t>
                  </w:r>
                </w:p>
              </w:tc>
              <w:tc>
                <w:tcPr>
                  <w:tcW w:type="dxa" w:w="2429"/>
                  <w:shd w:val="clear" w:fill="F2F2F2"/>
                </w:tcPr>
                <w:p>
                  <w:r>
                    <w:rPr>
                      <w:rFonts w:ascii="Times New Roman" w:hAnsi="Times New Roman" w:eastAsia="바탕"/>
                      <w:b/>
                      <w:sz w:val="18"/>
                    </w:rPr>
                    <w:t>Responsibility</w:t>
                  </w:r>
                </w:p>
              </w:tc>
            </w:tr>
            <w:tr>
              <w:tc>
                <w:tcPr>
                  <w:tcW w:type="dxa" w:w="2429"/>
                </w:tcPr>
                <w:p>
                  <w:r>
                    <w:rPr>
                      <w:rFonts w:ascii="Consolas" w:hAnsi="Consolas" w:eastAsia="Consolas"/>
                      <w:sz w:val="17"/>
                    </w:rPr>
                    <w:t>app</w:t>
                  </w:r>
                  <w:r>
                    <w:rPr>
                      <w:rFonts w:ascii="Times New Roman" w:hAnsi="Times New Roman" w:eastAsia="바탕"/>
                      <w:sz w:val="18"/>
                    </w:rPr>
                    <w:t xml:space="preserve"> · </w:t>
                  </w:r>
                  <w:r>
                    <w:rPr>
                      <w:rFonts w:ascii="Consolas" w:hAnsi="Consolas" w:eastAsia="Consolas"/>
                      <w:sz w:val="17"/>
                    </w:rPr>
                    <w:t>components</w:t>
                  </w:r>
                </w:p>
              </w:tc>
              <w:tc>
                <w:tcPr>
                  <w:tcW w:type="dxa" w:w="2429"/>
                </w:tcPr>
                <w:p>
                  <w:r>
                    <w:rPr>
                      <w:rFonts w:ascii="Times New Roman" w:hAnsi="Times New Roman" w:eastAsia="바탕"/>
                      <w:sz w:val="18"/>
                    </w:rPr>
                    <w:t>48</w:t>
                  </w:r>
                </w:p>
              </w:tc>
              <w:tc>
                <w:tcPr>
                  <w:tcW w:type="dxa" w:w="2429"/>
                </w:tcPr>
                <w:p>
                  <w:r>
                    <w:rPr>
                      <w:rFonts w:ascii="Times New Roman" w:hAnsi="Times New Roman" w:eastAsia="바탕"/>
                      <w:sz w:val="18"/>
                    </w:rPr>
                    <w:t>7,828</w:t>
                  </w:r>
                </w:p>
              </w:tc>
              <w:tc>
                <w:tcPr>
                  <w:tcW w:type="dxa" w:w="2429"/>
                </w:tcPr>
                <w:p>
                  <w:r>
                    <w:rPr>
                      <w:rFonts w:ascii="Times New Roman" w:hAnsi="Times New Roman" w:eastAsia="바탕"/>
                      <w:sz w:val="18"/>
                    </w:rPr>
                    <w:t>Screens and flow</w:t>
                  </w:r>
                </w:p>
              </w:tc>
            </w:tr>
            <w:tr>
              <w:tc>
                <w:tcPr>
                  <w:tcW w:type="dxa" w:w="2429"/>
                </w:tcPr>
                <w:p>
                  <w:r>
                    <w:rPr>
                      <w:rFonts w:ascii="Consolas" w:hAnsi="Consolas" w:eastAsia="Consolas"/>
                      <w:sz w:val="17"/>
                    </w:rPr>
                    <w:t>lib</w:t>
                  </w:r>
                </w:p>
              </w:tc>
              <w:tc>
                <w:tcPr>
                  <w:tcW w:type="dxa" w:w="2429"/>
                </w:tcPr>
                <w:p>
                  <w:r>
                    <w:rPr>
                      <w:rFonts w:ascii="Times New Roman" w:hAnsi="Times New Roman" w:eastAsia="바탕"/>
                      <w:sz w:val="18"/>
                    </w:rPr>
                    <w:t>118</w:t>
                  </w:r>
                </w:p>
              </w:tc>
              <w:tc>
                <w:tcPr>
                  <w:tcW w:type="dxa" w:w="2429"/>
                </w:tcPr>
                <w:p>
                  <w:r>
                    <w:rPr>
                      <w:rFonts w:ascii="Times New Roman" w:hAnsi="Times New Roman" w:eastAsia="바탕"/>
                      <w:sz w:val="18"/>
                    </w:rPr>
                    <w:t>14,360</w:t>
                  </w:r>
                </w:p>
              </w:tc>
              <w:tc>
                <w:tcPr>
                  <w:tcW w:type="dxa" w:w="2429"/>
                </w:tcPr>
                <w:p>
                  <w:r>
                    <w:rPr>
                      <w:rFonts w:ascii="Times New Roman" w:hAnsi="Times New Roman" w:eastAsia="바탕"/>
                      <w:sz w:val="18"/>
                    </w:rPr>
                    <w:t>Verdict, nutrition, inference, sync</w:t>
                  </w:r>
                </w:p>
              </w:tc>
            </w:tr>
            <w:tr>
              <w:tc>
                <w:tcPr>
                  <w:tcW w:type="dxa" w:w="2429"/>
                </w:tcPr>
                <w:p>
                  <w:r>
                    <w:rPr>
                      <w:rFonts w:ascii="Consolas" w:hAnsi="Consolas" w:eastAsia="Consolas"/>
                      <w:sz w:val="17"/>
                    </w:rPr>
                    <w:t>engine</w:t>
                  </w:r>
                </w:p>
              </w:tc>
              <w:tc>
                <w:tcPr>
                  <w:tcW w:type="dxa" w:w="2429"/>
                </w:tcPr>
                <w:p>
                  <w:r>
                    <w:rPr>
                      <w:rFonts w:ascii="Times New Roman" w:hAnsi="Times New Roman" w:eastAsia="바탕"/>
                      <w:sz w:val="18"/>
                    </w:rPr>
                    <w:t>107</w:t>
                  </w:r>
                </w:p>
              </w:tc>
              <w:tc>
                <w:tcPr>
                  <w:tcW w:type="dxa" w:w="2429"/>
                </w:tcPr>
                <w:p>
                  <w:r>
                    <w:rPr>
                      <w:rFonts w:ascii="Times New Roman" w:hAnsi="Times New Roman" w:eastAsia="바탕"/>
                      <w:sz w:val="18"/>
                    </w:rPr>
                    <w:t>14,200</w:t>
                  </w:r>
                </w:p>
              </w:tc>
              <w:tc>
                <w:tcPr>
                  <w:tcW w:type="dxa" w:w="2429"/>
                </w:tcPr>
                <w:p>
                  <w:r>
                    <w:rPr>
                      <w:rFonts w:ascii="Times New Roman" w:hAnsi="Times New Roman" w:eastAsia="바탕"/>
                      <w:sz w:val="18"/>
                    </w:rPr>
                    <w:t>SIGIL morphemes and composition</w:t>
                  </w:r>
                </w:p>
              </w:tc>
            </w:tr>
            <w:tr>
              <w:tc>
                <w:tcPr>
                  <w:tcW w:type="dxa" w:w="2429"/>
                </w:tcPr>
                <w:p>
                  <w:r>
                    <w:rPr>
                      <w:rFonts w:ascii="Consolas" w:hAnsi="Consolas" w:eastAsia="Consolas"/>
                      <w:sz w:val="17"/>
                    </w:rPr>
                    <w:t>pill_dispenser</w:t>
                  </w:r>
                </w:p>
              </w:tc>
              <w:tc>
                <w:tcPr>
                  <w:tcW w:type="dxa" w:w="2429"/>
                </w:tcPr>
                <w:p>
                  <w:r>
                    <w:rPr>
                      <w:rFonts w:ascii="Times New Roman" w:hAnsi="Times New Roman" w:eastAsia="바탕"/>
                      <w:sz w:val="18"/>
                    </w:rPr>
                    <w:t>160</w:t>
                  </w:r>
                </w:p>
              </w:tc>
              <w:tc>
                <w:tcPr>
                  <w:tcW w:type="dxa" w:w="2429"/>
                </w:tcPr>
                <w:p>
                  <w:r>
                    <w:rPr>
                      <w:rFonts w:ascii="Times New Roman" w:hAnsi="Times New Roman" w:eastAsia="바탕"/>
                      <w:sz w:val="18"/>
                    </w:rPr>
                    <w:t>47,183</w:t>
                  </w:r>
                </w:p>
              </w:tc>
              <w:tc>
                <w:tcPr>
                  <w:tcW w:type="dxa" w:w="2429"/>
                </w:tcPr>
                <w:p>
                  <w:r>
                    <w:rPr>
                      <w:rFonts w:ascii="Times New Roman" w:hAnsi="Times New Roman" w:eastAsia="바탕"/>
                      <w:sz w:val="18"/>
                    </w:rPr>
                    <w:t>Firmware and paper form reading</w:t>
                  </w:r>
                </w:p>
              </w:tc>
            </w:tr>
            <w:tr>
              <w:tc>
                <w:tcPr>
                  <w:tcW w:type="dxa" w:w="2429"/>
                </w:tcPr>
                <w:p>
                  <w:r>
                    <w:rPr>
                      <w:rFonts w:ascii="Consolas" w:hAnsi="Consolas" w:eastAsia="Consolas"/>
                      <w:sz w:val="17"/>
                    </w:rPr>
                    <w:t>nutrition_manager</w:t>
                  </w:r>
                </w:p>
              </w:tc>
              <w:tc>
                <w:tcPr>
                  <w:tcW w:type="dxa" w:w="2429"/>
                </w:tcPr>
                <w:p>
                  <w:r>
                    <w:rPr>
                      <w:rFonts w:ascii="Times New Roman" w:hAnsi="Times New Roman" w:eastAsia="바탕"/>
                      <w:sz w:val="18"/>
                    </w:rPr>
                    <w:t>61</w:t>
                  </w:r>
                </w:p>
              </w:tc>
              <w:tc>
                <w:tcPr>
                  <w:tcW w:type="dxa" w:w="2429"/>
                </w:tcPr>
                <w:p>
                  <w:r>
                    <w:rPr>
                      <w:rFonts w:ascii="Times New Roman" w:hAnsi="Times New Roman" w:eastAsia="바탕"/>
                      <w:sz w:val="18"/>
                    </w:rPr>
                    <w:t>59,335</w:t>
                  </w:r>
                </w:p>
              </w:tc>
              <w:tc>
                <w:tcPr>
                  <w:tcW w:type="dxa" w:w="2429"/>
                </w:tcPr>
                <w:p>
                  <w:r>
                    <w:rPr>
                      <w:rFonts w:ascii="Times New Roman" w:hAnsi="Times New Roman" w:eastAsia="바탕"/>
                      <w:sz w:val="18"/>
                    </w:rPr>
                    <w:t>Nutrition model training and evaluation</w:t>
                  </w:r>
                </w:p>
              </w:tc>
            </w:tr>
            <w:tr>
              <w:tc>
                <w:tcPr>
                  <w:tcW w:type="dxa" w:w="2429"/>
                </w:tcPr>
                <w:p>
                  <w:r>
                    <w:rPr>
                      <w:rFonts w:ascii="Consolas" w:hAnsi="Consolas" w:eastAsia="Consolas"/>
                      <w:sz w:val="17"/>
                    </w:rPr>
                    <w:t>docs</w:t>
                  </w:r>
                </w:p>
              </w:tc>
              <w:tc>
                <w:tcPr>
                  <w:tcW w:type="dxa" w:w="2429"/>
                </w:tcPr>
                <w:p>
                  <w:r>
                    <w:rPr>
                      <w:rFonts w:ascii="Times New Roman" w:hAnsi="Times New Roman" w:eastAsia="바탕"/>
                      <w:sz w:val="18"/>
                    </w:rPr>
                    <w:t>125</w:t>
                  </w:r>
                </w:p>
              </w:tc>
              <w:tc>
                <w:tcPr>
                  <w:tcW w:type="dxa" w:w="2429"/>
                </w:tcPr>
                <w:p>
                  <w:r>
                    <w:rPr>
                      <w:rFonts w:ascii="Times New Roman" w:hAnsi="Times New Roman" w:eastAsia="바탕"/>
                      <w:sz w:val="18"/>
                    </w:rPr>
                    <w:t>116,410</w:t>
                  </w:r>
                </w:p>
              </w:tc>
              <w:tc>
                <w:tcPr>
                  <w:tcW w:type="dxa" w:w="2429"/>
                </w:tcPr>
                <w:p>
                  <w:r>
                    <w:rPr>
                      <w:rFonts w:ascii="Times New Roman" w:hAnsi="Times New Roman" w:eastAsia="바탕"/>
                      <w:sz w:val="18"/>
                    </w:rPr>
                    <w:t>The proposal and figure generation</w:t>
                  </w:r>
                </w:p>
              </w:tc>
            </w:tr>
          </w:tbl>
          <w:p/>
          <w:p>
            <w:pPr>
              <w:spacing w:after="120"/>
            </w:pPr>
          </w:p>
          <w:p>
            <w:pPr>
              <w:spacing w:after="80" w:line="276" w:lineRule="auto"/>
              <w:jc w:val="both"/>
            </w:pPr>
            <w:r>
              <w:rPr>
                <w:rFonts w:ascii="Times New Roman" w:hAnsi="Times New Roman" w:eastAsia="바탕"/>
                <w:sz w:val="20"/>
              </w:rPr>
              <w:t>There is a reason the repository was not split. What breaks most often in this project is not the individual parts but the agreements between them. The cause of 0 passes out of 28 in the formative evaluation in §5.1 was a missing connection rather than a defect in any single feature. With the repository split, that connection cannot be tested in one go, and there is no way to tell which side changed first.</w:t>
            </w:r>
          </w:p>
          <w:p>
            <w:pPr>
              <w:spacing w:after="80" w:line="276" w:lineRule="auto"/>
              <w:jc w:val="both"/>
            </w:pPr>
            <w:r>
              <w:rPr>
                <w:rFonts w:ascii="Times New Roman" w:hAnsi="Times New Roman" w:eastAsia="바탕"/>
                <w:sz w:val="20"/>
              </w:rPr>
              <w:t>In practice three kinds of test in this repository each require something different.</w:t>
            </w:r>
          </w:p>
          <w:p>
            <w:pPr>
              <w:spacing w:after="80" w:line="276" w:lineRule="auto"/>
              <w:jc w:val="both"/>
            </w:pPr>
            <w:r>
              <w:rPr>
                <w:rFonts w:ascii="Times New Roman" w:hAnsi="Times New Roman" w:eastAsia="바탕"/>
                <w:sz w:val="20"/>
              </w:rPr>
              <w:t>[Table 31] Three kinds of test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Kind</w:t>
                  </w:r>
                </w:p>
              </w:tc>
              <w:tc>
                <w:tcPr>
                  <w:tcW w:type="dxa" w:w="2429"/>
                  <w:shd w:val="clear" w:fill="F2F2F2"/>
                </w:tcPr>
                <w:p>
                  <w:r>
                    <w:rPr>
                      <w:rFonts w:ascii="Times New Roman" w:hAnsi="Times New Roman" w:eastAsia="바탕"/>
                      <w:b/>
                      <w:sz w:val="18"/>
                    </w:rPr>
                    <w:t>Tests</w:t>
                  </w:r>
                </w:p>
              </w:tc>
              <w:tc>
                <w:tcPr>
                  <w:tcW w:type="dxa" w:w="2429"/>
                  <w:shd w:val="clear" w:fill="F2F2F2"/>
                </w:tcPr>
                <w:p>
                  <w:r>
                    <w:rPr>
                      <w:rFonts w:ascii="Times New Roman" w:hAnsi="Times New Roman" w:eastAsia="바탕"/>
                      <w:b/>
                      <w:sz w:val="18"/>
                    </w:rPr>
                    <w:t>Result</w:t>
                  </w:r>
                </w:p>
              </w:tc>
              <w:tc>
                <w:tcPr>
                  <w:tcW w:type="dxa" w:w="2429"/>
                  <w:shd w:val="clear" w:fill="F2F2F2"/>
                </w:tcPr>
                <w:p>
                  <w:r>
                    <w:rPr>
                      <w:rFonts w:ascii="Times New Roman" w:hAnsi="Times New Roman" w:eastAsia="바탕"/>
                      <w:b/>
                      <w:sz w:val="18"/>
                    </w:rPr>
                    <w:t>What it needs</w:t>
                  </w:r>
                </w:p>
              </w:tc>
            </w:tr>
            <w:tr>
              <w:tc>
                <w:tcPr>
                  <w:tcW w:type="dxa" w:w="2429"/>
                </w:tcPr>
                <w:p>
                  <w:r>
                    <w:rPr>
                      <w:rFonts w:ascii="Times New Roman" w:hAnsi="Times New Roman" w:eastAsia="바탕"/>
                      <w:sz w:val="18"/>
                    </w:rPr>
                    <w:t>Web app (</w:t>
                  </w:r>
                  <w:r>
                    <w:rPr>
                      <w:rFonts w:ascii="Consolas" w:hAnsi="Consolas" w:eastAsia="Consolas"/>
                      <w:sz w:val="17"/>
                    </w:rPr>
                    <w:t>node --test</w:t>
                  </w:r>
                  <w:r>
                    <w:rPr>
                      <w:rFonts w:ascii="Times New Roman" w:hAnsi="Times New Roman" w:eastAsia="바탕"/>
                      <w:sz w:val="18"/>
                    </w:rPr>
                    <w:t>)</w:t>
                  </w:r>
                </w:p>
              </w:tc>
              <w:tc>
                <w:tcPr>
                  <w:tcW w:type="dxa" w:w="2429"/>
                </w:tcPr>
                <w:p>
                  <w:r>
                    <w:rPr>
                      <w:rFonts w:ascii="Times New Roman" w:hAnsi="Times New Roman" w:eastAsia="바탕"/>
                      <w:sz w:val="18"/>
                    </w:rPr>
                    <w:t>589</w:t>
                  </w:r>
                </w:p>
              </w:tc>
              <w:tc>
                <w:tcPr>
                  <w:tcW w:type="dxa" w:w="2429"/>
                </w:tcPr>
                <w:p>
                  <w:r>
                    <w:rPr>
                      <w:rFonts w:ascii="Times New Roman" w:hAnsi="Times New Roman" w:eastAsia="바탕"/>
                      <w:sz w:val="18"/>
                    </w:rPr>
                    <w:t>589 pass · 0 fail</w:t>
                  </w:r>
                </w:p>
              </w:tc>
              <w:tc>
                <w:tcPr>
                  <w:tcW w:type="dxa" w:w="2429"/>
                </w:tcPr>
                <w:p>
                  <w:r>
                    <w:rPr>
                      <w:rFonts w:ascii="Times New Roman" w:hAnsi="Times New Roman" w:eastAsia="바탕"/>
                      <w:sz w:val="18"/>
                    </w:rPr>
                    <w:t xml:space="preserve">Node · </w:t>
                  </w:r>
                  <w:r>
                    <w:rPr>
                      <w:rFonts w:ascii="Consolas" w:hAnsi="Consolas" w:eastAsia="Consolas"/>
                      <w:sz w:val="17"/>
                    </w:rPr>
                    <w:t>npm ci</w:t>
                  </w:r>
                </w:p>
              </w:tc>
            </w:tr>
            <w:tr>
              <w:tc>
                <w:tcPr>
                  <w:tcW w:type="dxa" w:w="2429"/>
                </w:tcPr>
                <w:p>
                  <w:r>
                    <w:rPr>
                      <w:rFonts w:ascii="Times New Roman" w:hAnsi="Times New Roman" w:eastAsia="바탕"/>
                      <w:sz w:val="18"/>
                    </w:rPr>
                    <w:t>Paper form and cloud relay (</w:t>
                  </w:r>
                  <w:r>
                    <w:rPr>
                      <w:rFonts w:ascii="Consolas" w:hAnsi="Consolas" w:eastAsia="Consolas"/>
                      <w:sz w:val="17"/>
                    </w:rPr>
                    <w:t>pytest</w:t>
                  </w:r>
                  <w:r>
                    <w:rPr>
                      <w:rFonts w:ascii="Times New Roman" w:hAnsi="Times New Roman" w:eastAsia="바탕"/>
                      <w:sz w:val="18"/>
                    </w:rPr>
                    <w:t>)</w:t>
                  </w:r>
                </w:p>
              </w:tc>
              <w:tc>
                <w:tcPr>
                  <w:tcW w:type="dxa" w:w="2429"/>
                </w:tcPr>
                <w:p>
                  <w:r>
                    <w:rPr>
                      <w:rFonts w:ascii="Times New Roman" w:hAnsi="Times New Roman" w:eastAsia="바탕"/>
                      <w:sz w:val="18"/>
                    </w:rPr>
                    <w:t>182</w:t>
                  </w:r>
                </w:p>
              </w:tc>
              <w:tc>
                <w:tcPr>
                  <w:tcW w:type="dxa" w:w="2429"/>
                </w:tcPr>
                <w:p>
                  <w:r>
                    <w:rPr>
                      <w:rFonts w:ascii="Times New Roman" w:hAnsi="Times New Roman" w:eastAsia="바탕"/>
                      <w:sz w:val="18"/>
                    </w:rPr>
                    <w:t>179 pass · 3 skipped</w:t>
                  </w:r>
                </w:p>
              </w:tc>
              <w:tc>
                <w:tcPr>
                  <w:tcW w:type="dxa" w:w="2429"/>
                </w:tcPr>
                <w:p>
                  <w:r>
                    <w:rPr>
                      <w:rFonts w:ascii="Times New Roman" w:hAnsi="Times New Roman" w:eastAsia="바탕"/>
                      <w:sz w:val="18"/>
                    </w:rPr>
                    <w:t>OpenCV</w:t>
                  </w:r>
                </w:p>
              </w:tc>
            </w:tr>
            <w:tr>
              <w:tc>
                <w:tcPr>
                  <w:tcW w:type="dxa" w:w="2429"/>
                </w:tcPr>
                <w:p>
                  <w:r>
                    <w:rPr>
                      <w:rFonts w:ascii="Times New Roman" w:hAnsi="Times New Roman" w:eastAsia="바탕"/>
                      <w:sz w:val="18"/>
                    </w:rPr>
                    <w:t>Device firmware (</w:t>
                  </w:r>
                  <w:r>
                    <w:rPr>
                      <w:rFonts w:ascii="Consolas" w:hAnsi="Consolas" w:eastAsia="Consolas"/>
                      <w:sz w:val="17"/>
                    </w:rPr>
                    <w:t>pytest</w:t>
                  </w:r>
                  <w:r>
                    <w:rPr>
                      <w:rFonts w:ascii="Times New Roman" w:hAnsi="Times New Roman" w:eastAsia="바탕"/>
                      <w:sz w:val="18"/>
                    </w:rPr>
                    <w:t>)</w:t>
                  </w:r>
                </w:p>
              </w:tc>
              <w:tc>
                <w:tcPr>
                  <w:tcW w:type="dxa" w:w="2429"/>
                </w:tcPr>
                <w:p>
                  <w:r>
                    <w:rPr>
                      <w:rFonts w:ascii="Times New Roman" w:hAnsi="Times New Roman" w:eastAsia="바탕"/>
                      <w:sz w:val="18"/>
                    </w:rPr>
                    <w:t>742</w:t>
                  </w:r>
                </w:p>
              </w:tc>
              <w:tc>
                <w:tcPr>
                  <w:tcW w:type="dxa" w:w="2429"/>
                </w:tcPr>
                <w:p>
                  <w:r>
                    <w:rPr>
                      <w:rFonts w:ascii="Times New Roman" w:hAnsi="Times New Roman" w:eastAsia="바탕"/>
                      <w:sz w:val="18"/>
                    </w:rPr>
                    <w:t>654 pass · 88 skipped</w:t>
                  </w:r>
                </w:p>
              </w:tc>
              <w:tc>
                <w:tcPr>
                  <w:tcW w:type="dxa" w:w="2429"/>
                </w:tcPr>
                <w:p>
                  <w:r>
                    <w:rPr>
                      <w:rFonts w:ascii="Times New Roman" w:hAnsi="Times New Roman" w:eastAsia="바탕"/>
                      <w:sz w:val="18"/>
                    </w:rPr>
                    <w:t>Python only</w:t>
                  </w:r>
                </w:p>
              </w:tc>
            </w:tr>
          </w:tbl>
          <w:p/>
          <w:p>
            <w:pPr>
              <w:spacing w:after="120"/>
            </w:pPr>
          </w:p>
          <w:p>
            <w:pPr>
              <w:spacing w:after="80" w:line="276" w:lineRule="auto"/>
              <w:jc w:val="both"/>
            </w:pPr>
            <w:r>
              <w:rPr>
                <w:rFonts w:ascii="Times New Roman" w:hAnsi="Times New Roman" w:eastAsia="바탕"/>
                <w:sz w:val="20"/>
              </w:rPr>
              <w:t>These are counts from running the suites on 4 August 2026. The previous version had a single web-app failure here, and how it was fixed is left below as it stands.</w:t>
            </w:r>
          </w:p>
          <w:p>
            <w:pPr>
              <w:spacing w:after="80" w:line="276" w:lineRule="auto"/>
              <w:jc w:val="both"/>
            </w:pPr>
            <w:r>
              <w:rPr>
                <w:rFonts w:ascii="Times New Roman" w:hAnsi="Times New Roman" w:eastAsia="바탕"/>
                <w:sz w:val="20"/>
              </w:rPr>
              <w:t xml:space="preserve">What failed was </w:t>
            </w:r>
            <w:r>
              <w:rPr>
                <w:rFonts w:ascii="Consolas" w:hAnsi="Consolas" w:eastAsia="Consolas"/>
                <w:sz w:val="19"/>
              </w:rPr>
              <w:t>pill_dispenser/webapp_kit/tests/kit.test.ts</w:t>
            </w:r>
            <w:r>
              <w:rPr>
                <w:rFonts w:ascii="Times New Roman" w:hAnsi="Times New Roman" w:eastAsia="바탕"/>
                <w:sz w:val="20"/>
              </w:rPr>
              <w:t xml:space="preserve">, and the cause lay not in the test but in loading it. </w:t>
            </w:r>
            <w:r>
              <w:rPr>
                <w:rFonts w:ascii="Consolas" w:hAnsi="Consolas" w:eastAsia="Consolas"/>
                <w:sz w:val="19"/>
              </w:rPr>
              <w:t>relay.ts</w:t>
            </w:r>
            <w:r>
              <w:rPr>
                <w:rFonts w:ascii="Times New Roman" w:hAnsi="Times New Roman" w:eastAsia="바탕"/>
                <w:sz w:val="20"/>
              </w:rPr>
              <w:t xml:space="preserve"> uses a constructor parameter property (</w:t>
            </w:r>
            <w:r>
              <w:rPr>
                <w:rFonts w:ascii="Consolas" w:hAnsi="Consolas" w:eastAsia="Consolas"/>
                <w:sz w:val="19"/>
              </w:rPr>
              <w:t>constructor(readonly status: number)</w:t>
            </w:r>
            <w:r>
              <w:rPr>
                <w:rFonts w:ascii="Times New Roman" w:hAnsi="Times New Roman" w:eastAsia="바탕"/>
                <w:sz w:val="20"/>
              </w:rPr>
              <w:t xml:space="preserve">), and Node's type stripping removes types without emitting code, so it does not support that syntax. The import stops with </w:t>
            </w:r>
            <w:r>
              <w:rPr>
                <w:rFonts w:ascii="Consolas" w:hAnsi="Consolas" w:eastAsia="Consolas"/>
                <w:sz w:val="19"/>
              </w:rPr>
              <w:t>ERR_UNSUPPORTED_TYPESCRIPT_SYNTAX</w:t>
            </w:r>
            <w:r>
              <w:rPr>
                <w:rFonts w:ascii="Times New Roman" w:hAnsi="Times New Roman" w:eastAsia="바탕"/>
                <w:sz w:val="20"/>
              </w:rPr>
              <w:t>.</w:t>
            </w:r>
          </w:p>
          <w:p>
            <w:pPr>
              <w:spacing w:after="80" w:line="276" w:lineRule="auto"/>
              <w:jc w:val="both"/>
            </w:pPr>
            <w:r>
              <w:rPr>
                <w:rFonts w:ascii="Times New Roman" w:hAnsi="Times New Roman" w:eastAsia="바탕"/>
                <w:sz w:val="20"/>
              </w:rPr>
              <w:t xml:space="preserve">It was set down because something heavier than one failure rode along with it. Since the file never loaded, </w:t>
            </w:r>
            <w:r>
              <w:rPr>
                <w:rFonts w:ascii="Times New Roman" w:hAnsi="Times New Roman" w:eastAsia="바탕"/>
                <w:b/>
                <w:sz w:val="20"/>
              </w:rPr>
              <w:t>not one</w:t>
            </w:r>
            <w:r>
              <w:rPr>
                <w:rFonts w:ascii="Times New Roman" w:hAnsi="Times New Roman" w:eastAsia="바탕"/>
                <w:sz w:val="20"/>
              </w:rPr>
              <w:t xml:space="preserve"> of the tests inside it ran. The total at that time did not count that file's tests, so what looked like a single failure was in fact an entire file going unmeasured. It is the same shape of failure as the eight display constants in §5.4: the tool showed green while what it was measuring was empty.</w:t>
            </w:r>
          </w:p>
          <w:p>
            <w:pPr>
              <w:spacing w:after="80" w:line="276" w:lineRule="auto"/>
              <w:jc w:val="both"/>
            </w:pPr>
            <w:r>
              <w:rPr>
                <w:rFonts w:ascii="Times New Roman" w:hAnsi="Times New Roman" w:eastAsia="바탕"/>
                <w:sz w:val="20"/>
              </w:rPr>
              <w:t>This passage is kept rather than deleted because how it ended attaches here. Replacing the constructor parameter property with a declared and assigned field made the file load, and the 30 tests inside came back and all passed. We ran them to check. The 589 in the table above includes those 30. Because the failure was written down, its fix can be written down too, and this document has now met twice the case of a test that looked green while being empty, and written it down both times.</w:t>
            </w:r>
          </w:p>
          <w:p>
            <w:pPr>
              <w:spacing w:after="80" w:line="276" w:lineRule="auto"/>
              <w:jc w:val="both"/>
            </w:pPr>
            <w:r>
              <w:rPr>
                <w:rFonts w:ascii="Times New Roman" w:hAnsi="Times New Roman" w:eastAsia="바탕"/>
                <w:sz w:val="20"/>
              </w:rPr>
              <w:t>That the firmware suite was for a while not running at all is also set down. Eight screen constants disappeared in one commit, and since every test file goes through that module, all of them stopped at import. Restoring them revealed 35 failures, and those 35 went away when the screen was redesigned around a single panel. They were missed not for want of tests but because the tests were not running, which is to say that counting passes and checking that the tests actually run are two different jobs.</w:t>
            </w:r>
          </w:p>
          <w:p>
            <w:pPr>
              <w:spacing w:after="80" w:line="276" w:lineRule="auto"/>
              <w:jc w:val="both"/>
            </w:pPr>
            <w:r>
              <w:rPr>
                <w:rFonts w:ascii="Times New Roman" w:hAnsi="Times New Roman" w:eastAsia="바탕"/>
                <w:sz w:val="20"/>
              </w:rPr>
              <w:t xml:space="preserve">The "needs" column was measured and corrected. The web app was recorded as "Node only" for a while; with the dependencies removed, twenty-five tests quietly disappeared, because three files stop at an import of </w:t>
            </w:r>
            <w:r>
              <w:rPr>
                <w:rFonts w:ascii="Consolas" w:hAnsi="Consolas" w:eastAsia="Consolas"/>
                <w:sz w:val="19"/>
              </w:rPr>
              <w:t>zustand</w:t>
            </w:r>
            <w:r>
              <w:rPr>
                <w:rFonts w:ascii="Times New Roman" w:hAnsi="Times New Roman" w:eastAsia="바탕"/>
                <w:sz w:val="20"/>
              </w:rPr>
              <w:t>. That measurement was taken when the total was lower than it is now and has not been repeated since, so this document does not know how many disappear today. Only the fact that they disappear, and the reason, are unchanged. Twenty-five tests disappear quietly and the rest finish green, so from the outside it looks like a pass. It is the same shape as what §5.4 records.</w:t>
            </w:r>
          </w:p>
          <w:p>
            <w:pPr>
              <w:spacing w:after="80" w:line="276" w:lineRule="auto"/>
              <w:jc w:val="both"/>
            </w:pPr>
            <w:r>
              <w:rPr>
                <w:rFonts w:ascii="Times New Roman" w:hAnsi="Times New Roman" w:eastAsia="바탕"/>
                <w:sz w:val="20"/>
              </w:rPr>
              <w:t xml:space="preserve">All three run without the hardware. No servo, no Raspberry Pi and no network is needed. Making code that runs on a device you cannot attach a debugger to verifiable by anyone in a few seconds is the purpose of this arrangement, and bringing the whole firmware up on a laptop with </w:t>
            </w:r>
            <w:r>
              <w:rPr>
                <w:rFonts w:ascii="Consolas" w:hAnsi="Consolas" w:eastAsia="Consolas"/>
                <w:sz w:val="19"/>
              </w:rPr>
              <w:t>make run</w:t>
            </w:r>
            <w:r>
              <w:rPr>
                <w:rFonts w:ascii="Times New Roman" w:hAnsi="Times New Roman" w:eastAsia="바탕"/>
                <w:sz w:val="20"/>
              </w:rPr>
              <w:t xml:space="preserve"> (Figure 23, right) comes from the same principle.</w:t>
            </w:r>
          </w:p>
          <w:p>
            <w:pPr>
              <w:spacing w:after="80" w:line="276" w:lineRule="auto"/>
              <w:jc w:val="both"/>
            </w:pPr>
            <w:r>
              <w:rPr>
                <w:rFonts w:ascii="Times New Roman" w:hAnsi="Times New Roman" w:eastAsia="바탕"/>
                <w:sz w:val="20"/>
              </w:rPr>
              <w:t>Roles were divided as follows. Yunsu Nam took the web app and the SIGIL and VOCA engines, Dohun Kim took the hardware firmware, the paper form reading and the nutrition estimation model, and the Moldovan team took 3D printing, mechanical design and screen design. Over 17 days 320 commits accumulated.</w:t>
            </w:r>
          </w:p>
          <w:p>
            <w:pPr>
              <w:spacing w:after="80" w:line="276" w:lineRule="auto"/>
              <w:jc w:val="both"/>
            </w:pPr>
            <w:r>
              <w:rPr>
                <w:rFonts w:ascii="Times New Roman" w:hAnsi="Times New Roman" w:eastAsia="바탕"/>
                <w:sz w:val="20"/>
              </w:rPr>
              <w:t xml:space="preserve">There is a condition attached here as well. This project used AI coding tools throughout development, and we do not hide it. Nowhere was what a tool produced left as it stood. The defects recorded in this document were all found by a person checking again. Of the 37 citations checked in the first pass, 12 differed from their sources (what was wrong in each is kept case by case in </w:t>
            </w:r>
            <w:r>
              <w:rPr>
                <w:rFonts w:ascii="Consolas" w:hAnsi="Consolas" w:eastAsia="Consolas"/>
                <w:sz w:val="19"/>
              </w:rPr>
              <w:t>citations.md</w:t>
            </w:r>
            <w:r>
              <w:rPr>
                <w:rFonts w:ascii="Times New Roman" w:hAnsi="Times New Roman" w:eastAsia="바탕"/>
                <w:sz w:val="20"/>
              </w:rPr>
              <w:t xml:space="preserve"> in the repository); the morpheme checker passed four rings as "four" (§5.2); and the sample prescriptions carried five clinical errors (§5.7). What this repository sets out to show is not that tools were used but how the results were verified.</w:t>
            </w:r>
          </w:p>
        </w:tc>
      </w:tr>
      <w:tr w:rsidR="00BE63FA" w14:paraId="18C2F1E2" w14:textId="77777777" w:rsidTr="00BE63FA">
        <w:trPr>
          <w:trHeight w:val="907"/>
        </w:trPr>
        <w:tc>
          <w:tcPr>
            <w:tcW w:w="9715"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550B6508" w14:textId="77777777" w:rsidR="00BE63FA" w:rsidRDefault="00BE63FA" w:rsidP="00BE63FA">
            <w:pPr>
              <w:rPr>
                <w:rFonts w:ascii="Arial" w:eastAsia="Arial" w:hAnsi="Arial" w:cs="Arial"/>
                <w:color w:val="002060"/>
                <w:sz w:val="24"/>
                <w:szCs w:val="24"/>
              </w:rPr>
            </w:pPr>
            <w:r>
              <w:rPr>
                <w:rFonts w:ascii="Arial" w:eastAsia="Arial" w:hAnsi="Arial" w:cs="Arial"/>
                <w:b/>
                <w:bCs/>
                <w:color w:val="002060"/>
                <w:sz w:val="28"/>
                <w:szCs w:val="28"/>
              </w:rPr>
              <w:t xml:space="preserve">□ Results and </w:t>
            </w:r>
            <w:r w:rsidRPr="00E66BEE">
              <w:rPr>
                <w:rFonts w:ascii="Arial" w:eastAsia="Arial" w:hAnsi="Arial" w:cs="Arial"/>
                <w:b/>
                <w:bCs/>
                <w:color w:val="002060"/>
                <w:sz w:val="28"/>
                <w:szCs w:val="28"/>
              </w:rPr>
              <w:t>Expected Impact (SDG 3 Contribution)</w:t>
            </w:r>
          </w:p>
          <w:p w14:paraId="14C9B21E" w14:textId="5D2A35CA" w:rsidR="00BE63FA" w:rsidRPr="00182E9B" w:rsidRDefault="00BE63FA" w:rsidP="00BE63FA">
            <w:pPr>
              <w:rPr>
                <w:rFonts w:ascii="Arial" w:hAnsi="Arial" w:cs="Arial"/>
              </w:rPr>
            </w:pPr>
            <w:r w:rsidRPr="00A83459">
              <w:rPr>
                <w:rFonts w:ascii="Arial" w:eastAsia="Arial" w:hAnsi="Arial" w:cs="Arial"/>
              </w:rPr>
              <w:t>Address all three points: (1) development results, testing, or</w:t>
            </w:r>
            <w:r w:rsidR="004052C3">
              <w:rPr>
                <w:rFonts w:ascii="Arial" w:hAnsi="Arial" w:cs="Arial" w:hint="eastAsia"/>
              </w:rPr>
              <w:t xml:space="preserve"> </w:t>
            </w:r>
            <w:r w:rsidR="00F6120C">
              <w:rPr>
                <w:rFonts w:ascii="Arial" w:hAnsi="Arial" w:cs="Arial"/>
              </w:rPr>
              <w:t>self</w:t>
            </w:r>
            <w:r w:rsidR="00F6120C" w:rsidRPr="00A83459">
              <w:rPr>
                <w:rFonts w:ascii="Arial" w:eastAsia="Arial" w:hAnsi="Arial" w:cs="Arial"/>
              </w:rPr>
              <w:t>-feedback</w:t>
            </w:r>
            <w:r w:rsidRPr="00A83459">
              <w:rPr>
                <w:rFonts w:ascii="Arial" w:eastAsia="Arial" w:hAnsi="Arial" w:cs="Arial"/>
              </w:rPr>
              <w:t>; (2) value to users, expected impact, and contribution to SDG 3; and (3) future improvements or expansion after the contest.</w:t>
            </w:r>
          </w:p>
        </w:tc>
      </w:tr>
      <w:tr w:rsidR="00BE63FA" w14:paraId="01F83758" w14:textId="77777777" w:rsidTr="00BE63FA">
        <w:trPr>
          <w:trHeight w:val="57"/>
        </w:trPr>
        <w:tc>
          <w:tcPr>
            <w:tcW w:w="9715" w:type="dxa"/>
            <w:tcBorders>
              <w:top w:val="single" w:sz="4" w:space="0" w:color="000000"/>
              <w:left w:val="single" w:sz="4" w:space="0" w:color="000000"/>
              <w:bottom w:val="single" w:sz="4" w:space="0" w:color="000000"/>
              <w:right w:val="single" w:sz="4" w:space="0" w:color="000000"/>
            </w:tcBorders>
          </w:tcPr>
          <w:p w14:paraId="336D44E1" w14:textId="0EB1C405" w:rsidR="00BE63FA" w:rsidRPr="00182E9B" w:rsidRDefault="00BE63FA" w:rsidP="00BE63FA">
            <w:pPr>
              <w:rPr>
                <w:rFonts w:ascii="Arial" w:hAnsi="Arial" w:cs="Arial"/>
              </w:rPr>
            </w:pPr>
            <w:r>
              <w:rPr>
                <w:rFonts w:ascii="Arial" w:eastAsia="Arial" w:hAnsi="Arial" w:cs="Arial"/>
                <w:b/>
                <w:bCs/>
              </w:rPr>
              <w:t>Content (address points 1-3)</w:t>
            </w:r>
          </w:p>
        </w:tc>
      </w:tr>
      <w:tr w:rsidR="00BE63FA" w14:paraId="7EA54937" w14:textId="77777777" w:rsidTr="00A13D48">
        <w:trPr>
          <w:trHeight w:val="3549"/>
        </w:trPr>
        <w:tc>
          <w:tcPr>
            <w:tcW w:w="9715" w:type="dxa"/>
            <w:tcBorders>
              <w:top w:val="single" w:sz="4" w:space="0" w:color="000000"/>
              <w:left w:val="single" w:sz="4" w:space="0" w:color="000000"/>
              <w:bottom w:val="single" w:sz="4" w:space="0" w:color="000000"/>
              <w:right w:val="single" w:sz="4" w:space="0" w:color="000000"/>
            </w:tcBorders>
          </w:tcPr>
          <w:p w14:paraId="72D208B7" w14:textId="77777777" w:rsidR="00BE63FA" w:rsidRDefault="00BE63FA" w:rsidP="00BE63FA">
            <w:pPr>
              <w:spacing w:before="180" w:after="40"/>
              <w:rPr>
                <w:rFonts w:ascii="Arial" w:eastAsia="Arial" w:hAnsi="Arial" w:cs="Arial"/>
                <w:b/>
                <w:bCs/>
              </w:rPr>
            </w:pPr>
            <w:r>
              <w:rPr>
                <w:rFonts w:ascii="Times New Roman" w:hAnsi="Times New Roman" w:eastAsia="바탕"/>
                <w:b/>
                <w:sz w:val="23"/>
              </w:rPr>
              <w:t>5.1 Formative evaluation: whether the information arrives</w:t>
            </w:r>
          </w:p>
          <w:p>
            <w:pPr>
              <w:spacing w:after="80" w:line="276" w:lineRule="auto"/>
              <w:jc w:val="both"/>
            </w:pPr>
            <w:r>
              <w:rPr>
                <w:rFonts w:ascii="Times New Roman" w:hAnsi="Times New Roman" w:eastAsia="바탕"/>
                <w:sz w:val="20"/>
              </w:rPr>
              <w:t>The first thing to ask once the app was built was whether the necessary information actually reaches the screen.</w:t>
            </w:r>
          </w:p>
          <w:p>
            <w:pPr>
              <w:spacing w:after="80" w:line="276" w:lineRule="auto"/>
              <w:jc w:val="both"/>
            </w:pPr>
            <w:r>
              <w:rPr>
                <w:rFonts w:ascii="Times New Roman" w:hAnsi="Times New Roman" w:eastAsia="바탕"/>
                <w:sz w:val="20"/>
              </w:rPr>
              <w:t>To measure this reproducibly, 28 runs were constructed from four sample prescriptions crossed with seven user conditions, and the output of each run was scored on six items. Scoring is done by matching rules against the strings and speech targets actually present on the screen rather than by human judgement. It is therefore reproducible, and if a scoring rule is wrong the rule can be corrected and the whole thing rerun.</w:t>
            </w:r>
          </w:p>
          <w:p>
            <w:pPr>
              <w:spacing w:after="80" w:line="276" w:lineRule="auto"/>
              <w:jc w:val="both"/>
            </w:pPr>
            <w:r>
              <w:rPr>
                <w:rFonts w:ascii="Times New Roman" w:hAnsi="Times New Roman" w:eastAsia="바탕"/>
                <w:sz w:val="20"/>
              </w:rPr>
              <w:t>The record left by one run looks like this.</w:t>
            </w:r>
          </w:p>
          <w:p>
            <w:pPr>
              <w:spacing w:after="160"/>
            </w:pPr>
            <w:r>
              <w:rPr>
                <w:rFonts w:ascii="Consolas" w:hAnsi="Consolas" w:eastAsia="Consolas"/>
                <w:sz w:val="18"/>
              </w:rPr>
              <w:t>{</w:t>
              <w:br/>
              <w:t xml:space="preserve">  "stimulus": "antibiotic",   "kind": "rx",   "member": "none",</w:t>
              <w:br/>
              <w:t xml:space="preserve">  "glyphs": 9,                "reached": true,</w:t>
              <w:br/>
              <w:t xml:space="preserve">  "scores": {</w:t>
              <w:br/>
              <w:t xml:space="preserve">    "D1 item identified": true,  "D2 dose per intake": true,  "D3 times per day": true,</w:t>
              <w:br/>
              <w:t xml:space="preserve">    "D4 timing and context": true,  "D5 storage": true,  "D6 contraindication": true</w:t>
              <w:br/>
              <w:t xml:space="preserve">  },</w:t>
              <w:br/>
              <w:t xml:space="preserve">  "all6": true</w:t>
              <w:br/>
              <w:t>}</w:t>
            </w:r>
          </w:p>
          <w:p>
            <w:pPr>
              <w:spacing w:after="80" w:line="276" w:lineRule="auto"/>
              <w:jc w:val="both"/>
            </w:pPr>
            <w:r>
              <w:rPr>
                <w:rFonts w:ascii="Times New Roman" w:hAnsi="Times New Roman" w:eastAsia="바탕"/>
                <w:sz w:val="20"/>
              </w:rPr>
              <w:t>Design intent. The scoring result is not reduced to a single true or false but kept per item. Keeping only the figure "27/28" leaves no way of knowing what failed and why, and no way of knowing what to fix next. Which item the single failure reported in §5.1 was (</w:t>
            </w:r>
            <w:r>
              <w:rPr>
                <w:rFonts w:ascii="Consolas" w:hAnsi="Consolas" w:eastAsia="Consolas"/>
                <w:sz w:val="19"/>
              </w:rPr>
              <w:t>D5</w:t>
            </w:r>
            <w:r>
              <w:rPr>
                <w:rFonts w:ascii="Times New Roman" w:hAnsi="Times New Roman" w:eastAsia="바탕"/>
                <w:sz w:val="20"/>
              </w:rPr>
              <w:t>) and under which condition (</w:t>
            </w:r>
            <w:r>
              <w:rPr>
                <w:rFonts w:ascii="Consolas" w:hAnsi="Consolas" w:eastAsia="Consolas"/>
                <w:sz w:val="19"/>
              </w:rPr>
              <w:t>member: none</w:t>
            </w:r>
            <w:r>
              <w:rPr>
                <w:rFonts w:ascii="Times New Roman" w:hAnsi="Times New Roman" w:eastAsia="바탕"/>
                <w:sz w:val="20"/>
              </w:rPr>
              <w:t>) were read directly from this record.</w:t>
            </w:r>
          </w:p>
          <w:p>
            <w:pPr>
              <w:spacing w:after="80" w:line="276" w:lineRule="auto"/>
              <w:jc w:val="both"/>
            </w:pPr>
            <w:r>
              <w:rPr>
                <w:rFonts w:ascii="Times New Roman" w:hAnsi="Times New Roman" w:eastAsia="바탕"/>
                <w:sz w:val="20"/>
              </w:rPr>
              <w:t xml:space="preserve">Counting </w:t>
            </w:r>
            <w:r>
              <w:rPr>
                <w:rFonts w:ascii="Consolas" w:hAnsi="Consolas" w:eastAsia="Consolas"/>
                <w:sz w:val="19"/>
              </w:rPr>
              <w:t>glyphs</w:t>
            </w:r>
            <w:r>
              <w:rPr>
                <w:rFonts w:ascii="Times New Roman" w:hAnsi="Times New Roman" w:eastAsia="바탕"/>
                <w:sz w:val="20"/>
              </w:rPr>
              <w:t xml:space="preserve"> alongside has a reason too. All six items can be true while not a single picture appears. That is the state where delivery happens only through sentences and speech and the pictogram route is dead. Eight of the 28 runs before the fix were exactly that, and had we been watching only the item scores those eight would have passed as "partially successful."</w:t>
            </w:r>
          </w:p>
          <w:p>
            <w:pPr>
              <w:spacing w:after="80" w:line="276" w:lineRule="auto"/>
              <w:jc w:val="both"/>
            </w:pPr>
            <w:r>
              <w:rPr>
                <w:rFonts w:ascii="Times New Roman" w:hAnsi="Times New Roman" w:eastAsia="바탕"/>
                <w:sz w:val="20"/>
              </w:rPr>
              <w:t>[Table 32] Scoring items in the formative evaluation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Item</w:t>
                  </w:r>
                </w:p>
              </w:tc>
              <w:tc>
                <w:tcPr>
                  <w:tcW w:type="dxa" w:w="4857"/>
                  <w:shd w:val="clear" w:fill="F2F2F2"/>
                </w:tcPr>
                <w:p>
                  <w:r>
                    <w:rPr>
                      <w:rFonts w:ascii="Times New Roman" w:hAnsi="Times New Roman" w:eastAsia="바탕"/>
                      <w:b/>
                      <w:sz w:val="18"/>
                    </w:rPr>
                    <w:t>What it confirms</w:t>
                  </w:r>
                </w:p>
              </w:tc>
            </w:tr>
            <w:tr>
              <w:tc>
                <w:tcPr>
                  <w:tcW w:type="dxa" w:w="4857"/>
                </w:tcPr>
                <w:p>
                  <w:r>
                    <w:rPr>
                      <w:rFonts w:ascii="Times New Roman" w:hAnsi="Times New Roman" w:eastAsia="바탕"/>
                      <w:sz w:val="18"/>
                    </w:rPr>
                    <w:t>D1 item identified</w:t>
                  </w:r>
                </w:p>
              </w:tc>
              <w:tc>
                <w:tcPr>
                  <w:tcW w:type="dxa" w:w="4857"/>
                </w:tcPr>
                <w:p>
                  <w:r>
                    <w:rPr>
                      <w:rFonts w:ascii="Times New Roman" w:hAnsi="Times New Roman" w:eastAsia="바탕"/>
                      <w:sz w:val="18"/>
                    </w:rPr>
                    <w:t>Is what was photographed conveyed</w:t>
                  </w:r>
                </w:p>
              </w:tc>
            </w:tr>
            <w:tr>
              <w:tc>
                <w:tcPr>
                  <w:tcW w:type="dxa" w:w="4857"/>
                </w:tcPr>
                <w:p>
                  <w:r>
                    <w:rPr>
                      <w:rFonts w:ascii="Times New Roman" w:hAnsi="Times New Roman" w:eastAsia="바탕"/>
                      <w:sz w:val="18"/>
                    </w:rPr>
                    <w:t>D2 dose per intake</w:t>
                  </w:r>
                </w:p>
              </w:tc>
              <w:tc>
                <w:tcPr>
                  <w:tcW w:type="dxa" w:w="4857"/>
                </w:tcPr>
                <w:p>
                  <w:r>
                    <w:rPr>
                      <w:rFonts w:ascii="Times New Roman" w:hAnsi="Times New Roman" w:eastAsia="바탕"/>
                      <w:sz w:val="18"/>
                    </w:rPr>
                    <w:t>Is the number of tablets or millilitres present somewhere</w:t>
                  </w:r>
                </w:p>
              </w:tc>
            </w:tr>
            <w:tr>
              <w:tc>
                <w:tcPr>
                  <w:tcW w:type="dxa" w:w="4857"/>
                </w:tcPr>
                <w:p>
                  <w:r>
                    <w:rPr>
                      <w:rFonts w:ascii="Times New Roman" w:hAnsi="Times New Roman" w:eastAsia="바탕"/>
                      <w:sz w:val="18"/>
                    </w:rPr>
                    <w:t>D3 times per day</w:t>
                  </w:r>
                </w:p>
              </w:tc>
              <w:tc>
                <w:tcPr>
                  <w:tcW w:type="dxa" w:w="4857"/>
                </w:tcPr>
                <w:p>
                  <w:r>
                    <w:rPr>
                      <w:rFonts w:ascii="Times New Roman" w:hAnsi="Times New Roman" w:eastAsia="바탕"/>
                      <w:sz w:val="18"/>
                    </w:rPr>
                    <w:t>Is how many times a day stated</w:t>
                  </w:r>
                </w:p>
              </w:tc>
            </w:tr>
            <w:tr>
              <w:tc>
                <w:tcPr>
                  <w:tcW w:type="dxa" w:w="4857"/>
                </w:tcPr>
                <w:p>
                  <w:r>
                    <w:rPr>
                      <w:rFonts w:ascii="Times New Roman" w:hAnsi="Times New Roman" w:eastAsia="바탕"/>
                      <w:sz w:val="18"/>
                    </w:rPr>
                    <w:t>D4 timing and context</w:t>
                  </w:r>
                </w:p>
              </w:tc>
              <w:tc>
                <w:tcPr>
                  <w:tcW w:type="dxa" w:w="4857"/>
                </w:tcPr>
                <w:p>
                  <w:r>
                    <w:rPr>
                      <w:rFonts w:ascii="Times New Roman" w:hAnsi="Times New Roman" w:eastAsia="바탕"/>
                      <w:sz w:val="18"/>
                    </w:rPr>
                    <w:t>Does the number of listed times match the frequency, and is the mealtime context conveyed</w:t>
                  </w:r>
                </w:p>
              </w:tc>
            </w:tr>
            <w:tr>
              <w:tc>
                <w:tcPr>
                  <w:tcW w:type="dxa" w:w="4857"/>
                </w:tcPr>
                <w:p>
                  <w:r>
                    <w:rPr>
                      <w:rFonts w:ascii="Times New Roman" w:hAnsi="Times New Roman" w:eastAsia="바탕"/>
                      <w:sz w:val="18"/>
                    </w:rPr>
                    <w:t>D5 storage</w:t>
                  </w:r>
                </w:p>
              </w:tc>
              <w:tc>
                <w:tcPr>
                  <w:tcW w:type="dxa" w:w="4857"/>
                </w:tcPr>
                <w:p>
                  <w:r>
                    <w:rPr>
                      <w:rFonts w:ascii="Times New Roman" w:hAnsi="Times New Roman" w:eastAsia="바탕"/>
                      <w:sz w:val="18"/>
                    </w:rPr>
                    <w:t>When refrigeration is needed, is that conveyed</w:t>
                  </w:r>
                </w:p>
              </w:tc>
            </w:tr>
            <w:tr>
              <w:tc>
                <w:tcPr>
                  <w:tcW w:type="dxa" w:w="4857"/>
                </w:tcPr>
                <w:p>
                  <w:r>
                    <w:rPr>
                      <w:rFonts w:ascii="Times New Roman" w:hAnsi="Times New Roman" w:eastAsia="바탕"/>
                      <w:sz w:val="18"/>
                    </w:rPr>
                    <w:t>D6 contraindication</w:t>
                  </w:r>
                </w:p>
              </w:tc>
              <w:tc>
                <w:tcPr>
                  <w:tcW w:type="dxa" w:w="4857"/>
                </w:tcPr>
                <w:p>
                  <w:r>
                    <w:rPr>
                      <w:rFonts w:ascii="Times New Roman" w:hAnsi="Times New Roman" w:eastAsia="바탕"/>
                      <w:sz w:val="18"/>
                    </w:rPr>
                    <w:t>Does it appear when something must be avoided, and stay absent when it need not</w:t>
                  </w:r>
                </w:p>
              </w:tc>
            </w:tr>
          </w:tbl>
          <w:p/>
          <w:p>
            <w:pPr>
              <w:spacing w:after="120"/>
            </w:pPr>
          </w:p>
          <w:p>
            <w:pPr>
              <w:spacing w:after="80" w:line="276" w:lineRule="auto"/>
              <w:jc w:val="both"/>
            </w:pPr>
            <w:r>
              <w:rPr>
                <w:rFonts w:ascii="Times New Roman" w:hAnsi="Times New Roman" w:eastAsia="바탕"/>
                <w:sz w:val="20"/>
              </w:rPr>
              <w:t xml:space="preserve">In the initial measurement, </w:t>
            </w:r>
            <w:r>
              <w:rPr>
                <w:rFonts w:ascii="Times New Roman" w:hAnsi="Times New Roman" w:eastAsia="바탕"/>
                <w:b/>
                <w:sz w:val="20"/>
              </w:rPr>
              <w:t>0 of 28 runs satisfied all six items</w:t>
            </w:r>
            <w:r>
              <w:rPr>
                <w:rFonts w:ascii="Times New Roman" w:hAnsi="Times New Roman" w:eastAsia="바탕"/>
                <w:sz w:val="20"/>
              </w:rPr>
              <w:t>. The cause was a missing connection rather than a defect in any individual feature. Dose and storage information reached the pictograms from OCR but not the speech and the sentences, pregnancy contraindications were not passed to the verdict engine, and with the pictogram cache empty not a single picture appeared on the verdict screen.</w:t>
            </w:r>
          </w:p>
          <w:p>
            <w:pPr>
              <w:spacing w:after="80" w:line="276" w:lineRule="auto"/>
              <w:jc w:val="both"/>
            </w:pPr>
            <w:r>
              <w:rPr>
                <w:rFonts w:ascii="Times New Roman" w:hAnsi="Times New Roman" w:eastAsia="바탕"/>
                <w:sz w:val="20"/>
              </w:rPr>
              <w:t xml:space="preserve">After fixing this and rerunning the same 28, </w:t>
            </w:r>
            <w:r>
              <w:rPr>
                <w:rFonts w:ascii="Times New Roman" w:hAnsi="Times New Roman" w:eastAsia="바탕"/>
                <w:b/>
                <w:sz w:val="20"/>
              </w:rPr>
              <w:t>27 satisfied all six items.</w:t>
            </w:r>
          </w:p>
          <w:p>
            <w:pPr>
              <w:spacing w:after="80" w:line="276" w:lineRule="auto"/>
              <w:jc w:val="both"/>
            </w:pPr>
            <w:r>
              <w:rPr>
                <w:rFonts w:ascii="Times New Roman" w:hAnsi="Times New Roman" w:eastAsia="바탕"/>
                <w:sz w:val="20"/>
              </w:rPr>
              <w:t>We state what the one that did not was. In the run where a user with no registered conditions photographed a cereal, D5 (alternative suggestion) did not appear. It appeared in all three remaining runs where the same cereal was photographed by users with peanut, gluten and blood thinner conditions.</w:t>
            </w:r>
          </w:p>
          <w:p>
            <w:pPr>
              <w:spacing w:after="80" w:line="276" w:lineRule="auto"/>
              <w:jc w:val="both"/>
            </w:pPr>
            <w:r>
              <w:rPr>
                <w:rFonts w:ascii="Times New Roman" w:hAnsi="Times New Roman" w:eastAsia="바탕"/>
                <w:sz w:val="20"/>
              </w:rPr>
              <w:t>This was not fixed as a defect. The alternative suggestion is derived from the reason for avoidance, as described in §2.7, and for a user with no reason to avoid anything there is nothing to derive from. Telling someone with no conditions to "choose that instead of this" would require inventing the grounds, and that is something this app has decided not to do. This one case is therefore the result of applying the scoring items uniformly across all runs rather than a feature failing to work. Splitting the scoresheet by condition would make it 28/28, but under the principle of not adjusting scoring criteria to fit results it is left as it is.</w:t>
            </w:r>
          </w:p>
          <w:p>
            <w:pPr>
              <w:spacing w:after="80" w:line="276" w:lineRule="auto"/>
              <w:jc w:val="both"/>
            </w:pPr>
            <w:r>
              <w:rPr>
                <w:rFonts w:ascii="Times New Roman" w:hAnsi="Times New Roman" w:eastAsia="바탕"/>
                <w:sz w:val="20"/>
              </w:rPr>
              <w:t>[Table 33] Formative evaluation results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tc>
              <w:tc>
                <w:tcPr>
                  <w:tcW w:type="dxa" w:w="3238"/>
                  <w:shd w:val="clear" w:fill="F2F2F2"/>
                </w:tcPr>
                <w:p>
                  <w:r>
                    <w:rPr>
                      <w:rFonts w:ascii="Times New Roman" w:hAnsi="Times New Roman" w:eastAsia="바탕"/>
                      <w:b/>
                      <w:sz w:val="18"/>
                    </w:rPr>
                    <w:t>Before fix</w:t>
                  </w:r>
                </w:p>
              </w:tc>
              <w:tc>
                <w:tcPr>
                  <w:tcW w:type="dxa" w:w="3238"/>
                  <w:shd w:val="clear" w:fill="F2F2F2"/>
                </w:tcPr>
                <w:p>
                  <w:r>
                    <w:rPr>
                      <w:rFonts w:ascii="Times New Roman" w:hAnsi="Times New Roman" w:eastAsia="바탕"/>
                      <w:b/>
                      <w:sz w:val="18"/>
                    </w:rPr>
                    <w:t>After fix</w:t>
                  </w:r>
                </w:p>
              </w:tc>
            </w:tr>
            <w:tr>
              <w:tc>
                <w:tcPr>
                  <w:tcW w:type="dxa" w:w="3238"/>
                </w:tcPr>
                <w:p>
                  <w:r>
                    <w:rPr>
                      <w:rFonts w:ascii="Times New Roman" w:hAnsi="Times New Roman" w:eastAsia="바탕"/>
                      <w:sz w:val="18"/>
                    </w:rPr>
                    <w:t>All six items satisfied</w:t>
                  </w:r>
                </w:p>
              </w:tc>
              <w:tc>
                <w:tcPr>
                  <w:tcW w:type="dxa" w:w="3238"/>
                </w:tcPr>
                <w:p>
                  <w:r>
                    <w:rPr>
                      <w:rFonts w:ascii="Times New Roman" w:hAnsi="Times New Roman" w:eastAsia="바탕"/>
                      <w:sz w:val="18"/>
                    </w:rPr>
                    <w:t>0 / 28</w:t>
                  </w:r>
                </w:p>
              </w:tc>
              <w:tc>
                <w:tcPr>
                  <w:tcW w:type="dxa" w:w="3238"/>
                </w:tcPr>
                <w:p>
                  <w:r>
                    <w:rPr>
                      <w:rFonts w:ascii="Times New Roman" w:hAnsi="Times New Roman" w:eastAsia="바탕"/>
                      <w:b/>
                      <w:sz w:val="18"/>
                    </w:rPr>
                    <w:t>27 / 28</w:t>
                  </w:r>
                </w:p>
              </w:tc>
            </w:tr>
            <w:tr>
              <w:tc>
                <w:tcPr>
                  <w:tcW w:type="dxa" w:w="3238"/>
                </w:tcPr>
                <w:p>
                  <w:r>
                    <w:rPr>
                      <w:rFonts w:ascii="Times New Roman" w:hAnsi="Times New Roman" w:eastAsia="바탕"/>
                      <w:sz w:val="18"/>
                    </w:rPr>
                    <w:t>Runs ending with zero pictograms</w:t>
                  </w:r>
                </w:p>
              </w:tc>
              <w:tc>
                <w:tcPr>
                  <w:tcW w:type="dxa" w:w="3238"/>
                </w:tcPr>
                <w:p>
                  <w:r>
                    <w:rPr>
                      <w:rFonts w:ascii="Times New Roman" w:hAnsi="Times New Roman" w:eastAsia="바탕"/>
                      <w:sz w:val="18"/>
                    </w:rPr>
                    <w:t>8 / 28</w:t>
                  </w:r>
                </w:p>
              </w:tc>
              <w:tc>
                <w:tcPr>
                  <w:tcW w:type="dxa" w:w="3238"/>
                </w:tcPr>
                <w:p>
                  <w:r>
                    <w:rPr>
                      <w:rFonts w:ascii="Times New Roman" w:hAnsi="Times New Roman" w:eastAsia="바탕"/>
                      <w:sz w:val="18"/>
                    </w:rPr>
                    <w:t>0 / 28</w:t>
                  </w:r>
                </w:p>
              </w:tc>
            </w:tr>
          </w:tbl>
          <w:p/>
          <w:p>
            <w:pPr>
              <w:spacing w:after="120"/>
            </w:pPr>
          </w:p>
          <w:p>
            <w:pPr>
              <w:spacing w:after="80" w:line="276" w:lineRule="auto"/>
              <w:jc w:val="both"/>
            </w:pPr>
            <w:r>
              <w:rPr>
                <w:rFonts w:ascii="Times New Roman" w:hAnsi="Times New Roman" w:eastAsia="바탕"/>
                <w:sz w:val="20"/>
              </w:rPr>
              <w:t>It should be made clear that what this evaluation measured is the arrival of information rather than human understanding. The latter has to be asked of people and lies outside the scope of this evaluation.</w:t>
            </w:r>
          </w:p>
          <w:p>
            <w:pPr>
              <w:spacing w:before="160" w:after="60"/>
              <w:jc w:val="center"/>
            </w:pPr>
            <w:r>
              <w:drawing>
                <wp:inline xmlns:a="http://schemas.openxmlformats.org/drawingml/2006/main" xmlns:pic="http://schemas.openxmlformats.org/drawingml/2006/picture">
                  <wp:extent cx="5486400" cy="2560320"/>
                  <wp:docPr id="37" name="Picture 37"/>
                  <wp:cNvGraphicFramePr>
                    <a:graphicFrameLocks noChangeAspect="1"/>
                  </wp:cNvGraphicFramePr>
                  <a:graphic>
                    <a:graphicData uri="http://schemas.openxmlformats.org/drawingml/2006/picture">
                      <pic:pic>
                        <pic:nvPicPr>
                          <pic:cNvPr id="0" name="chart06_formative.png"/>
                          <pic:cNvPicPr/>
                        </pic:nvPicPr>
                        <pic:blipFill>
                          <a:blip r:embed="rId54"/>
                          <a:stretch>
                            <a:fillRect/>
                          </a:stretch>
                        </pic:blipFill>
                        <pic:spPr>
                          <a:xfrm>
                            <a:off x="0" y="0"/>
                            <a:ext cx="5486400" cy="256032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37]</w:t>
            </w:r>
            <w:r>
              <w:rPr>
                <w:rFonts w:ascii="Times New Roman" w:hAnsi="Times New Roman" w:eastAsia="바탕"/>
                <w:color w:val="606068"/>
                <w:sz w:val="18"/>
              </w:rPr>
              <w:t xml:space="preserve"> Formative evaluation before and after the fix (n = 28). The left pair is the number of runs satisfying all six items, the right pair the number of runs ending without a single pictogram appearing. More than 0 becoming 27, </w:t>
            </w:r>
            <w:r>
              <w:rPr>
                <w:rFonts w:ascii="Times New Roman" w:hAnsi="Times New Roman" w:eastAsia="바탕"/>
                <w:b/>
                <w:color w:val="606068"/>
                <w:sz w:val="18"/>
              </w:rPr>
              <w:t>the move from 8 to 0 on zero pictograms</w:t>
            </w:r>
            <w:r>
              <w:rPr>
                <w:rFonts w:ascii="Times New Roman" w:hAnsi="Times New Roman" w:eastAsia="바탕"/>
                <w:color w:val="606068"/>
                <w:sz w:val="18"/>
              </w:rPr>
              <w:t xml:space="preserve"> is what this evaluation yielded. Those eight arose from an empty cache rather than a missing feature, and without measuring we would have discovered them first during the demonstration.</w:t>
            </w:r>
          </w:p>
          <w:p>
            <w:pPr>
              <w:spacing w:before="180" w:after="40"/>
            </w:pPr>
            <w:r>
              <w:rPr>
                <w:rFonts w:ascii="Times New Roman" w:hAnsi="Times New Roman" w:eastAsia="바탕"/>
                <w:b/>
                <w:sz w:val="23"/>
              </w:rPr>
              <w:t>5.2 A procedure for verifying pictogram comprehension</w:t>
            </w:r>
          </w:p>
          <w:p>
            <w:pPr>
              <w:spacing w:after="80" w:line="276" w:lineRule="auto"/>
              <w:jc w:val="both"/>
            </w:pPr>
            <w:r>
              <w:rPr>
                <w:rFonts w:ascii="Times New Roman" w:hAnsi="Times New Roman" w:eastAsia="바탕"/>
                <w:sz w:val="20"/>
              </w:rPr>
              <w:t xml:space="preserve">As established in §1.8, making a pictogram does not mean it will be read. When 108 international standard pictograms were tested on 52 Filipino adults, only 17 passed the ANSI 85% criterion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15:30, 2022).</w:t>
            </w:r>
          </w:p>
          <w:p>
            <w:pPr>
              <w:spacing w:after="80" w:line="276" w:lineRule="auto"/>
              <w:jc w:val="both"/>
            </w:pPr>
            <w:r>
              <w:rPr>
                <w:rFonts w:ascii="Times New Roman" w:hAnsi="Times New Roman" w:eastAsia="바탕"/>
                <w:sz w:val="20"/>
              </w:rPr>
              <w:t>Comprehension testing requires assembling people, however, so it is expensive and hard to repeat. As a result most pictogram sets are evaluated after they are built, and by the time a problem is found they have already been released.</w:t>
            </w:r>
          </w:p>
          <w:p>
            <w:pPr>
              <w:spacing w:after="80" w:line="276" w:lineRule="auto"/>
              <w:jc w:val="both"/>
            </w:pPr>
            <w:r>
              <w:rPr>
                <w:rFonts w:ascii="Times New Roman" w:hAnsi="Times New Roman" w:eastAsia="바탕"/>
                <w:sz w:val="20"/>
              </w:rPr>
              <w:t>This work designed a procedure that inverts that order. Two gates are placed on each pictogram.</w:t>
            </w:r>
          </w:p>
          <w:p>
            <w:pPr>
              <w:spacing w:after="80" w:line="276" w:lineRule="auto"/>
              <w:jc w:val="both"/>
            </w:pPr>
            <w:r>
              <w:rPr>
                <w:rFonts w:ascii="Times New Roman" w:hAnsi="Times New Roman" w:eastAsia="바탕"/>
                <w:sz w:val="20"/>
              </w:rPr>
              <w:t>[Table 34] The two gates of pictogram verification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Gate</w:t>
                  </w:r>
                </w:p>
              </w:tc>
              <w:tc>
                <w:tcPr>
                  <w:tcW w:type="dxa" w:w="3238"/>
                  <w:shd w:val="clear" w:fill="F2F2F2"/>
                </w:tcPr>
                <w:p>
                  <w:r>
                    <w:rPr>
                      <w:rFonts w:ascii="Times New Roman" w:hAnsi="Times New Roman" w:eastAsia="바탕"/>
                      <w:b/>
                      <w:sz w:val="18"/>
                    </w:rPr>
                    <w:t>What it judges</w:t>
                  </w:r>
                </w:p>
              </w:tc>
              <w:tc>
                <w:tcPr>
                  <w:tcW w:type="dxa" w:w="3238"/>
                  <w:shd w:val="clear" w:fill="F2F2F2"/>
                </w:tcPr>
                <w:p>
                  <w:r>
                    <w:rPr>
                      <w:rFonts w:ascii="Times New Roman" w:hAnsi="Times New Roman" w:eastAsia="바탕"/>
                      <w:b/>
                      <w:sz w:val="18"/>
                    </w:rPr>
                    <w:t>Method</w:t>
                  </w:r>
                </w:p>
              </w:tc>
            </w:tr>
            <w:tr>
              <w:tc>
                <w:tcPr>
                  <w:tcW w:type="dxa" w:w="3238"/>
                </w:tcPr>
                <w:p>
                  <w:r>
                    <w:rPr>
                      <w:rFonts w:ascii="Times New Roman" w:hAnsi="Times New Roman" w:eastAsia="바탕"/>
                      <w:sz w:val="18"/>
                    </w:rPr>
                    <w:t>1. Mechanical check</w:t>
                  </w:r>
                </w:p>
              </w:tc>
              <w:tc>
                <w:tcPr>
                  <w:tcW w:type="dxa" w:w="3238"/>
                </w:tcPr>
                <w:p>
                  <w:r>
                    <w:rPr>
                      <w:rFonts w:ascii="Times New Roman" w:hAnsi="Times New Roman" w:eastAsia="바탕"/>
                      <w:sz w:val="18"/>
                    </w:rPr>
                    <w:t>Does the form survive being shrunk</w:t>
                  </w:r>
                </w:p>
              </w:tc>
              <w:tc>
                <w:tcPr>
                  <w:tcW w:type="dxa" w:w="3238"/>
                </w:tcPr>
                <w:p>
                  <w:r>
                    <w:rPr>
                      <w:rFonts w:ascii="Times New Roman" w:hAnsi="Times New Roman" w:eastAsia="바탕"/>
                      <w:sz w:val="18"/>
                    </w:rPr>
                    <w:t>Ink ratio, survival of interior holes at 32px, number of separate blobs</w:t>
                  </w:r>
                </w:p>
              </w:tc>
            </w:tr>
            <w:tr>
              <w:tc>
                <w:tcPr>
                  <w:tcW w:type="dxa" w:w="3238"/>
                </w:tcPr>
                <w:p>
                  <w:r>
                    <w:rPr>
                      <w:rFonts w:ascii="Times New Roman" w:hAnsi="Times New Roman" w:eastAsia="바탕"/>
                      <w:sz w:val="18"/>
                    </w:rPr>
                    <w:t>2. Semantic check</w:t>
                  </w:r>
                </w:p>
              </w:tc>
              <w:tc>
                <w:tcPr>
                  <w:tcW w:type="dxa" w:w="3238"/>
                </w:tcPr>
                <w:p>
                  <w:r>
                    <w:rPr>
                      <w:rFonts w:ascii="Times New Roman" w:hAnsi="Times New Roman" w:eastAsia="바탕"/>
                      <w:sz w:val="18"/>
                    </w:rPr>
                    <w:t>Is it read as intended</w:t>
                  </w:r>
                </w:p>
              </w:tc>
              <w:tc>
                <w:tcPr>
                  <w:tcW w:type="dxa" w:w="3238"/>
                </w:tcPr>
                <w:p>
                  <w:r>
                    <w:rPr>
                      <w:rFonts w:ascii="Times New Roman" w:hAnsi="Times New Roman" w:eastAsia="바탕"/>
                      <w:sz w:val="18"/>
                    </w:rPr>
                    <w:t xml:space="preserve">The picture is shown and </w:t>
                  </w:r>
                  <w:r>
                    <w:rPr>
                      <w:rFonts w:ascii="Times New Roman" w:hAnsi="Times New Roman" w:eastAsia="바탕"/>
                      <w:b/>
                      <w:sz w:val="18"/>
                    </w:rPr>
                    <w:t>"what does this look like"</w:t>
                  </w:r>
                  <w:r>
                    <w:rPr>
                      <w:rFonts w:ascii="Times New Roman" w:hAnsi="Times New Roman" w:eastAsia="바탕"/>
                      <w:sz w:val="18"/>
                    </w:rPr>
                    <w:t xml:space="preserve"> asked as an open question</w:t>
                  </w:r>
                </w:p>
              </w:tc>
            </w:tr>
          </w:tbl>
          <w:p/>
          <w:p>
            <w:pPr>
              <w:spacing w:after="120"/>
            </w:pPr>
          </w:p>
          <w:p>
            <w:pPr>
              <w:spacing w:before="160" w:after="60"/>
              <w:jc w:val="center"/>
            </w:pPr>
            <w:r>
              <w:drawing>
                <wp:inline xmlns:a="http://schemas.openxmlformats.org/drawingml/2006/main" xmlns:pic="http://schemas.openxmlformats.org/drawingml/2006/picture">
                  <wp:extent cx="5486400" cy="2377440"/>
                  <wp:docPr id="38" name="Picture 38"/>
                  <wp:cNvGraphicFramePr>
                    <a:graphicFrameLocks noChangeAspect="1"/>
                  </wp:cNvGraphicFramePr>
                  <a:graphic>
                    <a:graphicData uri="http://schemas.openxmlformats.org/drawingml/2006/picture">
                      <pic:pic>
                        <pic:nvPicPr>
                          <pic:cNvPr id="0" name="fig18_pictogram_gate.png"/>
                          <pic:cNvPicPr/>
                        </pic:nvPicPr>
                        <pic:blipFill>
                          <a:blip r:embed="rId55"/>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38]</w:t>
            </w:r>
            <w:r>
              <w:rPr>
                <w:rFonts w:ascii="Times New Roman" w:hAnsi="Times New Roman" w:eastAsia="바탕"/>
                <w:color w:val="606068"/>
                <w:sz w:val="18"/>
              </w:rPr>
              <w:t xml:space="preserve"> The two gates a morpheme passes on its way to release, and the ladder it climbs when it fails. The ladder is keyed to the reason for failure rather than to the number of attempts.</w:t>
            </w:r>
          </w:p>
          <w:p>
            <w:pPr>
              <w:spacing w:after="80" w:line="276" w:lineRule="auto"/>
              <w:jc w:val="both"/>
            </w:pPr>
            <w:r>
              <w:rPr>
                <w:rFonts w:ascii="Times New Roman" w:hAnsi="Times New Roman" w:eastAsia="바탕"/>
                <w:sz w:val="20"/>
              </w:rPr>
              <w:t>The form of the question at the second gate matters. Asking "is this a peanut" mostly gets a yes. No options are therefore given and a description is requested, and whether the answer matches the intent is judged separately. This is the same reason the ISO 9186 comprehension test presents no options.</w:t>
            </w:r>
          </w:p>
          <w:p>
            <w:pPr>
              <w:spacing w:after="80" w:line="276" w:lineRule="auto"/>
              <w:jc w:val="both"/>
            </w:pPr>
            <w:r>
              <w:rPr>
                <w:rFonts w:ascii="Times New Roman" w:hAnsi="Times New Roman" w:eastAsia="바탕"/>
                <w:sz w:val="20"/>
              </w:rPr>
              <w:t>Whether this procedure is justified we asked directly in §5.7. Both respondents in the HCI and design segment answered "justified with conditions attached", and each wrote a different condition.</w:t>
            </w:r>
          </w:p>
          <w:p>
            <w:pPr>
              <w:spacing w:after="40" w:line="276" w:lineRule="auto"/>
              <w:ind w:left="403"/>
            </w:pPr>
            <w:r>
              <w:rPr>
                <w:rFonts w:ascii="Times New Roman" w:hAnsi="Times New Roman" w:eastAsia="바탕"/>
                <w:i/>
                <w:color w:val="606068"/>
                <w:sz w:val="19"/>
              </w:rPr>
              <w:t>"For pre-screening rather than as a final conclusion, I think it can be used freely. Since it will ultimately be used with people, all that is needed is the resolve to discard the pre-screening result if testing with actual people shows it does not apply."</w:t>
            </w:r>
          </w:p>
          <w:p>
            <w:pPr>
              <w:spacing w:after="180" w:line="276" w:lineRule="auto"/>
              <w:ind w:left="403"/>
            </w:pPr>
            <w:r>
              <w:rPr>
                <w:rFonts w:ascii="Times New Roman" w:hAnsi="Times New Roman" w:eastAsia="바탕"/>
                <w:i w:val="0"/>
                <w:color w:val="606068"/>
                <w:sz w:val="19"/>
              </w:rPr>
              <w:t>(Yonghan Lee, Senior Manager, Korea Craft and Design Foundation)</w:t>
            </w:r>
          </w:p>
          <w:p>
            <w:pPr>
              <w:spacing w:after="40" w:line="276" w:lineRule="auto"/>
              <w:ind w:left="403"/>
            </w:pPr>
            <w:r>
              <w:rPr>
                <w:rFonts w:ascii="Times New Roman" w:hAnsi="Times New Roman" w:eastAsia="바탕"/>
                <w:i/>
                <w:color w:val="606068"/>
                <w:sz w:val="19"/>
              </w:rPr>
              <w:t>"If, in the process of screening information with a vision-language model, the researcher sets and understands the screening criteria clearly and those criteria can be shown valid on theoretical grounds, procedural justification can be secured."</w:t>
            </w:r>
          </w:p>
          <w:p>
            <w:pPr>
              <w:spacing w:after="180" w:line="276" w:lineRule="auto"/>
              <w:ind w:left="403"/>
            </w:pPr>
            <w:r>
              <w:rPr>
                <w:rFonts w:ascii="Times New Roman" w:hAnsi="Times New Roman" w:eastAsia="바탕"/>
                <w:i w:val="0"/>
                <w:color w:val="606068"/>
                <w:sz w:val="19"/>
              </w:rPr>
              <w:t>(Myojung Choi, researcher, Korea Disabled People's Development Institute)</w:t>
            </w:r>
          </w:p>
          <w:p>
            <w:pPr>
              <w:spacing w:after="80" w:line="276" w:lineRule="auto"/>
              <w:jc w:val="both"/>
            </w:pPr>
            <w:r>
              <w:rPr>
                <w:rFonts w:ascii="Times New Roman" w:hAnsi="Times New Roman" w:eastAsia="바탕"/>
                <w:sz w:val="20"/>
              </w:rPr>
              <w:t>The two conditions differ. The first asks whether the result can be thrown away; the second asks whether the criteria stand in advance. The second is answered to a degree by this section writing the criteria of both gates down beforehand, but the first cannot be answered because it has not been tested. If the field evaluation of §5.10 produces morphemes where the machine verdict and people's answers diverge, that is when this condition is tested. Being able to discard the machine's side at that point is what makes the procedure justified.</w:t>
            </w:r>
          </w:p>
          <w:p>
            <w:pPr>
              <w:spacing w:after="80" w:line="276" w:lineRule="auto"/>
              <w:jc w:val="both"/>
            </w:pPr>
            <w:r>
              <w:rPr>
                <w:rFonts w:ascii="Times New Roman" w:hAnsi="Times New Roman" w:eastAsia="바탕"/>
                <w:sz w:val="20"/>
              </w:rPr>
              <w:t>The 512px original and the 32px reduction are also shown together, with the answer given against the reduction, because the reduction is the size actually seen in a list.</w:t>
            </w:r>
          </w:p>
          <w:p>
            <w:pPr>
              <w:spacing w:before="120" w:after="20"/>
            </w:pPr>
            <w:r>
              <w:rPr>
                <w:rFonts w:ascii="Times New Roman" w:hAnsi="Times New Roman" w:eastAsia="바탕"/>
                <w:b/>
                <w:sz w:val="21"/>
              </w:rPr>
              <w:t>5.2.1 The retry strategy</w:t>
            </w:r>
          </w:p>
          <w:p>
            <w:pPr>
              <w:spacing w:after="80" w:line="276" w:lineRule="auto"/>
              <w:jc w:val="both"/>
            </w:pPr>
            <w:r>
              <w:rPr>
                <w:rFonts w:ascii="Times New Roman" w:hAnsi="Times New Roman" w:eastAsia="바탕"/>
                <w:sz w:val="20"/>
              </w:rPr>
              <w:t>Placing gates is only half of it. Pictures that fail have to be remade, and the retries have to converge.</w:t>
            </w:r>
          </w:p>
          <w:p>
            <w:pPr>
              <w:spacing w:after="80" w:line="276" w:lineRule="auto"/>
              <w:jc w:val="both"/>
            </w:pPr>
            <w:r>
              <w:rPr>
                <w:rFonts w:ascii="Times New Roman" w:hAnsi="Times New Roman" w:eastAsia="바탕"/>
                <w:sz w:val="20"/>
              </w:rPr>
              <w:t xml:space="preserve">At first a fixed ladder of instructions was climbed according to the attempt count: fail the first attempt and instruction 1 is added, fail the second and instruction 2 is added. The second rung of that ladder was "draw the form heavier," and giving that instruction to a picture that failed for being too clotted pushes it further in the direction that failed. That is why the ink ratio of </w:t>
            </w:r>
            <w:r>
              <w:rPr>
                <w:rFonts w:ascii="Consolas" w:hAnsi="Consolas" w:eastAsia="Consolas"/>
                <w:sz w:val="19"/>
              </w:rPr>
              <w:t>food_bread</w:t>
            </w:r>
            <w:r>
              <w:rPr>
                <w:rFonts w:ascii="Times New Roman" w:hAnsi="Times New Roman" w:eastAsia="바탕"/>
                <w:sz w:val="20"/>
              </w:rPr>
              <w:t xml:space="preserve"> spun through 0.52, 0.47 and 0.51 across three attempts. The retries oscillated instead of converging.</w:t>
            </w:r>
          </w:p>
          <w:p>
            <w:pPr>
              <w:spacing w:after="80" w:line="276" w:lineRule="auto"/>
              <w:jc w:val="both"/>
            </w:pPr>
            <w:r>
              <w:rPr>
                <w:rFonts w:ascii="Times New Roman" w:hAnsi="Times New Roman" w:eastAsia="바탕"/>
                <w:sz w:val="20"/>
              </w:rPr>
              <w:t xml:space="preserve">The checker already knows why something failed. Counting attempts without using that reason is the same as rolling the same die again, and each roll costs money. Instructions were therefore hooked to the reason. What follows is </w:t>
            </w:r>
            <w:r>
              <w:rPr>
                <w:rFonts w:ascii="Consolas" w:hAnsi="Consolas" w:eastAsia="Consolas"/>
                <w:sz w:val="19"/>
              </w:rPr>
              <w:t>engine/gen_glyphs.py</w:t>
            </w:r>
            <w:r>
              <w:rPr>
                <w:rFonts w:ascii="Times New Roman" w:hAnsi="Times New Roman" w:eastAsia="바탕"/>
                <w:sz w:val="20"/>
              </w:rPr>
              <w:t xml:space="preserve"> as it stands, with only the comments and the two guard lines above removed. The conditions match on Korean words because the checker writes its reasons in Korean: 뭉쳤다 is clotted, 가늘다 too thin, 개수 wrong count, 뜻이 안 맞는다 misread, 구멍/뭉갠다 holes closing up when shrunk.</w:t>
            </w:r>
          </w:p>
          <w:p>
            <w:pPr>
              <w:spacing w:after="160"/>
            </w:pPr>
            <w:r>
              <w:rPr>
                <w:rFonts w:ascii="Consolas" w:hAnsi="Consolas" w:eastAsia="Consolas"/>
                <w:sz w:val="18"/>
              </w:rPr>
              <w:t>def escalate(c: 'Check | None') -&gt; str:</w:t>
              <w:br/>
              <w:t xml:space="preserve">    r = ' · '.join(c.reasons)</w:t>
              <w:br/>
              <w:t xml:space="preserve">    if '뭉쳤다' in r:</w:t>
              <w:br/>
              <w:t xml:space="preserve">        return (' The shape came out far too heavy. Draw it noticeably smaller inside the frame with '</w:t>
              <w:br/>
              <w:t xml:space="preserve">                'wide empty white space around it, and punch two or three much larger white holes '</w:t>
              <w:br/>
              <w:t xml:space="preserve">                'through it. Keep it a solid filled black silhouette — do not turn it into a hollow '</w:t>
              <w:br/>
              <w:t xml:space="preserve">                'outline drawing with an empty white interior.')</w:t>
              <w:br/>
              <w:t xml:space="preserve">    if '가늘다' in r:</w:t>
              <w:br/>
              <w:t xml:space="preserve">        return (' The shape came out too thin and sparse. Make every black part much thicker and '</w:t>
              <w:br/>
              <w:t xml:space="preserve">                'heavier, and let it fill more of the frame. Fewer, larger, bolder masses.')</w:t>
              <w:br/>
              <w:t xml:space="preserve">    if '개수' in r:</w:t>
              <w:br/>
              <w:t xml:space="preserve">        return (' The number of separate shapes was wrong. Draw exactly the number stated, each one '</w:t>
              <w:br/>
              <w:t xml:space="preserve">                'fully detached from the others with wide white space between them.')</w:t>
              <w:br/>
              <w:t xml:space="preserve">    if '뜻이 안 맞는다' in r:</w:t>
              <w:br/>
              <w:t xml:space="preserve">        return (f' The previous attempt was misread: it {r.split("—")[-1].strip()}. '</w:t>
              <w:br/>
              <w:t xml:space="preserve">                'Redraw it so the object is unmistakable at a glance: change the shape and the '</w:t>
              <w:br/>
              <w:t xml:space="preserve">                'outline, not the weight. Exaggerate the one feature that makes this object '</w:t>
              <w:br/>
              <w:t xml:space="preserve">                'different from anything else.')</w:t>
              <w:br/>
              <w:t xml:space="preserve">    if '구멍' in r or '뭉갠다' in r:</w:t>
              <w:br/>
              <w:t xml:space="preserve">        return (' The white holes closed up when the image was shrunk. Use far fewer holes and make '</w:t>
              <w:br/>
              <w:t xml:space="preserve">                'each one much larger — at most three, each at least one sixth of the image wide.')</w:t>
              <w:br/>
              <w:t xml:space="preserve">    return ' Remove every small detail. Keep only the two or three biggest shapes.'</w:t>
            </w:r>
          </w:p>
          <w:p>
            <w:pPr>
              <w:spacing w:after="80" w:line="276" w:lineRule="auto"/>
              <w:jc w:val="both"/>
            </w:pPr>
            <w:r>
              <w:rPr>
                <w:rFonts w:ascii="Times New Roman" w:hAnsi="Times New Roman" w:eastAsia="바탕"/>
                <w:sz w:val="20"/>
              </w:rPr>
              <w:t>Design intent. The six branches push in six different directions. The last catches any reason the preceding five did not match. The last one matters especially. A meaning that came out wrong is a problem of form rather than of weight, so telling the model to adjust thickness makes it draw the wrong picture more sharply wrong. After this branch was added, all four symbols that had previously failed passed on the second attempt.</w:t>
            </w:r>
          </w:p>
          <w:p>
            <w:pPr>
              <w:spacing w:after="80" w:line="276" w:lineRule="auto"/>
              <w:jc w:val="both"/>
            </w:pPr>
            <w:r>
              <w:rPr>
                <w:rFonts w:ascii="Times New Roman" w:hAnsi="Times New Roman" w:eastAsia="바탕"/>
                <w:sz w:val="20"/>
              </w:rPr>
              <w:t xml:space="preserve">The last sentence of the first branch was paid for as well. It originally said only "hollow it out," and what came back was an outline drawing rather than a filled silhouette. The weight dropped, but the rest of the set is all filled silhouettes so the visual language became mixed, and above all </w:t>
            </w:r>
            <w:r>
              <w:rPr>
                <w:rFonts w:ascii="Consolas" w:hAnsi="Consolas" w:eastAsia="Consolas"/>
                <w:sz w:val="19"/>
              </w:rPr>
              <w:t>qty_one</w:t>
            </w:r>
            <w:r>
              <w:rPr>
                <w:rFonts w:ascii="Times New Roman" w:hAnsi="Times New Roman" w:eastAsia="바탕"/>
                <w:sz w:val="20"/>
              </w:rPr>
              <w:t xml:space="preserve"> became a ring rather than a filled dot and read as "0" rather than "1." The method of reduction was therefore restricted to "smaller, with holes punched through" and "do not turn it into a hollow outline" was stated explicitly.</w:t>
            </w:r>
          </w:p>
          <w:p>
            <w:pPr>
              <w:spacing w:after="80" w:line="276" w:lineRule="auto"/>
              <w:jc w:val="both"/>
            </w:pPr>
            <w:r>
              <w:rPr>
                <w:rFonts w:ascii="Times New Roman" w:hAnsi="Times New Roman" w:eastAsia="바탕"/>
                <w:sz w:val="20"/>
              </w:rPr>
              <w:t xml:space="preserve">The same defect appeared once more later. </w:t>
            </w:r>
            <w:r>
              <w:rPr>
                <w:rFonts w:ascii="Consolas" w:hAnsi="Consolas" w:eastAsia="Consolas"/>
                <w:sz w:val="19"/>
              </w:rPr>
              <w:t>qty_four</w:t>
            </w:r>
            <w:r>
              <w:rPr>
                <w:rFonts w:ascii="Times New Roman" w:hAnsi="Times New Roman" w:eastAsia="바탕"/>
                <w:sz w:val="20"/>
              </w:rPr>
              <w:t xml:space="preserve"> had remained as four rings rather than four filled dots, and in a counting picture an empty ring reads as zero, while one, two, three and five in the same set are all filled dots, so it alone followed a different rule within the set. Why the checker passed it is clear: four rings is still correctly "four." This means something can pass both the counting check and the meaning check and still be wrong, and this is the point taken up again as a limitation of the procedure in §5.4.</w:t>
            </w:r>
          </w:p>
          <w:p>
            <w:pPr>
              <w:spacing w:before="120" w:after="20"/>
            </w:pPr>
            <w:r>
              <w:rPr>
                <w:rFonts w:ascii="Times New Roman" w:hAnsi="Times New Roman" w:eastAsia="바탕"/>
                <w:b/>
                <w:sz w:val="21"/>
              </w:rPr>
              <w:t>5.2.2 Results across all 78 morphemes</w:t>
            </w:r>
          </w:p>
          <w:p>
            <w:pPr>
              <w:spacing w:after="80" w:line="276" w:lineRule="auto"/>
              <w:jc w:val="both"/>
            </w:pPr>
            <w:r>
              <w:rPr>
                <w:rFonts w:ascii="Times New Roman" w:hAnsi="Times New Roman" w:eastAsia="바탕"/>
                <w:sz w:val="20"/>
              </w:rPr>
              <w:t>Applying this procedure to all 78 morphemes gave the following.</w:t>
            </w:r>
          </w:p>
          <w:p>
            <w:pPr>
              <w:spacing w:after="80" w:line="276" w:lineRule="auto"/>
              <w:jc w:val="both"/>
            </w:pPr>
            <w:r>
              <w:rPr>
                <w:rFonts w:ascii="Times New Roman" w:hAnsi="Times New Roman" w:eastAsia="바탕"/>
                <w:sz w:val="20"/>
              </w:rPr>
              <w:t>[Table 35] Semantic check results for the 78 morphemes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Category</w:t>
                  </w:r>
                </w:p>
              </w:tc>
              <w:tc>
                <w:tcPr>
                  <w:tcW w:type="dxa" w:w="4857"/>
                  <w:shd w:val="clear" w:fill="F2F2F2"/>
                </w:tcPr>
                <w:p>
                  <w:r>
                    <w:rPr>
                      <w:rFonts w:ascii="Times New Roman" w:hAnsi="Times New Roman" w:eastAsia="바탕"/>
                      <w:b/>
                      <w:sz w:val="18"/>
                    </w:rPr>
                    <w:t>Count</w:t>
                  </w:r>
                </w:p>
              </w:tc>
            </w:tr>
            <w:tr>
              <w:tc>
                <w:tcPr>
                  <w:tcW w:type="dxa" w:w="4857"/>
                </w:tcPr>
                <w:p>
                  <w:r>
                    <w:rPr>
                      <w:rFonts w:ascii="Times New Roman" w:hAnsi="Times New Roman" w:eastAsia="바탕"/>
                      <w:sz w:val="18"/>
                    </w:rPr>
                    <w:t>Read as intended</w:t>
                  </w:r>
                </w:p>
              </w:tc>
              <w:tc>
                <w:tcPr>
                  <w:tcW w:type="dxa" w:w="4857"/>
                </w:tcPr>
                <w:p>
                  <w:r>
                    <w:rPr>
                      <w:rFonts w:ascii="Times New Roman" w:hAnsi="Times New Roman" w:eastAsia="바탕"/>
                      <w:sz w:val="18"/>
                    </w:rPr>
                    <w:t>54</w:t>
                  </w:r>
                </w:p>
              </w:tc>
            </w:tr>
            <w:tr>
              <w:tc>
                <w:tcPr>
                  <w:tcW w:type="dxa" w:w="4857"/>
                </w:tcPr>
                <w:p>
                  <w:r>
                    <w:rPr>
                      <w:rFonts w:ascii="Times New Roman" w:hAnsi="Times New Roman" w:eastAsia="바탕"/>
                      <w:sz w:val="18"/>
                    </w:rPr>
                    <w:t>Read differently</w:t>
                  </w:r>
                </w:p>
              </w:tc>
              <w:tc>
                <w:tcPr>
                  <w:tcW w:type="dxa" w:w="4857"/>
                </w:tcPr>
                <w:p>
                  <w:r>
                    <w:rPr>
                      <w:rFonts w:ascii="Times New Roman" w:hAnsi="Times New Roman" w:eastAsia="바탕"/>
                      <w:b/>
                      <w:sz w:val="18"/>
                    </w:rPr>
                    <w:t>24</w:t>
                  </w:r>
                </w:p>
              </w:tc>
            </w:tr>
          </w:tbl>
          <w:p/>
          <w:p>
            <w:pPr>
              <w:spacing w:after="120"/>
            </w:pPr>
          </w:p>
          <w:p>
            <w:pPr>
              <w:spacing w:after="80" w:line="276" w:lineRule="auto"/>
              <w:jc w:val="both"/>
            </w:pPr>
            <w:r>
              <w:rPr>
                <w:rFonts w:ascii="Times New Roman" w:hAnsi="Times New Roman" w:eastAsia="바탕"/>
                <w:sz w:val="20"/>
              </w:rPr>
              <w:t>Of the 24 read differently, 7 are actually exposed on screen, while the remaining 17 exist only in the dictionary and are never called by the app. The 7 that are exposed were reworked with the misreading fed back into the prompt, with the improvements shown below.</w:t>
            </w:r>
          </w:p>
          <w:p>
            <w:pPr>
              <w:spacing w:before="160" w:after="60"/>
              <w:jc w:val="center"/>
            </w:pPr>
            <w:r>
              <w:drawing>
                <wp:inline xmlns:a="http://schemas.openxmlformats.org/drawingml/2006/main" xmlns:pic="http://schemas.openxmlformats.org/drawingml/2006/picture">
                  <wp:extent cx="5486400" cy="2011680"/>
                  <wp:docPr id="39" name="Picture 39"/>
                  <wp:cNvGraphicFramePr>
                    <a:graphicFrameLocks noChangeAspect="1"/>
                  </wp:cNvGraphicFramePr>
                  <a:graphic>
                    <a:graphicData uri="http://schemas.openxmlformats.org/drawingml/2006/picture">
                      <pic:pic>
                        <pic:nvPicPr>
                          <pic:cNvPr id="0" name="chart07_glyph_check.png"/>
                          <pic:cNvPicPr/>
                        </pic:nvPicPr>
                        <pic:blipFill>
                          <a:blip r:embed="rId56"/>
                          <a:stretch>
                            <a:fillRect/>
                          </a:stretch>
                        </pic:blipFill>
                        <pic:spPr>
                          <a:xfrm>
                            <a:off x="0" y="0"/>
                            <a:ext cx="5486400" cy="20116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39]</w:t>
            </w:r>
            <w:r>
              <w:rPr>
                <w:rFonts w:ascii="Times New Roman" w:hAnsi="Times New Roman" w:eastAsia="바탕"/>
                <w:color w:val="606068"/>
                <w:sz w:val="18"/>
              </w:rPr>
              <w:t xml:space="preserve"> First-pass semantic check results for the 78 morphemes and the breakdown of the 24 misread. The misreadings are split rather than pooled because the two are different in nature. The 7 exposed on screen are actually seen by users and have to be fixed, while the 17 that exist only in the dictionary are not yet seen by anyone. Fixing the former first is a matter of allocating effort and does not mean the latter are acceptable.</w:t>
            </w:r>
          </w:p>
          <w:p>
            <w:pPr>
              <w:spacing w:after="80" w:line="276" w:lineRule="auto"/>
              <w:jc w:val="both"/>
            </w:pPr>
            <w:r>
              <w:rPr>
                <w:rFonts w:ascii="Times New Roman" w:hAnsi="Times New Roman" w:eastAsia="바탕"/>
                <w:sz w:val="20"/>
              </w:rPr>
              <w:t>[Table 36] Morphemes improved by rework</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Morpheme</w:t>
                  </w:r>
                </w:p>
              </w:tc>
              <w:tc>
                <w:tcPr>
                  <w:tcW w:type="dxa" w:w="3238"/>
                  <w:shd w:val="clear" w:fill="F2F2F2"/>
                </w:tcPr>
                <w:p>
                  <w:r>
                    <w:rPr>
                      <w:rFonts w:ascii="Times New Roman" w:hAnsi="Times New Roman" w:eastAsia="바탕"/>
                      <w:b/>
                      <w:sz w:val="18"/>
                    </w:rPr>
                    <w:t>Previously read as</w:t>
                  </w:r>
                </w:p>
              </w:tc>
              <w:tc>
                <w:tcPr>
                  <w:tcW w:type="dxa" w:w="3238"/>
                  <w:shd w:val="clear" w:fill="F2F2F2"/>
                </w:tcPr>
                <w:p>
                  <w:r>
                    <w:rPr>
                      <w:rFonts w:ascii="Times New Roman" w:hAnsi="Times New Roman" w:eastAsia="바탕"/>
                      <w:b/>
                      <w:sz w:val="18"/>
                    </w:rPr>
                    <w:t>After</w:t>
                  </w:r>
                </w:p>
              </w:tc>
            </w:tr>
            <w:tr>
              <w:tc>
                <w:tcPr>
                  <w:tcW w:type="dxa" w:w="3238"/>
                </w:tcPr>
                <w:p>
                  <w:r>
                    <w:rPr>
                      <w:rFonts w:ascii="Consolas" w:hAnsi="Consolas" w:eastAsia="Consolas"/>
                      <w:sz w:val="17"/>
                    </w:rPr>
                    <w:t>allergen_tree_nut</w:t>
                  </w:r>
                </w:p>
              </w:tc>
              <w:tc>
                <w:tcPr>
                  <w:tcW w:type="dxa" w:w="3238"/>
                </w:tcPr>
                <w:p>
                  <w:r>
                    <w:rPr>
                      <w:rFonts w:ascii="Times New Roman" w:hAnsi="Times New Roman" w:eastAsia="바탕"/>
                      <w:sz w:val="18"/>
                    </w:rPr>
                    <w:t>cracked egg</w:t>
                  </w:r>
                </w:p>
              </w:tc>
              <w:tc>
                <w:tcPr>
                  <w:tcW w:type="dxa" w:w="3238"/>
                </w:tcPr>
                <w:p>
                  <w:r>
                    <w:rPr>
                      <w:rFonts w:ascii="Times New Roman" w:hAnsi="Times New Roman" w:eastAsia="바탕"/>
                      <w:sz w:val="18"/>
                    </w:rPr>
                    <w:t>walnut</w:t>
                  </w:r>
                </w:p>
              </w:tc>
            </w:tr>
            <w:tr>
              <w:tc>
                <w:tcPr>
                  <w:tcW w:type="dxa" w:w="3238"/>
                </w:tcPr>
                <w:p>
                  <w:r>
                    <w:rPr>
                      <w:rFonts w:ascii="Consolas" w:hAnsi="Consolas" w:eastAsia="Consolas"/>
                      <w:sz w:val="17"/>
                    </w:rPr>
                    <w:t>inhaler</w:t>
                  </w:r>
                </w:p>
              </w:tc>
              <w:tc>
                <w:tcPr>
                  <w:tcW w:type="dxa" w:w="3238"/>
                </w:tcPr>
                <w:p>
                  <w:r>
                    <w:rPr>
                      <w:rFonts w:ascii="Times New Roman" w:hAnsi="Times New Roman" w:eastAsia="바탕"/>
                      <w:sz w:val="18"/>
                    </w:rPr>
                    <w:t>letter l</w:t>
                  </w:r>
                </w:p>
              </w:tc>
              <w:tc>
                <w:tcPr>
                  <w:tcW w:type="dxa" w:w="3238"/>
                </w:tcPr>
                <w:p>
                  <w:r>
                    <w:rPr>
                      <w:rFonts w:ascii="Times New Roman" w:hAnsi="Times New Roman" w:eastAsia="바탕"/>
                      <w:sz w:val="18"/>
                    </w:rPr>
                    <w:t>inhaler spraying</w:t>
                  </w:r>
                </w:p>
              </w:tc>
            </w:tr>
            <w:tr>
              <w:tc>
                <w:tcPr>
                  <w:tcW w:type="dxa" w:w="3238"/>
                </w:tcPr>
                <w:p>
                  <w:r>
                    <w:rPr>
                      <w:rFonts w:ascii="Consolas" w:hAnsi="Consolas" w:eastAsia="Consolas"/>
                      <w:sz w:val="17"/>
                    </w:rPr>
                    <w:t>symptom_gut</w:t>
                  </w:r>
                </w:p>
              </w:tc>
              <w:tc>
                <w:tcPr>
                  <w:tcW w:type="dxa" w:w="3238"/>
                </w:tcPr>
                <w:p>
                  <w:r>
                    <w:rPr>
                      <w:rFonts w:ascii="Times New Roman" w:hAnsi="Times New Roman" w:eastAsia="바탕"/>
                      <w:sz w:val="18"/>
                    </w:rPr>
                    <w:t>lightning bolt icon</w:t>
                  </w:r>
                </w:p>
              </w:tc>
              <w:tc>
                <w:tcPr>
                  <w:tcW w:type="dxa" w:w="3238"/>
                </w:tcPr>
                <w:p>
                  <w:r>
                    <w:rPr>
                      <w:rFonts w:ascii="Times New Roman" w:hAnsi="Times New Roman" w:eastAsia="바탕"/>
                      <w:sz w:val="18"/>
                    </w:rPr>
                    <w:t>stomach with lightning bolt</w:t>
                  </w:r>
                </w:p>
              </w:tc>
            </w:tr>
            <w:tr>
              <w:tc>
                <w:tcPr>
                  <w:tcW w:type="dxa" w:w="3238"/>
                </w:tcPr>
                <w:p>
                  <w:r>
                    <w:rPr>
                      <w:rFonts w:ascii="Consolas" w:hAnsi="Consolas" w:eastAsia="Consolas"/>
                      <w:sz w:val="17"/>
                    </w:rPr>
                    <w:t>glucometer</w:t>
                  </w:r>
                </w:p>
              </w:tc>
              <w:tc>
                <w:tcPr>
                  <w:tcW w:type="dxa" w:w="3238"/>
                </w:tcPr>
                <w:p>
                  <w:r>
                    <w:rPr>
                      <w:rFonts w:ascii="Times New Roman" w:hAnsi="Times New Roman" w:eastAsia="바탕"/>
                      <w:sz w:val="18"/>
                    </w:rPr>
                    <w:t>key fob</w:t>
                  </w:r>
                </w:p>
              </w:tc>
              <w:tc>
                <w:tcPr>
                  <w:tcW w:type="dxa" w:w="3238"/>
                </w:tcPr>
                <w:p>
                  <w:r>
                    <w:rPr>
                      <w:rFonts w:ascii="Times New Roman" w:hAnsi="Times New Roman" w:eastAsia="바탕"/>
                      <w:sz w:val="18"/>
                    </w:rPr>
                    <w:t>glucose meter</w:t>
                  </w:r>
                </w:p>
              </w:tc>
            </w:tr>
            <w:tr>
              <w:tc>
                <w:tcPr>
                  <w:tcW w:type="dxa" w:w="3238"/>
                </w:tcPr>
                <w:p>
                  <w:r>
                    <w:rPr>
                      <w:rFonts w:ascii="Consolas" w:hAnsi="Consolas" w:eastAsia="Consolas"/>
                      <w:sz w:val="17"/>
                    </w:rPr>
                    <w:t>food_sugar</w:t>
                  </w:r>
                </w:p>
              </w:tc>
              <w:tc>
                <w:tcPr>
                  <w:tcW w:type="dxa" w:w="3238"/>
                </w:tcPr>
                <w:p>
                  <w:r>
                    <w:rPr>
                      <w:rFonts w:ascii="Times New Roman" w:hAnsi="Times New Roman" w:eastAsia="바탕"/>
                      <w:sz w:val="18"/>
                    </w:rPr>
                    <w:t>three hexagons / three dice</w:t>
                  </w:r>
                </w:p>
              </w:tc>
              <w:tc>
                <w:tcPr>
                  <w:tcW w:type="dxa" w:w="3238"/>
                </w:tcPr>
                <w:p>
                  <w:r>
                    <w:rPr>
                      <w:rFonts w:ascii="Times New Roman" w:hAnsi="Times New Roman" w:eastAsia="바탕"/>
                      <w:sz w:val="18"/>
                    </w:rPr>
                    <w:t>spoon with powder</w:t>
                  </w:r>
                </w:p>
              </w:tc>
            </w:tr>
            <w:tr>
              <w:tc>
                <w:tcPr>
                  <w:tcW w:type="dxa" w:w="3238"/>
                </w:tcPr>
                <w:p>
                  <w:r>
                    <w:rPr>
                      <w:rFonts w:ascii="Consolas" w:hAnsi="Consolas" w:eastAsia="Consolas"/>
                      <w:sz w:val="17"/>
                    </w:rPr>
                    <w:t>tablet_blister</w:t>
                  </w:r>
                </w:p>
              </w:tc>
              <w:tc>
                <w:tcPr>
                  <w:tcW w:type="dxa" w:w="3238"/>
                </w:tcPr>
                <w:p>
                  <w:r>
                    <w:rPr>
                      <w:rFonts w:ascii="Times New Roman" w:hAnsi="Times New Roman" w:eastAsia="바탕"/>
                      <w:sz w:val="18"/>
                    </w:rPr>
                    <w:t>die showing four</w:t>
                  </w:r>
                </w:p>
              </w:tc>
              <w:tc>
                <w:tcPr>
                  <w:tcW w:type="dxa" w:w="3238"/>
                </w:tcPr>
                <w:p>
                  <w:r>
                    <w:rPr>
                      <w:rFonts w:ascii="Times New Roman" w:hAnsi="Times New Roman" w:eastAsia="바탕"/>
                      <w:sz w:val="18"/>
                    </w:rPr>
                    <w:t>pill blister pack</w:t>
                  </w:r>
                </w:p>
              </w:tc>
            </w:tr>
            <w:tr>
              <w:tc>
                <w:tcPr>
                  <w:tcW w:type="dxa" w:w="3238"/>
                </w:tcPr>
                <w:p>
                  <w:r>
                    <w:rPr>
                      <w:rFonts w:ascii="Consolas" w:hAnsi="Consolas" w:eastAsia="Consolas"/>
                      <w:sz w:val="17"/>
                    </w:rPr>
                    <w:t>food_bowl</w:t>
                  </w:r>
                </w:p>
              </w:tc>
              <w:tc>
                <w:tcPr>
                  <w:tcW w:type="dxa" w:w="3238"/>
                </w:tcPr>
                <w:p>
                  <w:r>
                    <w:rPr>
                      <w:rFonts w:ascii="Times New Roman" w:hAnsi="Times New Roman" w:eastAsia="바탕"/>
                      <w:sz w:val="18"/>
                    </w:rPr>
                    <w:t>circle with line</w:t>
                  </w:r>
                </w:p>
              </w:tc>
              <w:tc>
                <w:tcPr>
                  <w:tcW w:type="dxa" w:w="3238"/>
                </w:tcPr>
                <w:p>
                  <w:r>
                    <w:rPr>
                      <w:rFonts w:ascii="Times New Roman" w:hAnsi="Times New Roman" w:eastAsia="바탕"/>
                      <w:sz w:val="18"/>
                    </w:rPr>
                    <w:t>bowl of hot food</w:t>
                  </w:r>
                </w:p>
              </w:tc>
            </w:tr>
          </w:tbl>
          <w:p/>
          <w:p>
            <w:pPr>
              <w:spacing w:after="120"/>
            </w:pPr>
          </w:p>
          <w:p>
            <w:pPr>
              <w:spacing w:after="80" w:line="276" w:lineRule="auto"/>
              <w:jc w:val="both"/>
            </w:pPr>
            <w:r>
              <w:rPr>
                <w:rFonts w:ascii="Times New Roman" w:hAnsi="Times New Roman" w:eastAsia="바탕"/>
                <w:sz w:val="20"/>
              </w:rPr>
              <w:t xml:space="preserve">The improvement to </w:t>
            </w:r>
            <w:r>
              <w:rPr>
                <w:rFonts w:ascii="Consolas" w:hAnsi="Consolas" w:eastAsia="Consolas"/>
                <w:sz w:val="19"/>
              </w:rPr>
              <w:t>allergen_tree_nut</w:t>
            </w:r>
            <w:r>
              <w:rPr>
                <w:rFonts w:ascii="Times New Roman" w:hAnsi="Times New Roman" w:eastAsia="바탕"/>
                <w:sz w:val="20"/>
              </w:rPr>
              <w:t xml:space="preserve"> matters particularly. Its being read as "cracked egg" is not simply a misreading, because a different allergen, </w:t>
            </w:r>
            <w:r>
              <w:rPr>
                <w:rFonts w:ascii="Consolas" w:hAnsi="Consolas" w:eastAsia="Consolas"/>
                <w:sz w:val="19"/>
              </w:rPr>
              <w:t>egg</w:t>
            </w:r>
            <w:r>
              <w:rPr>
                <w:rFonts w:ascii="Times New Roman" w:hAnsi="Times New Roman" w:eastAsia="바탕"/>
                <w:sz w:val="20"/>
              </w:rPr>
              <w:t>, exists in the same set. Two different allergy warnings were being read as the same picture.</w:t>
            </w:r>
          </w:p>
          <w:p>
            <w:pPr>
              <w:spacing w:before="180" w:after="40"/>
            </w:pPr>
            <w:r>
              <w:rPr>
                <w:rFonts w:ascii="Times New Roman" w:hAnsi="Times New Roman" w:eastAsia="바탕"/>
                <w:b/>
                <w:sz w:val="23"/>
              </w:rPr>
              <w:t>5.3 Morphemes judged unimprovable</w:t>
            </w:r>
          </w:p>
          <w:p>
            <w:pPr>
              <w:spacing w:after="80" w:line="276" w:lineRule="auto"/>
              <w:jc w:val="both"/>
            </w:pPr>
            <w:r>
              <w:rPr>
                <w:rFonts w:ascii="Times New Roman" w:hAnsi="Times New Roman" w:eastAsia="바탕"/>
                <w:sz w:val="20"/>
              </w:rPr>
              <w:t>Five symbols were reworked without improving. These differ in nature from the seven above.</w:t>
            </w:r>
          </w:p>
          <w:p>
            <w:pPr>
              <w:spacing w:after="80" w:line="276" w:lineRule="auto"/>
              <w:jc w:val="both"/>
            </w:pPr>
            <w:r>
              <w:rPr>
                <w:rFonts w:ascii="Times New Roman" w:hAnsi="Times New Roman" w:eastAsia="바탕"/>
                <w:sz w:val="20"/>
              </w:rPr>
              <w:t>[Table 37] Morphemes not improved and why</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Morpheme</w:t>
                  </w:r>
                </w:p>
              </w:tc>
              <w:tc>
                <w:tcPr>
                  <w:tcW w:type="dxa" w:w="3238"/>
                  <w:shd w:val="clear" w:fill="F2F2F2"/>
                </w:tcPr>
                <w:p>
                  <w:r>
                    <w:rPr>
                      <w:rFonts w:ascii="Times New Roman" w:hAnsi="Times New Roman" w:eastAsia="바탕"/>
                      <w:b/>
                      <w:sz w:val="18"/>
                    </w:rPr>
                    <w:t>Problem</w:t>
                  </w:r>
                </w:p>
              </w:tc>
              <w:tc>
                <w:tcPr>
                  <w:tcW w:type="dxa" w:w="3238"/>
                  <w:shd w:val="clear" w:fill="F2F2F2"/>
                </w:tcPr>
                <w:p>
                  <w:r>
                    <w:rPr>
                      <w:rFonts w:ascii="Times New Roman" w:hAnsi="Times New Roman" w:eastAsia="바탕"/>
                      <w:b/>
                      <w:sz w:val="18"/>
                    </w:rPr>
                    <w:t>Judgement</w:t>
                  </w:r>
                </w:p>
              </w:tc>
            </w:tr>
            <w:tr>
              <w:tc>
                <w:tcPr>
                  <w:tcW w:type="dxa" w:w="3238"/>
                </w:tcPr>
                <w:p>
                  <w:r>
                    <w:rPr>
                      <w:rFonts w:ascii="Consolas" w:hAnsi="Consolas" w:eastAsia="Consolas"/>
                      <w:sz w:val="17"/>
                    </w:rPr>
                    <w:t>suppository</w:t>
                  </w:r>
                </w:p>
              </w:tc>
              <w:tc>
                <w:tcPr>
                  <w:tcW w:type="dxa" w:w="3238"/>
                </w:tcPr>
                <w:p>
                  <w:r>
                    <w:rPr>
                      <w:rFonts w:ascii="Times New Roman" w:hAnsi="Times New Roman" w:eastAsia="바탕"/>
                      <w:sz w:val="18"/>
                    </w:rPr>
                    <w:t>Identical in form to a bullet. Adding packaging made it read as "bomb" or "rocket"</w:t>
                  </w:r>
                </w:p>
              </w:tc>
              <w:tc>
                <w:tcPr>
                  <w:tcW w:type="dxa" w:w="3238"/>
                </w:tcPr>
                <w:p>
                  <w:r>
                    <w:rPr>
                      <w:rFonts w:ascii="Times New Roman" w:hAnsi="Times New Roman" w:eastAsia="바탕"/>
                      <w:sz w:val="18"/>
                    </w:rPr>
                    <w:t>Form alone does not separate them</w:t>
                  </w:r>
                </w:p>
              </w:tc>
            </w:tr>
            <w:tr>
              <w:tc>
                <w:tcPr>
                  <w:tcW w:type="dxa" w:w="3238"/>
                </w:tcPr>
                <w:p>
                  <w:r>
                    <w:rPr>
                      <w:rFonts w:ascii="Consolas" w:hAnsi="Consolas" w:eastAsia="Consolas"/>
                      <w:sz w:val="17"/>
                    </w:rPr>
                    <w:t>body_skin</w:t>
                  </w:r>
                </w:p>
              </w:tc>
              <w:tc>
                <w:tcPr>
                  <w:tcW w:type="dxa" w:w="3238"/>
                </w:tcPr>
                <w:p>
                  <w:r>
                    <w:rPr>
                      <w:rFonts w:ascii="Times New Roman" w:hAnsi="Times New Roman" w:eastAsia="바탕"/>
                      <w:sz w:val="18"/>
                    </w:rPr>
                    <w:t>Drawn as texture it becomes waves, as an arm it clots, as a finger it becomes a footprint</w:t>
                  </w:r>
                </w:p>
              </w:tc>
              <w:tc>
                <w:tcPr>
                  <w:tcW w:type="dxa" w:w="3238"/>
                </w:tcPr>
                <w:p>
                  <w:r>
                    <w:rPr>
                      <w:rFonts w:ascii="Times New Roman" w:hAnsi="Times New Roman" w:eastAsia="바탕"/>
                      <w:sz w:val="18"/>
                    </w:rPr>
                    <w:t>"Skin" is not an object that can stand alone</w:t>
                  </w:r>
                </w:p>
              </w:tc>
            </w:tr>
            <w:tr>
              <w:tc>
                <w:tcPr>
                  <w:tcW w:type="dxa" w:w="3238"/>
                </w:tcPr>
                <w:p>
                  <w:r>
                    <w:rPr>
                      <w:rFonts w:ascii="Consolas" w:hAnsi="Consolas" w:eastAsia="Consolas"/>
                      <w:sz w:val="17"/>
                    </w:rPr>
                    <w:t>time_evening</w:t>
                  </w:r>
                </w:p>
              </w:tc>
              <w:tc>
                <w:tcPr>
                  <w:tcW w:type="dxa" w:w="3238"/>
                </w:tcPr>
                <w:p>
                  <w:r>
                    <w:rPr>
                      <w:rFonts w:ascii="Times New Roman" w:hAnsi="Times New Roman" w:eastAsia="바탕"/>
                      <w:sz w:val="18"/>
                    </w:rPr>
                    <w:t xml:space="preserve">The sun rising and the sun setting differ </w:t>
                  </w:r>
                  <w:r>
                    <w:rPr>
                      <w:rFonts w:ascii="Times New Roman" w:hAnsi="Times New Roman" w:eastAsia="바탕"/>
                      <w:b/>
                      <w:sz w:val="18"/>
                    </w:rPr>
                    <w:t>only by direction</w:t>
                  </w:r>
                </w:p>
              </w:tc>
              <w:tc>
                <w:tcPr>
                  <w:tcW w:type="dxa" w:w="3238"/>
                </w:tcPr>
                <w:p>
                  <w:r>
                    <w:rPr>
                      <w:rFonts w:ascii="Times New Roman" w:hAnsi="Times New Roman" w:eastAsia="바탕"/>
                      <w:sz w:val="18"/>
                    </w:rPr>
                    <w:t>A still picture has no direction</w:t>
                  </w:r>
                </w:p>
              </w:tc>
            </w:tr>
            <w:tr>
              <w:tc>
                <w:tcPr>
                  <w:tcW w:type="dxa" w:w="3238"/>
                </w:tcPr>
                <w:p>
                  <w:r>
                    <w:rPr>
                      <w:rFonts w:ascii="Consolas" w:hAnsi="Consolas" w:eastAsia="Consolas"/>
                      <w:sz w:val="17"/>
                    </w:rPr>
                    <w:t>allergen_sesame</w:t>
                  </w:r>
                </w:p>
              </w:tc>
              <w:tc>
                <w:tcPr>
                  <w:tcW w:type="dxa" w:w="3238"/>
                </w:tcPr>
                <w:p>
                  <w:r>
                    <w:rPr>
                      <w:rFonts w:ascii="Times New Roman" w:hAnsi="Times New Roman" w:eastAsia="바탕"/>
                      <w:sz w:val="18"/>
                    </w:rPr>
                    <w:t xml:space="preserve">Seeds in a pod worked better than scattered seeds, but </w:t>
                  </w:r>
                  <w:r>
                    <w:rPr>
                      <w:rFonts w:ascii="Consolas" w:hAnsi="Consolas" w:eastAsia="Consolas"/>
                      <w:sz w:val="17"/>
                    </w:rPr>
                    <w:t>allergen_soy</w:t>
                  </w:r>
                  <w:r>
                    <w:rPr>
                      <w:rFonts w:ascii="Times New Roman" w:hAnsi="Times New Roman" w:eastAsia="바탕"/>
                      <w:sz w:val="18"/>
                    </w:rPr>
                    <w:t xml:space="preserve"> is already a bean pod</w:t>
                  </w:r>
                </w:p>
              </w:tc>
              <w:tc>
                <w:tcPr>
                  <w:tcW w:type="dxa" w:w="3238"/>
                </w:tcPr>
                <w:p>
                  <w:r>
                    <w:rPr>
                      <w:rFonts w:ascii="Times New Roman" w:hAnsi="Times New Roman" w:eastAsia="바탕"/>
                      <w:b/>
                      <w:sz w:val="18"/>
                    </w:rPr>
                    <w:t>Collides within the set</w:t>
                  </w:r>
                </w:p>
              </w:tc>
            </w:tr>
            <w:tr>
              <w:tc>
                <w:tcPr>
                  <w:tcW w:type="dxa" w:w="3238"/>
                </w:tcPr>
                <w:p>
                  <w:r>
                    <w:rPr>
                      <w:rFonts w:ascii="Consolas" w:hAnsi="Consolas" w:eastAsia="Consolas"/>
                      <w:sz w:val="17"/>
                    </w:rPr>
                    <w:t>sachet</w:t>
                  </w:r>
                </w:p>
              </w:tc>
              <w:tc>
                <w:tcPr>
                  <w:tcW w:type="dxa" w:w="3238"/>
                </w:tcPr>
                <w:p>
                  <w:r>
                    <w:rPr>
                      <w:rFonts w:ascii="Times New Roman" w:hAnsi="Times New Roman" w:eastAsia="바탕"/>
                      <w:sz w:val="18"/>
                    </w:rPr>
                    <w:t>The tear serration of a medicine sachet and the crimp of a sweet wrapper are the same shape in silhouette</w:t>
                  </w:r>
                </w:p>
              </w:tc>
              <w:tc>
                <w:tcPr>
                  <w:tcW w:type="dxa" w:w="3238"/>
                </w:tcPr>
                <w:p>
                  <w:r>
                    <w:rPr>
                      <w:rFonts w:ascii="Times New Roman" w:hAnsi="Times New Roman" w:eastAsia="바탕"/>
                      <w:sz w:val="18"/>
                    </w:rPr>
                    <w:t>Form alone does not separate them</w:t>
                  </w:r>
                </w:p>
              </w:tc>
            </w:tr>
          </w:tbl>
          <w:p/>
          <w:p>
            <w:pPr>
              <w:spacing w:after="120"/>
            </w:pPr>
          </w:p>
          <w:p>
            <w:pPr>
              <w:spacing w:after="80" w:line="276" w:lineRule="auto"/>
              <w:jc w:val="both"/>
            </w:pPr>
            <w:r>
              <w:rPr>
                <w:rFonts w:ascii="Times New Roman" w:hAnsi="Times New Roman" w:eastAsia="바탕"/>
                <w:sz w:val="20"/>
              </w:rPr>
              <w:t>§5.7 added one that is not in this table. Sheron Sir Loon Goh, Pharmacy Lecturer, wrote that a capsule picture with one dot beside it does not read as "once a day"; without hearing the audio the relationship is not visible.</w:t>
            </w:r>
          </w:p>
          <w:p>
            <w:pPr>
              <w:spacing w:after="80" w:line="276" w:lineRule="auto"/>
              <w:jc w:val="both"/>
            </w:pPr>
            <w:r>
              <w:rPr>
                <w:rFonts w:ascii="Times New Roman" w:hAnsi="Times New Roman" w:eastAsia="바탕"/>
                <w:sz w:val="20"/>
              </w:rPr>
              <w:t>This is the kind the semantic check of §5.2 cannot catch. That check shows one morpheme on its own and asks what it looks like, whereas this problem is whether the relationship reads when two morphemes occupy one cell. One dot reads well as one dot and a capsule reads well as a capsule. Whether overlaying them yields "once a day" was never asked. That the procedure of §5.2 checks morphemes and not combinations shows here.</w:t>
            </w:r>
          </w:p>
          <w:p>
            <w:pPr>
              <w:spacing w:after="80" w:line="276" w:lineRule="auto"/>
              <w:jc w:val="both"/>
            </w:pPr>
            <w:r>
              <w:rPr>
                <w:rFonts w:ascii="Times New Roman" w:hAnsi="Times New Roman" w:eastAsia="바탕"/>
                <w:sz w:val="20"/>
              </w:rPr>
              <w:t>These five are set out because they show where the limits of the pictogram as a medium lie. All seven that could be improved were resolved by choosing a better object, whereas for these five the concept itself does not hold as a standalone silhouette.</w:t>
            </w:r>
          </w:p>
          <w:p>
            <w:pPr>
              <w:spacing w:after="80" w:line="276" w:lineRule="auto"/>
              <w:jc w:val="both"/>
            </w:pPr>
            <w:r>
              <w:rPr>
                <w:rFonts w:ascii="Times New Roman" w:hAnsi="Times New Roman" w:eastAsia="바탕"/>
                <w:sz w:val="20"/>
              </w:rPr>
              <w:t xml:space="preserve">The rework log for </w:t>
            </w:r>
            <w:r>
              <w:rPr>
                <w:rFonts w:ascii="Consolas" w:hAnsi="Consolas" w:eastAsia="Consolas"/>
                <w:sz w:val="19"/>
              </w:rPr>
              <w:t>sachet</w:t>
            </w:r>
            <w:r>
              <w:rPr>
                <w:rFonts w:ascii="Times New Roman" w:hAnsi="Times New Roman" w:eastAsia="바탕"/>
                <w:sz w:val="20"/>
              </w:rPr>
              <w:t xml:space="preserve"> is worth keeping. Two directions were tried and both failed.</w:t>
            </w:r>
          </w:p>
          <w:p>
            <w:pPr>
              <w:spacing w:after="80" w:line="276" w:lineRule="auto"/>
              <w:jc w:val="both"/>
            </w:pPr>
            <w:r>
              <w:rPr>
                <w:rFonts w:ascii="Times New Roman" w:hAnsi="Times New Roman" w:eastAsia="바탕"/>
                <w:sz w:val="20"/>
              </w:rPr>
              <w:t xml:space="preserve">First, the side serration was removed and the powder drawn as small white dots. It was still a "candy wrapper." The diagnosis that the cause was the serration rather than the notch was not itself wrong; what remained after removing the serration was still a sweet wrapper. The worse part is the "small white dots." Those dots </w:t>
            </w:r>
            <w:r>
              <w:rPr>
                <w:rFonts w:ascii="Times New Roman" w:hAnsi="Times New Roman" w:eastAsia="바탕"/>
                <w:b/>
                <w:sz w:val="20"/>
              </w:rPr>
              <w:t>disappeared entirely at 32 pixels (21 to 0).</w:t>
            </w:r>
            <w:r>
              <w:rPr>
                <w:rFonts w:ascii="Times New Roman" w:hAnsi="Times New Roman" w:eastAsia="바탕"/>
                <w:sz w:val="20"/>
              </w:rPr>
              <w:t xml:space="preserve"> The very failure the mechanical check in §5.2 exists to catch was produced by the instruction meant to avoid it.</w:t>
            </w:r>
          </w:p>
          <w:p>
            <w:pPr>
              <w:spacing w:after="80" w:line="276" w:lineRule="auto"/>
              <w:jc w:val="both"/>
            </w:pPr>
            <w:r>
              <w:rPr>
                <w:rFonts w:ascii="Times New Roman" w:hAnsi="Times New Roman" w:eastAsia="바탕"/>
                <w:sz w:val="20"/>
              </w:rPr>
              <w:t>Second, the subject was changed to the moment of tipping the sachet to pour. It was read as "ice cream cone" and "cocktail shaker pouring." A widening wedge becomes a cone. A third attempt was refused by the image generation API; a request to draw "pouring powder" was classified as drug misuse.</w:t>
            </w:r>
          </w:p>
          <w:p>
            <w:pPr>
              <w:spacing w:after="80" w:line="276" w:lineRule="auto"/>
              <w:jc w:val="both"/>
            </w:pPr>
            <w:r>
              <w:rPr>
                <w:rFonts w:ascii="Times New Roman" w:hAnsi="Times New Roman" w:eastAsia="바탕"/>
                <w:sz w:val="20"/>
              </w:rPr>
              <w:t>The failed pictures were not installed. The assets remain as they were and the prompt was reverted. What was kept is only the record of the attempts. The checker's expected value was, however, changed from a concept name to a sentence. Matching on the name alone is loose enough that the next person running the same check might see this failure as a pass.</w:t>
            </w:r>
          </w:p>
          <w:p>
            <w:pPr>
              <w:spacing w:after="80" w:line="276" w:lineRule="auto"/>
              <w:jc w:val="both"/>
            </w:pPr>
            <w:r>
              <w:rPr>
                <w:rFonts w:ascii="Times New Roman" w:hAnsi="Times New Roman" w:eastAsia="바탕"/>
                <w:sz w:val="20"/>
              </w:rPr>
              <w:t xml:space="preserve">For four of these five, speech fills the place on screen. As described in §3.5, pressing a picture makes it say what it means, so </w:t>
            </w:r>
            <w:r>
              <w:rPr>
                <w:rFonts w:ascii="Consolas" w:hAnsi="Consolas" w:eastAsia="Consolas"/>
                <w:sz w:val="19"/>
              </w:rPr>
              <w:t>sachet</w:t>
            </w:r>
            <w:r>
              <w:rPr>
                <w:rFonts w:ascii="Times New Roman" w:hAnsi="Times New Roman" w:eastAsia="바탕"/>
                <w:sz w:val="20"/>
              </w:rPr>
              <w:t xml:space="preserve"> can be heard as "The powder sachet." even when it is not recognised. Having one more layer where the picture failed is what the three-layer design in §2.1 actually does.</w:t>
            </w:r>
          </w:p>
          <w:p>
            <w:pPr>
              <w:spacing w:before="180" w:after="40"/>
            </w:pPr>
            <w:r>
              <w:rPr>
                <w:rFonts w:ascii="Times New Roman" w:hAnsi="Times New Roman" w:eastAsia="바탕"/>
                <w:b/>
                <w:sz w:val="23"/>
              </w:rPr>
              <w:t>5.4 Limits of the measurement</w:t>
            </w:r>
          </w:p>
          <w:p>
            <w:pPr>
              <w:spacing w:after="80" w:line="276" w:lineRule="auto"/>
              <w:jc w:val="both"/>
            </w:pPr>
            <w:r>
              <w:rPr>
                <w:rFonts w:ascii="Times New Roman" w:hAnsi="Times New Roman" w:eastAsia="바탕"/>
                <w:sz w:val="20"/>
              </w:rPr>
              <w:t>The figures from the previous two sections share a characteristic. Both come from a machine scoring a machine rather than from asking people. This section sets out what those figures say and what they do not.</w:t>
            </w:r>
          </w:p>
          <w:p>
            <w:pPr>
              <w:spacing w:after="80" w:line="276" w:lineRule="auto"/>
              <w:jc w:val="both"/>
            </w:pPr>
            <w:r>
              <w:rPr>
                <w:rFonts w:ascii="Times New Roman" w:hAnsi="Times New Roman" w:eastAsia="바탕"/>
                <w:sz w:val="20"/>
              </w:rPr>
              <w:t>The results in this section carry three limitations, which are stated alongside them.</w:t>
            </w:r>
          </w:p>
          <w:p>
            <w:pPr>
              <w:spacing w:after="80" w:line="276" w:lineRule="auto"/>
              <w:jc w:val="both"/>
            </w:pPr>
            <w:r>
              <w:rPr>
                <w:rFonts w:ascii="Times New Roman" w:hAnsi="Times New Roman" w:eastAsia="바탕"/>
                <w:sz w:val="20"/>
              </w:rPr>
              <w:t>First, no people were asked. The semantic check above put the question to a vision language model rather than to people. It therefore cannot be compared directly with the prior figures in Table 6 (17 of 108 passing ANSI). The value of this procedure lies not in replacing testing with people but in filtering obvious misreadings beforehand and saving the cost of one round of testing.</w:t>
            </w:r>
          </w:p>
          <w:p>
            <w:pPr>
              <w:spacing w:after="80" w:line="276" w:lineRule="auto"/>
              <w:jc w:val="both"/>
            </w:pPr>
            <w:r>
              <w:rPr>
                <w:rFonts w:ascii="Times New Roman" w:hAnsi="Times New Roman" w:eastAsia="바탕"/>
                <w:sz w:val="20"/>
              </w:rPr>
              <w:t>Second, the judgement wavers at the boundary. There were cases where the same picture passed on one run and failed on another (</w:t>
            </w:r>
            <w:r>
              <w:rPr>
                <w:rFonts w:ascii="Consolas" w:hAnsi="Consolas" w:eastAsia="Consolas"/>
                <w:sz w:val="19"/>
              </w:rPr>
              <w:t>symptom_cough</w:t>
            </w:r>
            <w:r>
              <w:rPr>
                <w:rFonts w:ascii="Times New Roman" w:hAnsi="Times New Roman" w:eastAsia="바탕"/>
                <w:sz w:val="20"/>
              </w:rPr>
              <w:t xml:space="preserve"> being read as "person breathing out"). This check is therefore a gate rather than a verdict, and it was made a principle not to adjust the pass criterion until every item passes.</w:t>
            </w:r>
          </w:p>
          <w:p>
            <w:pPr>
              <w:spacing w:after="80" w:line="276" w:lineRule="auto"/>
              <w:jc w:val="both"/>
            </w:pPr>
            <w:r>
              <w:rPr>
                <w:rFonts w:ascii="Times New Roman" w:hAnsi="Times New Roman" w:eastAsia="바탕"/>
                <w:sz w:val="20"/>
              </w:rPr>
              <w:t>Third, the scorer and the scored may share the same kind of failure. A vision language model is built by learning the world's pictures, so the more conventional and widespread a representation is, the better it recognises it. Yet it is exactly that convention which varies by culture (Table 6), and that is what concerns us. This check is therefore strong at measuring "did it follow common convention" and weak at measuring "does it work for someone who does not know this convention." No guarantee that the 54 symbols which passed will work as they are for older Moldovan users comes out of this.</w:t>
            </w:r>
          </w:p>
          <w:p>
            <w:pPr>
              <w:spacing w:after="80" w:line="276" w:lineRule="auto"/>
              <w:jc w:val="both"/>
            </w:pPr>
            <w:r>
              <w:rPr>
                <w:rFonts w:ascii="Times New Roman" w:hAnsi="Times New Roman" w:eastAsia="바탕"/>
                <w:sz w:val="20"/>
              </w:rPr>
              <w:t>Putting the three together makes clear what the procedure in §5.2 is. It is a sieve for filtering obvious misreadings before asking people, not a substitute for asking them. The 24 it filtered out are ones that would have consumed testing time and returned the same answer had they been shown to people.</w:t>
            </w:r>
          </w:p>
          <w:p>
            <w:pPr>
              <w:spacing w:after="80" w:line="276" w:lineRule="auto"/>
              <w:jc w:val="both"/>
            </w:pPr>
            <w:r>
              <w:rPr>
                <w:rFonts w:ascii="Times New Roman" w:hAnsi="Times New Roman" w:eastAsia="바탕"/>
                <w:sz w:val="20"/>
              </w:rPr>
              <w:t xml:space="preserve">§5.7 added a fourth to those three. Asked how the set should be tested with AAC users, E. A. Draffan, retired speech and language therapist and visiting accessibility researcher at Global Symbols, answered that a trial is possible but that </w:t>
            </w:r>
            <w:r>
              <w:rPr>
                <w:rFonts w:ascii="Times New Roman" w:hAnsi="Times New Roman" w:eastAsia="바탕"/>
                <w:b/>
                <w:sz w:val="20"/>
              </w:rPr>
              <w:t>the level at which failure occurs will never be known</w:t>
            </w:r>
            <w:r>
              <w:rPr>
                <w:rFonts w:ascii="Times New Roman" w:hAnsi="Times New Roman" w:eastAsia="바탕"/>
                <w:sz w:val="20"/>
              </w:rPr>
              <w:t>, because there are too many variables.</w:t>
            </w:r>
          </w:p>
          <w:p>
            <w:pPr>
              <w:spacing w:after="80" w:line="276" w:lineRule="auto"/>
              <w:jc w:val="both"/>
            </w:pPr>
            <w:r>
              <w:rPr>
                <w:rFonts w:ascii="Times New Roman" w:hAnsi="Times New Roman" w:eastAsia="바탕"/>
                <w:sz w:val="20"/>
              </w:rPr>
              <w:t>That lands directly on the procedure of §5.2. When a morpheme fails the semantic check we read it as the drawing being wrong. But whether it failed because of the drawing, because of the 32-pixel size, or because the judge does not know the concept is something this procedure cannot separate. The five judged unimprovable in §5.3 rest on the same limitation. Three attempts failing three times and a concept not standing up as a silhouette are different statements, and we looked at the first and wrote down the second.</w:t>
            </w:r>
          </w:p>
          <w:p>
            <w:pPr>
              <w:spacing w:before="180" w:after="40"/>
            </w:pPr>
            <w:r>
              <w:rPr>
                <w:rFonts w:ascii="Times New Roman" w:hAnsi="Times New Roman" w:eastAsia="바탕"/>
                <w:b/>
                <w:sz w:val="23"/>
              </w:rPr>
              <w:t>5.5 Measured performance of the nutrition estimation model</w:t>
            </w:r>
          </w:p>
          <w:p>
            <w:pPr>
              <w:spacing w:after="80" w:line="276" w:lineRule="auto"/>
              <w:jc w:val="both"/>
            </w:pPr>
            <w:r>
              <w:rPr>
                <w:rFonts w:ascii="Times New Roman" w:hAnsi="Times New Roman" w:eastAsia="바탕"/>
                <w:sz w:val="20"/>
              </w:rPr>
              <w:t>The model used on the meal photograph route was scored against the official RGB test split of Nutrition5k. The deployed file itself (</w:t>
            </w:r>
            <w:r>
              <w:rPr>
                <w:rFonts w:ascii="Consolas" w:hAnsi="Consolas" w:eastAsia="Consolas"/>
                <w:sz w:val="19"/>
              </w:rPr>
              <w:t>web.onnx</w:t>
            </w:r>
            <w:r>
              <w:rPr>
                <w:rFonts w:ascii="Times New Roman" w:hAnsi="Times New Roman" w:eastAsia="바탕"/>
                <w:sz w:val="20"/>
              </w:rPr>
              <w:t>) was run with the same preprocessing as the browser: short side resized to 258, 224 centre crop, divided by 255.</w:t>
            </w:r>
          </w:p>
          <w:p>
            <w:pPr>
              <w:spacing w:after="80" w:line="276" w:lineRule="auto"/>
              <w:jc w:val="both"/>
            </w:pPr>
            <w:r>
              <w:rPr>
                <w:rFonts w:ascii="Times New Roman" w:hAnsi="Times New Roman" w:eastAsia="바탕"/>
                <w:sz w:val="20"/>
              </w:rPr>
              <w:t>[Table 38] Per-item error of the nutrition estimation model (n = 507)</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Item</w:t>
                  </w:r>
                </w:p>
              </w:tc>
              <w:tc>
                <w:tcPr>
                  <w:tcW w:type="dxa" w:w="2429"/>
                  <w:shd w:val="clear" w:fill="F2F2F2"/>
                </w:tcPr>
                <w:p>
                  <w:r>
                    <w:rPr>
                      <w:rFonts w:ascii="Times New Roman" w:hAnsi="Times New Roman" w:eastAsia="바탕"/>
                      <w:b/>
                      <w:sz w:val="18"/>
                    </w:rPr>
                    <w:t>MAE</w:t>
                  </w:r>
                </w:p>
              </w:tc>
              <w:tc>
                <w:tcPr>
                  <w:tcW w:type="dxa" w:w="2429"/>
                  <w:shd w:val="clear" w:fill="F2F2F2"/>
                </w:tcPr>
                <w:p>
                  <w:r>
                    <w:rPr>
                      <w:rFonts w:ascii="Times New Roman" w:hAnsi="Times New Roman" w:eastAsia="바탕"/>
                      <w:b/>
                      <w:sz w:val="18"/>
                    </w:rPr>
                    <w:t>MAE%</w:t>
                  </w:r>
                </w:p>
              </w:tc>
              <w:tc>
                <w:tcPr>
                  <w:tcW w:type="dxa" w:w="2429"/>
                  <w:shd w:val="clear" w:fill="F2F2F2"/>
                </w:tcPr>
                <w:p>
                  <w:r>
                    <w:rPr>
                      <w:rFonts w:ascii="Times New Roman" w:hAnsi="Times New Roman" w:eastAsia="바탕"/>
                      <w:b/>
                      <w:sz w:val="18"/>
                    </w:rPr>
                    <w:t>Test set mean</w:t>
                  </w:r>
                </w:p>
              </w:tc>
            </w:tr>
            <w:tr>
              <w:tc>
                <w:tcPr>
                  <w:tcW w:type="dxa" w:w="2429"/>
                </w:tcPr>
                <w:p>
                  <w:r>
                    <w:rPr>
                      <w:rFonts w:ascii="Times New Roman" w:hAnsi="Times New Roman" w:eastAsia="바탕"/>
                      <w:sz w:val="18"/>
                    </w:rPr>
                    <w:t>Energy</w:t>
                  </w:r>
                </w:p>
              </w:tc>
              <w:tc>
                <w:tcPr>
                  <w:tcW w:type="dxa" w:w="2429"/>
                </w:tcPr>
                <w:p>
                  <w:r>
                    <w:rPr>
                      <w:rFonts w:ascii="Times New Roman" w:hAnsi="Times New Roman" w:eastAsia="바탕"/>
                      <w:sz w:val="18"/>
                    </w:rPr>
                    <w:t>58.12 kcal</w:t>
                  </w:r>
                </w:p>
              </w:tc>
              <w:tc>
                <w:tcPr>
                  <w:tcW w:type="dxa" w:w="2429"/>
                </w:tcPr>
                <w:p>
                  <w:r>
                    <w:rPr>
                      <w:rFonts w:ascii="Times New Roman" w:hAnsi="Times New Roman" w:eastAsia="바탕"/>
                      <w:sz w:val="18"/>
                    </w:rPr>
                    <w:t>22.75%</w:t>
                  </w:r>
                </w:p>
              </w:tc>
              <w:tc>
                <w:tcPr>
                  <w:tcW w:type="dxa" w:w="2429"/>
                </w:tcPr>
                <w:p>
                  <w:r>
                    <w:rPr>
                      <w:rFonts w:ascii="Times New Roman" w:hAnsi="Times New Roman" w:eastAsia="바탕"/>
                      <w:sz w:val="18"/>
                    </w:rPr>
                    <w:t>255.5 kcal</w:t>
                  </w:r>
                </w:p>
              </w:tc>
            </w:tr>
            <w:tr>
              <w:tc>
                <w:tcPr>
                  <w:tcW w:type="dxa" w:w="2429"/>
                </w:tcPr>
                <w:p>
                  <w:r>
                    <w:rPr>
                      <w:rFonts w:ascii="Times New Roman" w:hAnsi="Times New Roman" w:eastAsia="바탕"/>
                      <w:sz w:val="18"/>
                    </w:rPr>
                    <w:t>Mass</w:t>
                  </w:r>
                </w:p>
              </w:tc>
              <w:tc>
                <w:tcPr>
                  <w:tcW w:type="dxa" w:w="2429"/>
                </w:tcPr>
                <w:p>
                  <w:r>
                    <w:rPr>
                      <w:rFonts w:ascii="Times New Roman" w:hAnsi="Times New Roman" w:eastAsia="바탕"/>
                      <w:sz w:val="18"/>
                    </w:rPr>
                    <w:t>32.97 g</w:t>
                  </w:r>
                </w:p>
              </w:tc>
              <w:tc>
                <w:tcPr>
                  <w:tcW w:type="dxa" w:w="2429"/>
                </w:tcPr>
                <w:p>
                  <w:r>
                    <w:rPr>
                      <w:rFonts w:ascii="Times New Roman" w:hAnsi="Times New Roman" w:eastAsia="바탕"/>
                      <w:sz w:val="18"/>
                    </w:rPr>
                    <w:t>16.61%</w:t>
                  </w:r>
                </w:p>
              </w:tc>
              <w:tc>
                <w:tcPr>
                  <w:tcW w:type="dxa" w:w="2429"/>
                </w:tcPr>
                <w:p>
                  <w:r>
                    <w:rPr>
                      <w:rFonts w:ascii="Times New Roman" w:hAnsi="Times New Roman" w:eastAsia="바탕"/>
                      <w:sz w:val="18"/>
                    </w:rPr>
                    <w:t>198.5 g</w:t>
                  </w:r>
                </w:p>
              </w:tc>
            </w:tr>
            <w:tr>
              <w:tc>
                <w:tcPr>
                  <w:tcW w:type="dxa" w:w="2429"/>
                </w:tcPr>
                <w:p>
                  <w:r>
                    <w:rPr>
                      <w:rFonts w:ascii="Times New Roman" w:hAnsi="Times New Roman" w:eastAsia="바탕"/>
                      <w:sz w:val="18"/>
                    </w:rPr>
                    <w:t>Fat</w:t>
                  </w:r>
                </w:p>
              </w:tc>
              <w:tc>
                <w:tcPr>
                  <w:tcW w:type="dxa" w:w="2429"/>
                </w:tcPr>
                <w:p>
                  <w:r>
                    <w:rPr>
                      <w:rFonts w:ascii="Times New Roman" w:hAnsi="Times New Roman" w:eastAsia="바탕"/>
                      <w:sz w:val="18"/>
                    </w:rPr>
                    <w:t>4.21 g</w:t>
                  </w:r>
                </w:p>
              </w:tc>
              <w:tc>
                <w:tcPr>
                  <w:tcW w:type="dxa" w:w="2429"/>
                </w:tcPr>
                <w:p>
                  <w:r>
                    <w:rPr>
                      <w:rFonts w:ascii="Times New Roman" w:hAnsi="Times New Roman" w:eastAsia="바탕"/>
                      <w:sz w:val="18"/>
                    </w:rPr>
                    <w:t>32.82%</w:t>
                  </w:r>
                </w:p>
              </w:tc>
              <w:tc>
                <w:tcPr>
                  <w:tcW w:type="dxa" w:w="2429"/>
                </w:tcPr>
                <w:p>
                  <w:r>
                    <w:rPr>
                      <w:rFonts w:ascii="Times New Roman" w:hAnsi="Times New Roman" w:eastAsia="바탕"/>
                      <w:sz w:val="18"/>
                    </w:rPr>
                    <w:t>12.8 g</w:t>
                  </w:r>
                </w:p>
              </w:tc>
            </w:tr>
            <w:tr>
              <w:tc>
                <w:tcPr>
                  <w:tcW w:type="dxa" w:w="2429"/>
                </w:tcPr>
                <w:p>
                  <w:r>
                    <w:rPr>
                      <w:rFonts w:ascii="Times New Roman" w:hAnsi="Times New Roman" w:eastAsia="바탕"/>
                      <w:sz w:val="18"/>
                    </w:rPr>
                    <w:t>Carbohydrate</w:t>
                  </w:r>
                </w:p>
              </w:tc>
              <w:tc>
                <w:tcPr>
                  <w:tcW w:type="dxa" w:w="2429"/>
                </w:tcPr>
                <w:p>
                  <w:r>
                    <w:rPr>
                      <w:rFonts w:ascii="Times New Roman" w:hAnsi="Times New Roman" w:eastAsia="바탕"/>
                      <w:sz w:val="18"/>
                    </w:rPr>
                    <w:t>6.02 g</w:t>
                  </w:r>
                </w:p>
              </w:tc>
              <w:tc>
                <w:tcPr>
                  <w:tcW w:type="dxa" w:w="2429"/>
                </w:tcPr>
                <w:p>
                  <w:r>
                    <w:rPr>
                      <w:rFonts w:ascii="Times New Roman" w:hAnsi="Times New Roman" w:eastAsia="바탕"/>
                      <w:sz w:val="18"/>
                    </w:rPr>
                    <w:t>30.60%</w:t>
                  </w:r>
                </w:p>
              </w:tc>
              <w:tc>
                <w:tcPr>
                  <w:tcW w:type="dxa" w:w="2429"/>
                </w:tcPr>
                <w:p>
                  <w:r>
                    <w:rPr>
                      <w:rFonts w:ascii="Times New Roman" w:hAnsi="Times New Roman" w:eastAsia="바탕"/>
                      <w:sz w:val="18"/>
                    </w:rPr>
                    <w:t>19.7 g</w:t>
                  </w:r>
                </w:p>
              </w:tc>
            </w:tr>
            <w:tr>
              <w:tc>
                <w:tcPr>
                  <w:tcW w:type="dxa" w:w="2429"/>
                </w:tcPr>
                <w:p>
                  <w:r>
                    <w:rPr>
                      <w:rFonts w:ascii="Times New Roman" w:hAnsi="Times New Roman" w:eastAsia="바탕"/>
                      <w:sz w:val="18"/>
                    </w:rPr>
                    <w:t>Protein</w:t>
                  </w:r>
                </w:p>
              </w:tc>
              <w:tc>
                <w:tcPr>
                  <w:tcW w:type="dxa" w:w="2429"/>
                </w:tcPr>
                <w:p>
                  <w:r>
                    <w:rPr>
                      <w:rFonts w:ascii="Times New Roman" w:hAnsi="Times New Roman" w:eastAsia="바탕"/>
                      <w:sz w:val="18"/>
                    </w:rPr>
                    <w:t>5.41 g</w:t>
                  </w:r>
                </w:p>
              </w:tc>
              <w:tc>
                <w:tcPr>
                  <w:tcW w:type="dxa" w:w="2429"/>
                </w:tcPr>
                <w:p>
                  <w:r>
                    <w:rPr>
                      <w:rFonts w:ascii="Times New Roman" w:hAnsi="Times New Roman" w:eastAsia="바탕"/>
                      <w:sz w:val="18"/>
                    </w:rPr>
                    <w:t>30.96%</w:t>
                  </w:r>
                </w:p>
              </w:tc>
              <w:tc>
                <w:tcPr>
                  <w:tcW w:type="dxa" w:w="2429"/>
                </w:tcPr>
                <w:p>
                  <w:r>
                    <w:rPr>
                      <w:rFonts w:ascii="Times New Roman" w:hAnsi="Times New Roman" w:eastAsia="바탕"/>
                      <w:sz w:val="18"/>
                    </w:rPr>
                    <w:t>17.5 g</w:t>
                  </w:r>
                </w:p>
              </w:tc>
            </w:tr>
            <w:tr>
              <w:tc>
                <w:tcPr>
                  <w:tcW w:type="dxa" w:w="2429"/>
                </w:tcPr>
                <w:p>
                  <w:r>
                    <w:rPr>
                      <w:rFonts w:ascii="Times New Roman" w:hAnsi="Times New Roman" w:eastAsia="바탕"/>
                      <w:b/>
                      <w:sz w:val="18"/>
                    </w:rPr>
                    <w:t>Mean</w:t>
                  </w:r>
                </w:p>
              </w:tc>
              <w:tc>
                <w:tcPr>
                  <w:tcW w:type="dxa" w:w="2429"/>
                </w:tcPr>
                <w:p>
                  <w:r>
                    <w:rPr>
                      <w:rFonts w:ascii="Times New Roman" w:hAnsi="Times New Roman" w:eastAsia="바탕"/>
                      <w:sz w:val="18"/>
                    </w:rPr>
                    <w:t>(</w:t>
                  </w:r>
                </w:p>
              </w:tc>
              <w:tc>
                <w:tcPr>
                  <w:tcW w:type="dxa" w:w="2429"/>
                </w:tcPr>
                <w:p>
                  <w:r>
                    <w:rPr>
                      <w:rFonts w:ascii="Times New Roman" w:hAnsi="Times New Roman" w:eastAsia="바탕"/>
                      <w:b/>
                      <w:sz w:val="18"/>
                    </w:rPr>
                    <w:t>26.75%</w:t>
                  </w:r>
                </w:p>
              </w:tc>
              <w:tc>
                <w:tcPr>
                  <w:tcW w:type="dxa" w:w="2429"/>
                </w:tcPr>
                <w:p>
                  <w:r>
                    <w:rPr>
                      <w:rFonts w:ascii="Times New Roman" w:hAnsi="Times New Roman" w:eastAsia="바탕"/>
                      <w:sz w:val="18"/>
                    </w:rPr>
                    <w:t>)</w:t>
                  </w:r>
                </w:p>
              </w:tc>
            </w:tr>
          </w:tbl>
          <w:p/>
          <w:p>
            <w:pPr>
              <w:spacing w:after="120"/>
            </w:pPr>
          </w:p>
          <w:p>
            <w:pPr>
              <w:spacing w:after="80" w:line="276" w:lineRule="auto"/>
              <w:jc w:val="both"/>
            </w:pPr>
            <w:r>
              <w:rPr>
                <w:rFonts w:ascii="Times New Roman" w:hAnsi="Times New Roman" w:eastAsia="바탕"/>
                <w:sz w:val="20"/>
              </w:rPr>
              <w:t>MAE% follows the official definition: the mean absolute error divided by the mean of the ground truth, not the mean of per-dish ratios. The 507 scored are all the dishes in the 709-item test split for which an overhead frame exists. The official protocol uses overhead frames only, and mixing in side frames produces different numbers and quietly manufactures a value that cannot be compared.</w:t>
            </w:r>
          </w:p>
          <w:p>
            <w:pPr>
              <w:spacing w:after="80" w:line="276" w:lineRule="auto"/>
              <w:jc w:val="both"/>
            </w:pPr>
            <w:r>
              <w:rPr>
                <w:rFonts w:ascii="Times New Roman" w:hAnsi="Times New Roman" w:eastAsia="바탕"/>
                <w:sz w:val="20"/>
              </w:rPr>
              <w:t>The same figures were recorded in the exported model's metadata, but rather than transcribing them we obtained the data and measured again. All five items matched to two decimal places. If checking citations against their sources has established anything in this document, it is that a value written down somewhere and the value its source actually states are frequently different.</w:t>
            </w:r>
          </w:p>
          <w:p>
            <w:pPr>
              <w:spacing w:after="80" w:line="276" w:lineRule="auto"/>
              <w:jc w:val="both"/>
            </w:pPr>
            <w:r>
              <w:rPr>
                <w:rFonts w:ascii="Times New Roman" w:hAnsi="Times New Roman" w:eastAsia="바탕"/>
                <w:sz w:val="20"/>
              </w:rPr>
              <w:t>It should be stated that these values can no longer be re-measured. When the Nutrition5k source was deleted, the 3,262 overhead frames of the official test split went with it, and the 507 test dishes contain no side frames to substitute. The figures above were measured while the data existed and the procedure survives in the script in §11, but running it now reports that the data is absent and stops.</w:t>
            </w:r>
          </w:p>
          <w:p>
            <w:pPr>
              <w:spacing w:after="80" w:line="276" w:lineRule="auto"/>
              <w:jc w:val="both"/>
            </w:pPr>
            <w:r>
              <w:rPr>
                <w:rFonts w:ascii="Times New Roman" w:hAnsi="Times New Roman" w:eastAsia="바탕"/>
                <w:sz w:val="20"/>
              </w:rPr>
              <w:t>There is a value measured on what remains, however, and it is the one that fits this app better.</w:t>
            </w:r>
          </w:p>
          <w:p>
            <w:pPr>
              <w:spacing w:after="80" w:line="276" w:lineRule="auto"/>
              <w:jc w:val="both"/>
            </w:pPr>
            <w:r>
              <w:rPr>
                <w:rFonts w:ascii="Times New Roman" w:hAnsi="Times New Roman" w:eastAsia="바탕"/>
                <w:sz w:val="20"/>
              </w:rPr>
              <w:t>[Table 39] The difference between two scorings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tc>
              <w:tc>
                <w:tcPr>
                  <w:tcW w:type="dxa" w:w="3238"/>
                  <w:shd w:val="clear" w:fill="F2F2F2"/>
                </w:tcPr>
                <w:p>
                  <w:r>
                    <w:rPr>
                      <w:rFonts w:ascii="Times New Roman" w:hAnsi="Times New Roman" w:eastAsia="바탕"/>
                      <w:b/>
                      <w:sz w:val="18"/>
                    </w:rPr>
                    <w:t>Official test split</w:t>
                  </w:r>
                </w:p>
              </w:tc>
              <w:tc>
                <w:tcPr>
                  <w:tcW w:type="dxa" w:w="3238"/>
                  <w:shd w:val="clear" w:fill="F2F2F2"/>
                </w:tcPr>
                <w:p>
                  <w:r>
                    <w:rPr>
                      <w:rFonts w:ascii="Times New Roman" w:hAnsi="Times New Roman" w:eastAsia="바탕"/>
                      <w:b/>
                      <w:sz w:val="18"/>
                    </w:rPr>
                    <w:t>Re-measured on what remains</w:t>
                  </w:r>
                </w:p>
              </w:tc>
            </w:tr>
            <w:tr>
              <w:tc>
                <w:tcPr>
                  <w:tcW w:type="dxa" w:w="3238"/>
                </w:tcPr>
                <w:p>
                  <w:r>
                    <w:rPr>
                      <w:rFonts w:ascii="Times New Roman" w:hAnsi="Times New Roman" w:eastAsia="바탕"/>
                      <w:sz w:val="18"/>
                    </w:rPr>
                    <w:t>What</w:t>
                  </w:r>
                </w:p>
              </w:tc>
              <w:tc>
                <w:tcPr>
                  <w:tcW w:type="dxa" w:w="3238"/>
                </w:tcPr>
                <w:p>
                  <w:r>
                    <w:rPr>
                      <w:rFonts w:ascii="Times New Roman" w:hAnsi="Times New Roman" w:eastAsia="바탕"/>
                      <w:sz w:val="18"/>
                    </w:rPr>
                    <w:t>507 test dishes</w:t>
                  </w:r>
                </w:p>
              </w:tc>
              <w:tc>
                <w:tcPr>
                  <w:tcW w:type="dxa" w:w="3238"/>
                </w:tcPr>
                <w:p>
                  <w:r>
                    <w:rPr>
                      <w:rFonts w:ascii="Times New Roman" w:hAnsi="Times New Roman" w:eastAsia="바탕"/>
                      <w:sz w:val="18"/>
                    </w:rPr>
                    <w:t>259 held-out dishes, 4,805 frames</w:t>
                  </w:r>
                </w:p>
              </w:tc>
            </w:tr>
            <w:tr>
              <w:tc>
                <w:tcPr>
                  <w:tcW w:type="dxa" w:w="3238"/>
                </w:tcPr>
                <w:p>
                  <w:r>
                    <w:rPr>
                      <w:rFonts w:ascii="Times New Roman" w:hAnsi="Times New Roman" w:eastAsia="바탕"/>
                      <w:sz w:val="18"/>
                    </w:rPr>
                    <w:t>From what angle</w:t>
                  </w:r>
                </w:p>
              </w:tc>
              <w:tc>
                <w:tcPr>
                  <w:tcW w:type="dxa" w:w="3238"/>
                </w:tcPr>
                <w:p>
                  <w:r>
                    <w:rPr>
                      <w:rFonts w:ascii="Times New Roman" w:hAnsi="Times New Roman" w:eastAsia="바탕"/>
                      <w:sz w:val="18"/>
                    </w:rPr>
                    <w:t>overhead frames only</w:t>
                  </w:r>
                </w:p>
              </w:tc>
              <w:tc>
                <w:tcPr>
                  <w:tcW w:type="dxa" w:w="3238"/>
                </w:tcPr>
                <w:p>
                  <w:r>
                    <w:rPr>
                      <w:rFonts w:ascii="Times New Roman" w:hAnsi="Times New Roman" w:eastAsia="바탕"/>
                      <w:sz w:val="18"/>
                    </w:rPr>
                    <w:t>side frames</w:t>
                  </w:r>
                </w:p>
              </w:tc>
            </w:tr>
            <w:tr>
              <w:tc>
                <w:tcPr>
                  <w:tcW w:type="dxa" w:w="3238"/>
                </w:tcPr>
                <w:p>
                  <w:r>
                    <w:rPr>
                      <w:rFonts w:ascii="Times New Roman" w:hAnsi="Times New Roman" w:eastAsia="바탕"/>
                      <w:sz w:val="18"/>
                    </w:rPr>
                    <w:t>Running what</w:t>
                  </w:r>
                </w:p>
              </w:tc>
              <w:tc>
                <w:tcPr>
                  <w:tcW w:type="dxa" w:w="3238"/>
                </w:tcPr>
                <w:p>
                  <w:r>
                    <w:rPr>
                      <w:rFonts w:ascii="Consolas" w:hAnsi="Consolas" w:eastAsia="Consolas"/>
                      <w:sz w:val="17"/>
                    </w:rPr>
                    <w:t>web.onnx</w:t>
                  </w:r>
                </w:p>
              </w:tc>
              <w:tc>
                <w:tcPr>
                  <w:tcW w:type="dxa" w:w="3238"/>
                </w:tcPr>
                <w:p>
                  <w:r>
                    <w:rPr>
                      <w:rFonts w:ascii="Consolas" w:hAnsi="Consolas" w:eastAsia="Consolas"/>
                      <w:sz w:val="17"/>
                    </w:rPr>
                    <w:t>web.onnx</w:t>
                  </w:r>
                  <w:r>
                    <w:rPr>
                      <w:rFonts w:ascii="Times New Roman" w:hAnsi="Times New Roman" w:eastAsia="바탕"/>
                      <w:sz w:val="18"/>
                    </w:rPr>
                    <w:t xml:space="preserve"> (the same file)</w:t>
                  </w:r>
                </w:p>
              </w:tc>
            </w:tr>
            <w:tr>
              <w:tc>
                <w:tcPr>
                  <w:tcW w:type="dxa" w:w="3238"/>
                </w:tcPr>
                <w:p>
                  <w:r>
                    <w:rPr>
                      <w:rFonts w:ascii="Times New Roman" w:hAnsi="Times New Roman" w:eastAsia="바탕"/>
                      <w:sz w:val="18"/>
                    </w:rPr>
                    <w:t>Mean MAE%</w:t>
                  </w:r>
                </w:p>
              </w:tc>
              <w:tc>
                <w:tcPr>
                  <w:tcW w:type="dxa" w:w="3238"/>
                </w:tcPr>
                <w:p>
                  <w:r>
                    <w:rPr>
                      <w:rFonts w:ascii="Times New Roman" w:hAnsi="Times New Roman" w:eastAsia="바탕"/>
                      <w:sz w:val="18"/>
                    </w:rPr>
                    <w:t>26.75%</w:t>
                  </w:r>
                </w:p>
              </w:tc>
              <w:tc>
                <w:tcPr>
                  <w:tcW w:type="dxa" w:w="3238"/>
                </w:tcPr>
                <w:p>
                  <w:r>
                    <w:rPr>
                      <w:rFonts w:ascii="Times New Roman" w:hAnsi="Times New Roman" w:eastAsia="바탕"/>
                      <w:sz w:val="18"/>
                    </w:rPr>
                    <w:t>31.7%</w:t>
                  </w:r>
                </w:p>
              </w:tc>
            </w:tr>
            <w:tr>
              <w:tc>
                <w:tcPr>
                  <w:tcW w:type="dxa" w:w="3238"/>
                </w:tcPr>
                <w:p>
                  <w:r>
                    <w:rPr>
                      <w:rFonts w:ascii="Times New Roman" w:hAnsi="Times New Roman" w:eastAsia="바탕"/>
                      <w:sz w:val="18"/>
                    </w:rPr>
                    <w:t>Can it be re-measured now</w:t>
                  </w:r>
                </w:p>
              </w:tc>
              <w:tc>
                <w:tcPr>
                  <w:tcW w:type="dxa" w:w="3238"/>
                </w:tcPr>
                <w:p>
                  <w:r>
                    <w:rPr>
                      <w:rFonts w:ascii="Times New Roman" w:hAnsi="Times New Roman" w:eastAsia="바탕"/>
                      <w:sz w:val="18"/>
                    </w:rPr>
                    <w:t>No (the source is gone)</w:t>
                  </w:r>
                </w:p>
              </w:tc>
              <w:tc>
                <w:tcPr>
                  <w:tcW w:type="dxa" w:w="3238"/>
                </w:tcPr>
                <w:p>
                  <w:r>
                    <w:rPr>
                      <w:rFonts w:ascii="Times New Roman" w:hAnsi="Times New Roman" w:eastAsia="바탕"/>
                      <w:sz w:val="18"/>
                    </w:rPr>
                    <w:t>Yes</w:t>
                  </w:r>
                </w:p>
              </w:tc>
            </w:tr>
          </w:tbl>
          <w:p/>
          <w:p>
            <w:pPr>
              <w:spacing w:after="120"/>
            </w:pPr>
          </w:p>
          <w:p>
            <w:pPr>
              <w:spacing w:after="80" w:line="276" w:lineRule="auto"/>
              <w:jc w:val="both"/>
            </w:pPr>
            <w:r>
              <w:rPr>
                <w:rFonts w:ascii="Times New Roman" w:hAnsi="Times New Roman" w:eastAsia="바탕"/>
                <w:sz w:val="20"/>
              </w:rPr>
              <w:t>The difference between the two values is not the model getting worse but a difference in what is being measured. The official protocol uses only frames taken directly above the dish, whereas users of this app sit at a table and shoot at an angle. Side frames are closer to that angle, which makes 31.7% the value closer to the condition this app will actually meet. The former is the value comparable with the benchmark and the latter is the value that applies to our users, so both are recorded with the table stating which is which. If there is one thing checking citations against sources taught us while writing this document, it is that a value written down somewhere and what its source actually says are often different.</w:t>
            </w:r>
          </w:p>
          <w:p>
            <w:pPr>
              <w:spacing w:after="80" w:line="276" w:lineRule="auto"/>
              <w:jc w:val="both"/>
            </w:pPr>
            <w:r>
              <w:rPr>
                <w:rFonts w:ascii="Times New Roman" w:hAnsi="Times New Roman" w:eastAsia="바탕"/>
                <w:b/>
                <w:sz w:val="20"/>
              </w:rPr>
              <w:t>These figures must not be placed alongside the citation in §4.2.</w:t>
            </w:r>
            <w:r>
              <w:rPr>
                <w:rFonts w:ascii="Times New Roman" w:hAnsi="Times New Roman" w:eastAsia="바탕"/>
                <w:sz w:val="20"/>
              </w:rPr>
              <w:t xml:space="preserve"> The 253.7 kcal energy error from NutritionVerse-Direct was measured on a different dataset, NutritionVerse-Real, while our 58.12 kcal was measured on Nutrition5k. Different data means different difficulty, so comparing the magnitudes of the two is meaningless. The two are presented together not to rank them but to show that this field as a whole still cannot determine nutrition from a single photograph.</w:t>
            </w:r>
          </w:p>
          <w:p>
            <w:pPr>
              <w:spacing w:after="80" w:line="276" w:lineRule="auto"/>
              <w:jc w:val="both"/>
            </w:pPr>
            <w:r>
              <w:rPr>
                <w:rFonts w:ascii="Times New Roman" w:hAnsi="Times New Roman" w:eastAsia="바탕"/>
                <w:sz w:val="20"/>
              </w:rPr>
              <w:t xml:space="preserve">Our own values show that directly. Mass is comparatively better at 16.61%, but fat, carbohydrate and protein all exceed 30%. Fat at 4.21 g looks small in absolute terms, but the test set mean for fat is 12.8 g, which means </w:t>
            </w:r>
            <w:r>
              <w:rPr>
                <w:rFonts w:ascii="Times New Roman" w:hAnsi="Times New Roman" w:eastAsia="바탕"/>
                <w:b/>
                <w:sz w:val="20"/>
              </w:rPr>
              <w:t>roughly one dish in three is wrong on fat by a third</w:t>
            </w:r>
            <w:r>
              <w:rPr>
                <w:rFonts w:ascii="Times New Roman" w:hAnsi="Times New Roman" w:eastAsia="바탕"/>
                <w:sz w:val="20"/>
              </w:rPr>
              <w:t>. Energy at 58.12 kcal is 3.2% of the daily 1,800 kcal at age 70 in §2.4 and is tolerable on a daily basis, but taken against a 700 kcal meal it is 8%.</w:t>
            </w:r>
          </w:p>
          <w:p>
            <w:pPr>
              <w:spacing w:after="80" w:line="276" w:lineRule="auto"/>
              <w:jc w:val="both"/>
            </w:pPr>
            <w:r>
              <w:rPr>
                <w:rFonts w:ascii="Times New Roman" w:hAnsi="Times New Roman" w:eastAsia="바탕"/>
                <w:sz w:val="20"/>
              </w:rPr>
              <w:t>Values from this route are therefore not trusted on the grounds of accuracy. What justifies putting this route on screen is that it passed the physical checks in §4.2 and that the verdict is presented not as this single value but as a share of the user's own reference. For products carrying a nutrition label this route is not used.</w:t>
            </w:r>
          </w:p>
          <w:p>
            <w:pPr>
              <w:spacing w:before="160" w:after="60"/>
              <w:jc w:val="center"/>
            </w:pPr>
            <w:r>
              <w:drawing>
                <wp:inline xmlns:a="http://schemas.openxmlformats.org/drawingml/2006/main" xmlns:pic="http://schemas.openxmlformats.org/drawingml/2006/picture">
                  <wp:extent cx="5486400" cy="2651760"/>
                  <wp:docPr id="40" name="Picture 40"/>
                  <wp:cNvGraphicFramePr>
                    <a:graphicFrameLocks noChangeAspect="1"/>
                  </wp:cNvGraphicFramePr>
                  <a:graphic>
                    <a:graphicData uri="http://schemas.openxmlformats.org/drawingml/2006/picture">
                      <pic:pic>
                        <pic:nvPicPr>
                          <pic:cNvPr id="0" name="chart08_model_mae.png"/>
                          <pic:cNvPicPr/>
                        </pic:nvPicPr>
                        <pic:blipFill>
                          <a:blip r:embed="rId57"/>
                          <a:stretch>
                            <a:fillRect/>
                          </a:stretch>
                        </pic:blipFill>
                        <pic:spPr>
                          <a:xfrm>
                            <a:off x="0" y="0"/>
                            <a:ext cx="5486400" cy="265176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40]</w:t>
            </w:r>
            <w:r>
              <w:rPr>
                <w:rFonts w:ascii="Times New Roman" w:hAnsi="Times New Roman" w:eastAsia="바탕"/>
                <w:color w:val="606068"/>
                <w:sz w:val="18"/>
              </w:rPr>
              <w:t xml:space="preserve"> Per-item MAE% of the nutrition estimation model (n = 507). The dashed line is the mean across the five items (26.75%). Mass and energy are relatively better and the trace items get worse, because a photograph of a plate shows volume but not composition. The same volume of rice and the same volume of fried food have similar mass and completely different fat.</w:t>
            </w:r>
          </w:p>
          <w:p>
            <w:pPr>
              <w:spacing w:before="120" w:after="20"/>
            </w:pPr>
            <w:r>
              <w:rPr>
                <w:rFonts w:ascii="Times New Roman" w:hAnsi="Times New Roman" w:eastAsia="바탕"/>
                <w:b/>
                <w:sz w:val="21"/>
              </w:rPr>
              <w:t>5.5.1 Quantisation not applied</w:t>
            </w:r>
          </w:p>
          <w:p>
            <w:pPr>
              <w:spacing w:after="80" w:line="276" w:lineRule="auto"/>
              <w:jc w:val="both"/>
            </w:pPr>
            <w:r>
              <w:rPr>
                <w:rFonts w:ascii="Times New Roman" w:hAnsi="Times New Roman" w:eastAsia="바탕"/>
                <w:sz w:val="20"/>
              </w:rPr>
              <w:t>An int8 quantised build reducing the model to 4.86 MB was also exported but not deployed.</w:t>
            </w:r>
          </w:p>
          <w:p>
            <w:pPr>
              <w:spacing w:after="80" w:line="276" w:lineRule="auto"/>
              <w:jc w:val="both"/>
            </w:pPr>
            <w:r>
              <w:rPr>
                <w:rFonts w:ascii="Times New Roman" w:hAnsi="Times New Roman" w:eastAsia="바탕"/>
                <w:sz w:val="20"/>
              </w:rPr>
              <w:t>[Table 40] float32 compared with int8</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tc>
              <w:tc>
                <w:tcPr>
                  <w:tcW w:type="dxa" w:w="2429"/>
                  <w:shd w:val="clear" w:fill="F2F2F2"/>
                </w:tcPr>
                <w:p>
                  <w:r>
                    <w:rPr>
                      <w:rFonts w:ascii="Times New Roman" w:hAnsi="Times New Roman" w:eastAsia="바탕"/>
                      <w:b/>
                      <w:sz w:val="18"/>
                    </w:rPr>
                    <w:t>Size</w:t>
                  </w:r>
                </w:p>
              </w:tc>
              <w:tc>
                <w:tcPr>
                  <w:tcW w:type="dxa" w:w="2429"/>
                  <w:shd w:val="clear" w:fill="F2F2F2"/>
                </w:tcPr>
                <w:p>
                  <w:r>
                    <w:rPr>
                      <w:rFonts w:ascii="Times New Roman" w:hAnsi="Times New Roman" w:eastAsia="바탕"/>
                      <w:b/>
                      <w:sz w:val="18"/>
                    </w:rPr>
                    <w:t>Mean MAE%</w:t>
                  </w:r>
                </w:p>
              </w:tc>
              <w:tc>
                <w:tcPr>
                  <w:tcW w:type="dxa" w:w="2429"/>
                  <w:shd w:val="clear" w:fill="F2F2F2"/>
                </w:tcPr>
                <w:p>
                  <w:r>
                    <w:rPr>
                      <w:rFonts w:ascii="Times New Roman" w:hAnsi="Times New Roman" w:eastAsia="바탕"/>
                      <w:b/>
                      <w:sz w:val="18"/>
                    </w:rPr>
                    <w:t>Energy MAE</w:t>
                  </w:r>
                </w:p>
              </w:tc>
            </w:tr>
            <w:tr>
              <w:tc>
                <w:tcPr>
                  <w:tcW w:type="dxa" w:w="2429"/>
                </w:tcPr>
                <w:p>
                  <w:r>
                    <w:rPr>
                      <w:rFonts w:ascii="Times New Roman" w:hAnsi="Times New Roman" w:eastAsia="바탕"/>
                      <w:sz w:val="18"/>
                    </w:rPr>
                    <w:t>float32 (deployed)</w:t>
                  </w:r>
                </w:p>
              </w:tc>
              <w:tc>
                <w:tcPr>
                  <w:tcW w:type="dxa" w:w="2429"/>
                </w:tcPr>
                <w:p>
                  <w:r>
                    <w:rPr>
                      <w:rFonts w:ascii="Times New Roman" w:hAnsi="Times New Roman" w:eastAsia="바탕"/>
                      <w:sz w:val="18"/>
                    </w:rPr>
                    <w:t>16.04 MB</w:t>
                  </w:r>
                </w:p>
              </w:tc>
              <w:tc>
                <w:tcPr>
                  <w:tcW w:type="dxa" w:w="2429"/>
                </w:tcPr>
                <w:p>
                  <w:r>
                    <w:rPr>
                      <w:rFonts w:ascii="Times New Roman" w:hAnsi="Times New Roman" w:eastAsia="바탕"/>
                      <w:b/>
                      <w:sz w:val="18"/>
                    </w:rPr>
                    <w:t>26.75%</w:t>
                  </w:r>
                </w:p>
              </w:tc>
              <w:tc>
                <w:tcPr>
                  <w:tcW w:type="dxa" w:w="2429"/>
                </w:tcPr>
                <w:p>
                  <w:r>
                    <w:rPr>
                      <w:rFonts w:ascii="Times New Roman" w:hAnsi="Times New Roman" w:eastAsia="바탕"/>
                      <w:sz w:val="18"/>
                    </w:rPr>
                    <w:t>58.12 kcal</w:t>
                  </w:r>
                </w:p>
              </w:tc>
            </w:tr>
            <w:tr>
              <w:tc>
                <w:tcPr>
                  <w:tcW w:type="dxa" w:w="2429"/>
                </w:tcPr>
                <w:p>
                  <w:r>
                    <w:rPr>
                      <w:rFonts w:ascii="Times New Roman" w:hAnsi="Times New Roman" w:eastAsia="바탕"/>
                      <w:sz w:val="18"/>
                    </w:rPr>
                    <w:t>int8</w:t>
                  </w:r>
                </w:p>
              </w:tc>
              <w:tc>
                <w:tcPr>
                  <w:tcW w:type="dxa" w:w="2429"/>
                </w:tcPr>
                <w:p>
                  <w:r>
                    <w:rPr>
                      <w:rFonts w:ascii="Times New Roman" w:hAnsi="Times New Roman" w:eastAsia="바탕"/>
                      <w:sz w:val="18"/>
                    </w:rPr>
                    <w:t>4.86 MB</w:t>
                  </w:r>
                </w:p>
              </w:tc>
              <w:tc>
                <w:tcPr>
                  <w:tcW w:type="dxa" w:w="2429"/>
                </w:tcPr>
                <w:p>
                  <w:r>
                    <w:rPr>
                      <w:rFonts w:ascii="Times New Roman" w:hAnsi="Times New Roman" w:eastAsia="바탕"/>
                      <w:sz w:val="18"/>
                    </w:rPr>
                    <w:t>52.51%</w:t>
                  </w:r>
                </w:p>
              </w:tc>
              <w:tc>
                <w:tcPr>
                  <w:tcW w:type="dxa" w:w="2429"/>
                </w:tcPr>
                <w:p>
                  <w:r>
                    <w:rPr>
                      <w:rFonts w:ascii="Times New Roman" w:hAnsi="Times New Roman" w:eastAsia="바탕"/>
                      <w:sz w:val="18"/>
                    </w:rPr>
                    <w:t>106.21 kcal</w:t>
                  </w:r>
                </w:p>
              </w:tc>
            </w:tr>
          </w:tbl>
          <w:p/>
          <w:p>
            <w:pPr>
              <w:spacing w:after="120"/>
            </w:pPr>
          </w:p>
          <w:p>
            <w:pPr>
              <w:spacing w:after="80" w:line="276" w:lineRule="auto"/>
              <w:jc w:val="both"/>
            </w:pPr>
            <w:r>
              <w:rPr>
                <w:rFonts w:ascii="Times New Roman" w:hAnsi="Times New Roman" w:eastAsia="바탕"/>
                <w:sz w:val="20"/>
              </w:rPr>
              <w:t xml:space="preserve">The size falls to a third while the error roughly doubles. For an app targeting places with slow networks, saving 11 MB is no small temptation, but energy error growing from 58 kcal to 106 kcal widens the band in which the verdict flips. </w:t>
            </w:r>
            <w:r>
              <w:rPr>
                <w:rFonts w:ascii="Times New Roman" w:hAnsi="Times New Roman" w:eastAsia="바탕"/>
                <w:b/>
                <w:sz w:val="20"/>
              </w:rPr>
              <w:t>Deciding in §4.5 not to prefetch this model but to fetch it on first use is the counterpart to this choice.</w:t>
            </w:r>
            <w:r>
              <w:rPr>
                <w:rFonts w:ascii="Times New Roman" w:hAnsi="Times New Roman" w:eastAsia="바탕"/>
                <w:sz w:val="20"/>
              </w:rPr>
              <w:t xml:space="preserve"> Instead of trading accuracy for size, the size was kept and the moment of fetching deferred.</w:t>
            </w:r>
          </w:p>
          <w:p>
            <w:pPr>
              <w:spacing w:before="180" w:after="40"/>
            </w:pPr>
            <w:r>
              <w:rPr>
                <w:rFonts w:ascii="Times New Roman" w:hAnsi="Times New Roman" w:eastAsia="바탕"/>
                <w:b/>
                <w:sz w:val="23"/>
              </w:rPr>
              <w:t>5.6 Measured offline operation</w:t>
            </w:r>
          </w:p>
          <w:p>
            <w:pPr>
              <w:spacing w:after="80" w:line="276" w:lineRule="auto"/>
              <w:jc w:val="both"/>
            </w:pPr>
            <w:r>
              <w:rPr>
                <w:rFonts w:ascii="Times New Roman" w:hAnsi="Times New Roman" w:eastAsia="바탕"/>
                <w:sz w:val="20"/>
              </w:rPr>
              <w:t>The claim that verdicts are computed on the device without an internet connection was verified. After building for deployment, the following were confirmed with the server shut down.</w:t>
            </w:r>
          </w:p>
          <w:p>
            <w:pPr>
              <w:spacing w:after="80" w:line="276" w:lineRule="auto"/>
              <w:jc w:val="both"/>
            </w:pPr>
            <w:r>
              <w:rPr>
                <w:rFonts w:ascii="Times New Roman" w:hAnsi="Times New Roman" w:eastAsia="바탕"/>
                <w:sz w:val="20"/>
              </w:rPr>
              <w:t>[Table 41] Offline operation check</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Item checked</w:t>
                  </w:r>
                </w:p>
              </w:tc>
              <w:tc>
                <w:tcPr>
                  <w:tcW w:type="dxa" w:w="4857"/>
                  <w:shd w:val="clear" w:fill="F2F2F2"/>
                </w:tcPr>
                <w:p>
                  <w:r>
                    <w:rPr>
                      <w:rFonts w:ascii="Times New Roman" w:hAnsi="Times New Roman" w:eastAsia="바탕"/>
                      <w:b/>
                      <w:sz w:val="18"/>
                    </w:rPr>
                    <w:t>Result</w:t>
                  </w:r>
                </w:p>
              </w:tc>
            </w:tr>
            <w:tr>
              <w:tc>
                <w:tcPr>
                  <w:tcW w:type="dxa" w:w="4857"/>
                </w:tcPr>
                <w:p>
                  <w:r>
                    <w:rPr>
                      <w:rFonts w:ascii="Times New Roman" w:hAnsi="Times New Roman" w:eastAsia="바탕"/>
                      <w:sz w:val="18"/>
                    </w:rPr>
                    <w:t>Does the app open</w:t>
                  </w:r>
                </w:p>
              </w:tc>
              <w:tc>
                <w:tcPr>
                  <w:tcW w:type="dxa" w:w="4857"/>
                </w:tcPr>
                <w:p>
                  <w:r>
                    <w:rPr>
                      <w:rFonts w:ascii="Times New Roman" w:hAnsi="Times New Roman" w:eastAsia="바탕"/>
                      <w:sz w:val="18"/>
                    </w:rPr>
                    <w:t>Normal</w:t>
                  </w:r>
                </w:p>
              </w:tc>
            </w:tr>
            <w:tr>
              <w:tc>
                <w:tcPr>
                  <w:tcW w:type="dxa" w:w="4857"/>
                </w:tcPr>
                <w:p>
                  <w:r>
                    <w:rPr>
                      <w:rFonts w:ascii="Times New Roman" w:hAnsi="Times New Roman" w:eastAsia="바탕"/>
                      <w:sz w:val="18"/>
                    </w:rPr>
                    <w:t>Does the nutrition model (16 MB) respond</w:t>
                  </w:r>
                </w:p>
              </w:tc>
              <w:tc>
                <w:tcPr>
                  <w:tcW w:type="dxa" w:w="4857"/>
                </w:tcPr>
                <w:p>
                  <w:r>
                    <w:rPr>
                      <w:rFonts w:ascii="Times New Roman" w:hAnsi="Times New Roman" w:eastAsia="바탕"/>
                      <w:sz w:val="18"/>
                    </w:rPr>
                    <w:t>200 from cache</w:t>
                  </w:r>
                </w:p>
              </w:tc>
            </w:tr>
            <w:tr>
              <w:tc>
                <w:tcPr>
                  <w:tcW w:type="dxa" w:w="4857"/>
                </w:tcPr>
                <w:p>
                  <w:r>
                    <w:rPr>
                      <w:rFonts w:ascii="Times New Roman" w:hAnsi="Times New Roman" w:eastAsia="바탕"/>
                      <w:sz w:val="18"/>
                    </w:rPr>
                    <w:t>Does navigation work</w:t>
                  </w:r>
                </w:p>
              </w:tc>
              <w:tc>
                <w:tcPr>
                  <w:tcW w:type="dxa" w:w="4857"/>
                </w:tcPr>
                <w:p>
                  <w:r>
                    <w:rPr>
                      <w:rFonts w:ascii="Times New Roman" w:hAnsi="Times New Roman" w:eastAsia="바탕"/>
                      <w:sz w:val="18"/>
                    </w:rPr>
                    <w:t>Normal</w:t>
                  </w:r>
                </w:p>
              </w:tc>
            </w:tr>
          </w:tbl>
          <w:p/>
          <w:p>
            <w:pPr>
              <w:spacing w:after="120"/>
            </w:pPr>
          </w:p>
          <w:p>
            <w:pPr>
              <w:spacing w:after="80" w:line="276" w:lineRule="auto"/>
              <w:jc w:val="both"/>
            </w:pPr>
            <w:r>
              <w:rPr>
                <w:rFonts w:ascii="Times New Roman" w:hAnsi="Times New Roman" w:eastAsia="바탕"/>
                <w:sz w:val="20"/>
              </w:rPr>
              <w:t>In the course of this the model file was found to be missing from the service worker's cache list and was fixed. Before the fix, the computation ran on the device while the model to perform it could not be downloaded. Having a registered service worker and the app running end to end with the connection cut are different facts, and this defect would not have surfaced had only the former been checked.</w:t>
            </w:r>
          </w:p>
          <w:p>
            <w:pPr>
              <w:spacing w:after="80" w:line="276" w:lineRule="auto"/>
              <w:jc w:val="both"/>
            </w:pPr>
            <w:r>
              <w:rPr>
                <w:rFonts w:ascii="Times New Roman" w:hAnsi="Times New Roman" w:eastAsia="바탕"/>
                <w:sz w:val="20"/>
              </w:rPr>
              <w:t>What survives when the connection drops and what does not divides as follows. With the connection cut, prescriptions and nutrition labels are still read, because text recognition and form parsing run entirely on the device (§3.3). Food photograph estimation half survives. The on-device nutrition model runs from cache, but the vision model that identifies what the food is sits on the server, so values are produced while the item is treated as unrecognised and displayed as caution. Pictograms in the static list appear and ones that would have to be newly composed do not.</w:t>
            </w:r>
          </w:p>
          <w:p>
            <w:pPr>
              <w:spacing w:after="80" w:line="276" w:lineRule="auto"/>
              <w:jc w:val="both"/>
            </w:pPr>
            <w:r>
              <w:rPr>
                <w:rFonts w:ascii="Times New Roman" w:hAnsi="Times New Roman" w:eastAsia="바탕"/>
                <w:sz w:val="20"/>
              </w:rPr>
              <w:t>This division matches the boundary described in §4.5. The most urgent things were placed on the device, so what dies first when the connection drops is the least urgent route. This check was made by cutting the connection in developer tools, however, rather than measured in an actual low-bandwidth environment. Having no connection and having a slow one fail differently, and the latter has not yet been measured (§5.9).</w:t>
            </w:r>
          </w:p>
          <w:p>
            <w:pPr>
              <w:spacing w:after="80" w:line="276" w:lineRule="auto"/>
              <w:jc w:val="both"/>
            </w:pPr>
            <w:r>
              <w:rPr>
                <w:rFonts w:ascii="Times New Roman" w:hAnsi="Times New Roman" w:eastAsia="바탕"/>
                <w:sz w:val="20"/>
              </w:rPr>
              <w:t>What this measurement does not say is also recorded. Only a completely severed connection was measured, so as the fifth item of §5.9 records, a slow connection was not. And it was measured after the service worker had already filled its cache. Someone opening the app for the first time has to download 16 MB, and how long that download takes on the connections of the target regions was not measured either. What this section shows is behaviour after installation, not installation itself.</w:t>
            </w:r>
          </w:p>
          <w:p>
            <w:pPr>
              <w:spacing w:before="180" w:after="40"/>
            </w:pPr>
            <w:r>
              <w:rPr>
                <w:rFonts w:ascii="Times New Roman" w:hAnsi="Times New Roman" w:eastAsia="바탕"/>
                <w:b/>
                <w:sz w:val="23"/>
              </w:rPr>
              <w:t>5.7 Expert opinion survey</w:t>
            </w:r>
          </w:p>
          <w:p>
            <w:pPr>
              <w:spacing w:after="80" w:line="276" w:lineRule="auto"/>
              <w:jc w:val="both"/>
            </w:pPr>
            <w:r>
              <w:rPr>
                <w:rFonts w:ascii="Times New Roman" w:hAnsi="Times New Roman" w:eastAsia="바탕"/>
                <w:sz w:val="20"/>
              </w:rPr>
              <w:t xml:space="preserve">As stated in §5.4, every measurement up to this point has been a machine scoring a machine. So we asked people. The people we asked, however, are not low-literate patients but those who deal with such patients every day. Because that distinction matters, we state it first. </w:t>
            </w:r>
            <w:r>
              <w:rPr>
                <w:rFonts w:ascii="Times New Roman" w:hAnsi="Times New Roman" w:eastAsia="바탕"/>
                <w:b/>
                <w:sz w:val="20"/>
              </w:rPr>
              <w:t>This survey does not stand in for the comprehension testing of §5.9.</w:t>
            </w:r>
            <w:r>
              <w:rPr>
                <w:rFonts w:ascii="Times New Roman" w:hAnsi="Times New Roman" w:eastAsia="바탕"/>
                <w:sz w:val="20"/>
              </w:rPr>
              <w:t xml:space="preserve"> An expert answering that "a patient would probably be able to read this" does not mean a patient read it.</w:t>
            </w:r>
          </w:p>
          <w:p>
            <w:pPr>
              <w:spacing w:after="80" w:line="276" w:lineRule="auto"/>
              <w:jc w:val="both"/>
            </w:pPr>
            <w:r>
              <w:rPr>
                <w:rFonts w:ascii="Times New Roman" w:hAnsi="Times New Roman" w:eastAsia="바탕"/>
                <w:sz w:val="20"/>
              </w:rPr>
              <w:t>What was asked about should be stated here as well. §1.13 sets out eleven conditions as the target of this app, and what this survey asked about is not all of them but the condition taken as the design standard, namely a person who cannot read. We did not ask how these screens would be for someone with attention deficit hyperactivity disorder or autism. One harshest condition was fixed and the questions were about that condition, and if the inclusion of §1.13 holds then those answers reach some way into the other conditions, but how far they reach is not something this survey measured.</w:t>
            </w:r>
          </w:p>
          <w:p>
            <w:pPr>
              <w:spacing w:after="80" w:line="276" w:lineRule="auto"/>
              <w:jc w:val="both"/>
            </w:pPr>
            <w:r>
              <w:rPr>
                <w:rFonts w:ascii="Times New Roman" w:hAnsi="Times New Roman" w:eastAsia="바탕"/>
                <w:sz w:val="20"/>
              </w:rPr>
              <w:t>The list was not drawn on that one condition alone, though. Two of the eight fields in Table 43 are AAC and special education, and adult literacy education, and among the 39 who actually responded, E. A. Draffan, retired speech and language therapist and visiting fellow in accessibility at Global Symbols and the University of Southampton; Raisa Kravchenko, Deputy Director of the All Ukrainian NGO Coalition for Persons with Intellectual Disabilities; Professor Youngmee Lee of the Department of Communication Disorders at Ewha Womans University; Professor Eunkyung Kim of Kongju National University; and Myojeong Choi, Researcher, and Kyoungseo Park, Assistant Manager, of the Korea Disabled People's Development Institute all hold posts that deal with intellectual disability, autism and communication disorders. Associate Professor Rahul Malhotra of Duke-NUS is a researcher on ageing. What they answered were questions about low-literacy users, but the people who wrote those answers already overlap with the conditions §1.13 widened to.</w:t>
            </w:r>
          </w:p>
          <w:p>
            <w:pPr>
              <w:spacing w:before="120" w:after="20"/>
            </w:pPr>
            <w:r>
              <w:rPr>
                <w:rFonts w:ascii="Times New Roman" w:hAnsi="Times New Roman" w:eastAsia="바탕"/>
                <w:b/>
                <w:sz w:val="21"/>
              </w:rPr>
              <w:t>5.7.1 How the list was built</w:t>
            </w:r>
          </w:p>
          <w:p>
            <w:pPr>
              <w:spacing w:after="80" w:line="276" w:lineRule="auto"/>
              <w:jc w:val="both"/>
            </w:pPr>
            <w:r>
              <w:rPr>
                <w:rFonts w:ascii="Times New Roman" w:hAnsi="Times New Roman" w:eastAsia="바탕"/>
                <w:sz w:val="20"/>
              </w:rPr>
              <w:t>The list was not built in one pass. It was researched separately across eight domains and then combined. Searching sequentially, one person carries the criteria of the first domain into the later ones and the sample tilts one way. Researching by domain means people are chosen by the standards of each field.</w:t>
            </w:r>
          </w:p>
          <w:p>
            <w:pPr>
              <w:spacing w:after="80" w:line="276" w:lineRule="auto"/>
              <w:jc w:val="both"/>
            </w:pPr>
            <w:r>
              <w:rPr>
                <w:rFonts w:ascii="Times New Roman" w:hAnsi="Times New Roman" w:eastAsia="바탕"/>
                <w:sz w:val="20"/>
              </w:rPr>
              <w:t>[Table 42] The eight domains of the list (846 in total)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Domain</w:t>
                  </w:r>
                </w:p>
              </w:tc>
              <w:tc>
                <w:tcPr>
                  <w:tcW w:type="dxa" w:w="3238"/>
                  <w:shd w:val="clear" w:fill="F2F2F2"/>
                </w:tcPr>
                <w:p>
                  <w:r>
                    <w:rPr>
                      <w:rFonts w:ascii="Times New Roman" w:hAnsi="Times New Roman" w:eastAsia="바탕"/>
                      <w:b/>
                      <w:sz w:val="18"/>
                    </w:rPr>
                    <w:t>Count</w:t>
                  </w:r>
                </w:p>
              </w:tc>
              <w:tc>
                <w:tcPr>
                  <w:tcW w:type="dxa" w:w="3238"/>
                  <w:shd w:val="clear" w:fill="F2F2F2"/>
                </w:tcPr>
                <w:p>
                  <w:r>
                    <w:rPr>
                      <w:rFonts w:ascii="Times New Roman" w:hAnsi="Times New Roman" w:eastAsia="바탕"/>
                      <w:b/>
                      <w:sz w:val="18"/>
                    </w:rPr>
                    <w:t>On what criteria they were chosen</w:t>
                  </w:r>
                </w:p>
              </w:tc>
            </w:tr>
            <w:tr>
              <w:tc>
                <w:tcPr>
                  <w:tcW w:type="dxa" w:w="3238"/>
                </w:tcPr>
                <w:p>
                  <w:r>
                    <w:rPr>
                      <w:rFonts w:ascii="Times New Roman" w:hAnsi="Times New Roman" w:eastAsia="바탕"/>
                      <w:sz w:val="18"/>
                    </w:rPr>
                    <w:t>Korean pharmacy schools</w:t>
                  </w:r>
                </w:p>
              </w:tc>
              <w:tc>
                <w:tcPr>
                  <w:tcW w:type="dxa" w:w="3238"/>
                </w:tcPr>
                <w:p>
                  <w:r>
                    <w:rPr>
                      <w:rFonts w:ascii="Times New Roman" w:hAnsi="Times New Roman" w:eastAsia="바탕"/>
                      <w:sz w:val="18"/>
                    </w:rPr>
                    <w:t>109</w:t>
                  </w:r>
                </w:p>
              </w:tc>
              <w:tc>
                <w:tcPr>
                  <w:tcW w:type="dxa" w:w="3238"/>
                </w:tcPr>
                <w:p>
                  <w:r>
                    <w:rPr>
                      <w:rFonts w:ascii="Times New Roman" w:hAnsi="Times New Roman" w:eastAsia="바탕"/>
                      <w:sz w:val="18"/>
                    </w:rPr>
                    <w:t>8 with direct contact in counselling and patient communication, 16 in social pharmacy, 45 in clinical pharmacy and pharmacotherapy, 26 in pharmacoepidemiology, medicines policy and health informatics</w:t>
                  </w:r>
                </w:p>
              </w:tc>
            </w:tr>
            <w:tr>
              <w:tc>
                <w:tcPr>
                  <w:tcW w:type="dxa" w:w="3238"/>
                </w:tcPr>
                <w:p>
                  <w:r>
                    <w:rPr>
                      <w:rFonts w:ascii="Times New Roman" w:hAnsi="Times New Roman" w:eastAsia="바탕"/>
                      <w:sz w:val="18"/>
                    </w:rPr>
                    <w:t>Korean nursing and public health</w:t>
                  </w:r>
                </w:p>
              </w:tc>
              <w:tc>
                <w:tcPr>
                  <w:tcW w:type="dxa" w:w="3238"/>
                </w:tcPr>
                <w:p>
                  <w:r>
                    <w:rPr>
                      <w:rFonts w:ascii="Times New Roman" w:hAnsi="Times New Roman" w:eastAsia="바탕"/>
                      <w:sz w:val="18"/>
                    </w:rPr>
                    <w:t>64</w:t>
                  </w:r>
                </w:p>
              </w:tc>
              <w:tc>
                <w:tcPr>
                  <w:tcW w:type="dxa" w:w="3238"/>
                </w:tcPr>
                <w:p>
                  <w:r>
                    <w:rPr>
                      <w:rFonts w:ascii="Times New Roman" w:hAnsi="Times New Roman" w:eastAsia="바탕"/>
                      <w:sz w:val="18"/>
                    </w:rPr>
                    <w:t>18 health-literacy researchers, 10 in digital and e-health literacy, 5 in migrant and multicultural health, 11 in gerontological and community nursing, 12 in health education and policy</w:t>
                  </w:r>
                </w:p>
              </w:tc>
            </w:tr>
            <w:tr>
              <w:tc>
                <w:tcPr>
                  <w:tcW w:type="dxa" w:w="3238"/>
                </w:tcPr>
                <w:p>
                  <w:r>
                    <w:rPr>
                      <w:rFonts w:ascii="Times New Roman" w:hAnsi="Times New Roman" w:eastAsia="바탕"/>
                      <w:sz w:val="18"/>
                    </w:rPr>
                    <w:t>Korean HCI and design</w:t>
                  </w:r>
                </w:p>
              </w:tc>
              <w:tc>
                <w:tcPr>
                  <w:tcW w:type="dxa" w:w="3238"/>
                </w:tcPr>
                <w:p>
                  <w:r>
                    <w:rPr>
                      <w:rFonts w:ascii="Times New Roman" w:hAnsi="Times New Roman" w:eastAsia="바탕"/>
                      <w:sz w:val="18"/>
                    </w:rPr>
                    <w:t>86</w:t>
                  </w:r>
                </w:p>
              </w:tc>
              <w:tc>
                <w:tcPr>
                  <w:tcW w:type="dxa" w:w="3238"/>
                </w:tcPr>
                <w:p>
                  <w:r>
                    <w:rPr>
                      <w:rFonts w:ascii="Times New Roman" w:hAnsi="Times New Roman" w:eastAsia="바탕"/>
                      <w:sz w:val="18"/>
                    </w:rPr>
                    <w:t>23 core HCI, 21 information design, pictograms and universal design, 15 security and privacy, 6 voice and audio</w:t>
                  </w:r>
                </w:p>
              </w:tc>
            </w:tr>
            <w:tr>
              <w:tc>
                <w:tcPr>
                  <w:tcW w:type="dxa" w:w="3238"/>
                </w:tcPr>
                <w:p>
                  <w:r>
                    <w:rPr>
                      <w:rFonts w:ascii="Times New Roman" w:hAnsi="Times New Roman" w:eastAsia="바탕"/>
                      <w:sz w:val="18"/>
                    </w:rPr>
                    <w:t>Korean literacy and special education</w:t>
                  </w:r>
                </w:p>
              </w:tc>
              <w:tc>
                <w:tcPr>
                  <w:tcW w:type="dxa" w:w="3238"/>
                </w:tcPr>
                <w:p>
                  <w:r>
                    <w:rPr>
                      <w:rFonts w:ascii="Times New Roman" w:hAnsi="Times New Roman" w:eastAsia="바탕"/>
                      <w:sz w:val="18"/>
                    </w:rPr>
                    <w:t>92</w:t>
                  </w:r>
                </w:p>
              </w:tc>
              <w:tc>
                <w:tcPr>
                  <w:tcW w:type="dxa" w:w="3238"/>
                </w:tcPr>
                <w:p>
                  <w:r>
                    <w:rPr>
                      <w:rFonts w:ascii="Times New Roman" w:hAnsi="Times New Roman" w:eastAsia="바탕"/>
                      <w:sz w:val="18"/>
                    </w:rPr>
                    <w:t>11 in AAC and graphic symbol design, 19 in adult literacy and lifelong education, 38 in intellectual disability and special-education technology, 5 in multicultural education</w:t>
                  </w:r>
                </w:p>
              </w:tc>
            </w:tr>
            <w:tr>
              <w:tc>
                <w:tcPr>
                  <w:tcW w:type="dxa" w:w="3238"/>
                </w:tcPr>
                <w:p>
                  <w:r>
                    <w:rPr>
                      <w:rFonts w:ascii="Times New Roman" w:hAnsi="Times New Roman" w:eastAsia="바탕"/>
                      <w:sz w:val="18"/>
                    </w:rPr>
                    <w:t>International pictogram research</w:t>
                  </w:r>
                </w:p>
              </w:tc>
              <w:tc>
                <w:tcPr>
                  <w:tcW w:type="dxa" w:w="3238"/>
                </w:tcPr>
                <w:p>
                  <w:r>
                    <w:rPr>
                      <w:rFonts w:ascii="Times New Roman" w:hAnsi="Times New Roman" w:eastAsia="바탕"/>
                      <w:sz w:val="18"/>
                    </w:rPr>
                    <w:t>78</w:t>
                  </w:r>
                </w:p>
              </w:tc>
              <w:tc>
                <w:tcPr>
                  <w:tcW w:type="dxa" w:w="3238"/>
                </w:tcPr>
                <w:p>
                  <w:r>
                    <w:rPr>
                      <w:rFonts w:ascii="Times New Roman" w:hAnsi="Times New Roman" w:eastAsia="바탕"/>
                      <w:sz w:val="18"/>
                    </w:rPr>
                    <w:t>38 on pictogram comprehension and validation, 27 on medicine label comprehension and health literacy, 5 institutional addresses</w:t>
                  </w:r>
                </w:p>
              </w:tc>
            </w:tr>
            <w:tr>
              <w:tc>
                <w:tcPr>
                  <w:tcW w:type="dxa" w:w="3238"/>
                </w:tcPr>
                <w:p>
                  <w:r>
                    <w:rPr>
                      <w:rFonts w:ascii="Times New Roman" w:hAnsi="Times New Roman" w:eastAsia="바탕"/>
                      <w:sz w:val="18"/>
                    </w:rPr>
                    <w:t>International pharmacy</w:t>
                  </w:r>
                </w:p>
              </w:tc>
              <w:tc>
                <w:tcPr>
                  <w:tcW w:type="dxa" w:w="3238"/>
                </w:tcPr>
                <w:p>
                  <w:r>
                    <w:rPr>
                      <w:rFonts w:ascii="Times New Roman" w:hAnsi="Times New Roman" w:eastAsia="바탕"/>
                      <w:sz w:val="18"/>
                    </w:rPr>
                    <w:t>221</w:t>
                  </w:r>
                </w:p>
              </w:tc>
              <w:tc>
                <w:tcPr>
                  <w:tcW w:type="dxa" w:w="3238"/>
                </w:tcPr>
                <w:p>
                  <w:r>
                    <w:rPr>
                      <w:rFonts w:ascii="Times New Roman" w:hAnsi="Times New Roman" w:eastAsia="바탕"/>
                      <w:sz w:val="18"/>
                    </w:rPr>
                    <w:t>By department rather than by individual. Utrecht 71, Ohio State 30, Nottingham 25, Western Cape 17 and others</w:t>
                  </w:r>
                </w:p>
              </w:tc>
            </w:tr>
            <w:tr>
              <w:tc>
                <w:tcPr>
                  <w:tcW w:type="dxa" w:w="3238"/>
                </w:tcPr>
                <w:p>
                  <w:r>
                    <w:rPr>
                      <w:rFonts w:ascii="Times New Roman" w:hAnsi="Times New Roman" w:eastAsia="바탕"/>
                      <w:sz w:val="18"/>
                    </w:rPr>
                    <w:t>International HCI</w:t>
                  </w:r>
                </w:p>
              </w:tc>
              <w:tc>
                <w:tcPr>
                  <w:tcW w:type="dxa" w:w="3238"/>
                </w:tcPr>
                <w:p>
                  <w:r>
                    <w:rPr>
                      <w:rFonts w:ascii="Times New Roman" w:hAnsi="Times New Roman" w:eastAsia="바탕"/>
                      <w:sz w:val="18"/>
                    </w:rPr>
                    <w:t>88</w:t>
                  </w:r>
                </w:p>
              </w:tc>
              <w:tc>
                <w:tcPr>
                  <w:tcW w:type="dxa" w:w="3238"/>
                </w:tcPr>
                <w:p>
                  <w:r>
                    <w:rPr>
                      <w:rFonts w:ascii="Times New Roman" w:hAnsi="Times New Roman" w:eastAsia="바탕"/>
                      <w:sz w:val="18"/>
                    </w:rPr>
                    <w:t>12 on text-free UI, low literacy and ICT4D, 13 on pictogram comprehension, 16 on AAC and graphic symbol systems, 18 on accessibility, 9 on plain language</w:t>
                  </w:r>
                </w:p>
              </w:tc>
            </w:tr>
            <w:tr>
              <w:tc>
                <w:tcPr>
                  <w:tcW w:type="dxa" w:w="3238"/>
                </w:tcPr>
                <w:p>
                  <w:r>
                    <w:rPr>
                      <w:rFonts w:ascii="Times New Roman" w:hAnsi="Times New Roman" w:eastAsia="바탕"/>
                      <w:sz w:val="18"/>
                    </w:rPr>
                    <w:t>International organisations</w:t>
                  </w:r>
                </w:p>
              </w:tc>
              <w:tc>
                <w:tcPr>
                  <w:tcW w:type="dxa" w:w="3238"/>
                </w:tcPr>
                <w:p>
                  <w:r>
                    <w:rPr>
                      <w:rFonts w:ascii="Times New Roman" w:hAnsi="Times New Roman" w:eastAsia="바탕"/>
                      <w:sz w:val="18"/>
                    </w:rPr>
                    <w:t>108</w:t>
                  </w:r>
                </w:p>
              </w:tc>
              <w:tc>
                <w:tcPr>
                  <w:tcW w:type="dxa" w:w="3238"/>
                </w:tcPr>
                <w:p>
                  <w:r>
                    <w:rPr>
                      <w:rFonts w:ascii="Times New Roman" w:hAnsi="Times New Roman" w:eastAsia="바탕"/>
                      <w:sz w:val="18"/>
                    </w:rPr>
                    <w:t>WHO, UNESCO, UNICEF and others. 91 addresses confirmed, 17 with a contact form only or unpublished</w:t>
                  </w:r>
                </w:p>
              </w:tc>
            </w:tr>
          </w:tbl>
          <w:p/>
          <w:p>
            <w:pPr>
              <w:spacing w:after="120"/>
            </w:pPr>
          </w:p>
          <w:p>
            <w:pPr>
              <w:spacing w:after="80" w:line="276" w:lineRule="auto"/>
              <w:jc w:val="both"/>
            </w:pPr>
            <w:r>
              <w:rPr>
                <w:rFonts w:ascii="Times New Roman" w:hAnsi="Times New Roman" w:eastAsia="바탕"/>
                <w:sz w:val="20"/>
              </w:rPr>
              <w:t>The eight domains sum to 846. The remaining 257 came from the regional expansion described below, bringing the final list to 1,103.</w:t>
            </w:r>
          </w:p>
          <w:p>
            <w:pPr>
              <w:spacing w:after="80" w:line="276" w:lineRule="auto"/>
              <w:jc w:val="both"/>
            </w:pPr>
            <w:r>
              <w:rPr>
                <w:rFonts w:ascii="Times New Roman" w:hAnsi="Times New Roman" w:eastAsia="바탕"/>
                <w:sz w:val="20"/>
              </w:rPr>
              <w:t>Each domain is further divided into priority bands, and the name of the band is itself the selection criterion for that domain. The top band for Korean nursing and public health, for example, is named "people who research health literacy itself", and the reason for writing that criterion was to have the premise of §1.2 examined.</w:t>
            </w:r>
          </w:p>
          <w:p>
            <w:pPr>
              <w:spacing w:after="80" w:line="276" w:lineRule="auto"/>
              <w:jc w:val="both"/>
            </w:pPr>
            <w:r>
              <w:rPr>
                <w:rFonts w:ascii="Times New Roman" w:hAnsi="Times New Roman" w:eastAsia="바탕"/>
                <w:sz w:val="20"/>
              </w:rPr>
              <w:t xml:space="preserve">A source URL was recorded for every entry: 599 of them, 296 unique, across 169 hosts. The leading hosts are </w:t>
            </w:r>
            <w:r>
              <w:rPr>
                <w:rFonts w:ascii="Consolas" w:hAnsi="Consolas" w:eastAsia="Consolas"/>
                <w:sz w:val="19"/>
              </w:rPr>
              <w:t>pmc.ncbi.nlm.nih.gov</w:t>
            </w:r>
            <w:r>
              <w:rPr>
                <w:rFonts w:ascii="Times New Roman" w:hAnsi="Times New Roman" w:eastAsia="바탕"/>
                <w:sz w:val="20"/>
              </w:rPr>
              <w:t xml:space="preserve"> with 94, where corresponding-author addresses were confirmed from papers, the Moldovan Ministry of Health public directory with 32, and </w:t>
            </w:r>
            <w:r>
              <w:rPr>
                <w:rFonts w:ascii="Consolas" w:hAnsi="Consolas" w:eastAsia="Consolas"/>
                <w:sz w:val="19"/>
              </w:rPr>
              <w:t>who.int</w:t>
            </w:r>
            <w:r>
              <w:rPr>
                <w:rFonts w:ascii="Times New Roman" w:hAnsi="Times New Roman" w:eastAsia="바탕"/>
                <w:sz w:val="20"/>
              </w:rPr>
              <w:t xml:space="preserve"> with 11.</w:t>
            </w:r>
          </w:p>
          <w:p>
            <w:pPr>
              <w:spacing w:after="80" w:line="276" w:lineRule="auto"/>
              <w:jc w:val="both"/>
            </w:pPr>
            <w:r>
              <w:rPr>
                <w:rFonts w:ascii="Times New Roman" w:hAnsi="Times New Roman" w:eastAsia="바탕"/>
                <w:sz w:val="20"/>
              </w:rPr>
              <w:t xml:space="preserve">Where an address could not be found it was not invented but left in a separate band. Fourteen from Korean pharmacy schools, 8 from Korean nursing and public health, 15 from Korean HCI, 17 from Korean literacy and special education, 8 from international pictogram research and 17 international organisations were classified this way and excluded from sending. The corresponding band in the international-organisations sheet is named </w:t>
            </w:r>
            <w:r>
              <w:rPr>
                <w:rFonts w:ascii="Consolas" w:hAnsi="Consolas" w:eastAsia="Consolas"/>
                <w:sz w:val="19"/>
              </w:rPr>
              <w:t>Contact-form-only or address-not-published (no address fabricated)</w:t>
            </w:r>
            <w:r>
              <w:rPr>
                <w:rFonts w:ascii="Times New Roman" w:hAnsi="Times New Roman" w:eastAsia="바탕"/>
                <w:sz w:val="20"/>
              </w:rPr>
              <w:t>.</w:t>
            </w:r>
          </w:p>
          <w:p>
            <w:pPr>
              <w:spacing w:after="80" w:line="276" w:lineRule="auto"/>
              <w:jc w:val="both"/>
            </w:pPr>
            <w:r>
              <w:rPr>
                <w:rFonts w:ascii="Times New Roman" w:hAnsi="Times New Roman" w:eastAsia="바탕"/>
                <w:sz w:val="20"/>
              </w:rPr>
              <w:t>The initial list leaned towards Korea and the English-speaking world. Since this app claims not to be for one particular region (§1.2), we judged that the people reviewing it should not be concentrated in one country either, and researched and added 105 in Eastern Europe, 100 in the Middle East and North Africa, 96 in South Asia, 50 in Latin America, 49 in Southeast Asia and 47 in Africa. Those six groups come to 447, 40.5% of the whole. That responses arrived from five continents is the result of this step.</w:t>
            </w:r>
          </w:p>
          <w:p>
            <w:pPr>
              <w:spacing w:after="80" w:line="276" w:lineRule="auto"/>
              <w:jc w:val="both"/>
            </w:pPr>
            <w:r>
              <w:rPr>
                <w:rFonts w:ascii="Times New Roman" w:hAnsi="Times New Roman" w:eastAsia="바탕"/>
                <w:sz w:val="20"/>
              </w:rPr>
              <w:t>Moldova was a judgement call. Thirty-one addresses were obtained from the Ministry of Health directory and only three were used. Thirty-one messages leaving for one ministry at once reads as spam in itself, and we judged it would not serve the team's Moldovan working relationships either.</w:t>
            </w:r>
          </w:p>
          <w:p>
            <w:pPr>
              <w:spacing w:after="80" w:line="276" w:lineRule="auto"/>
              <w:jc w:val="both"/>
            </w:pPr>
            <w:r>
              <w:rPr>
                <w:rFonts w:ascii="Times New Roman" w:hAnsi="Times New Roman" w:eastAsia="바탕"/>
                <w:sz w:val="20"/>
              </w:rPr>
              <w:t>We wrote down separate rules for handling the list. Taking Article 50-2 of the Korean Act on Promotion of Information and Communications Network Utilisation (prohibition of unauthorised collection of email addresses) as the basis, we set out that messages would be sent individually rather than with several recipients on one message, that the list would not leave the team, that addresses obtained from pages posting a refusal of collection would be excluded from sending, and that no one would be contacted a second time if they did not reply. That no address from the two institutions confirmed to have posted such a refusal remained among the recipients was verified against both the domain and the affiliation string, and the count was zero.</w:t>
            </w:r>
          </w:p>
          <w:p>
            <w:pPr>
              <w:spacing w:after="80" w:line="276" w:lineRule="auto"/>
              <w:jc w:val="both"/>
            </w:pPr>
            <w:r>
              <w:rPr>
                <w:rFonts w:ascii="Times New Roman" w:hAnsi="Times New Roman" w:eastAsia="바탕"/>
                <w:sz w:val="20"/>
              </w:rPr>
              <w:t>Each recipient was assigned a ten-character token derived from their email address. The token alone identifies no one, and the table linking tokens to people exists only in a spreadsheet in our own hands. The response server stores only tokens, and because the folder holding the list was excluded when the Docker image was built, the server does not hold the list at all. That the deployed image contains no list was verified by connecting to it.</w:t>
            </w:r>
          </w:p>
          <w:p>
            <w:pPr>
              <w:spacing w:before="120" w:after="20"/>
            </w:pPr>
            <w:r>
              <w:rPr>
                <w:rFonts w:ascii="Times New Roman" w:hAnsi="Times New Roman" w:eastAsia="바탕"/>
                <w:b/>
                <w:sz w:val="21"/>
              </w:rPr>
              <w:t>5.7.2 How it was sent</w:t>
            </w:r>
          </w:p>
          <w:p>
            <w:pPr>
              <w:spacing w:after="80" w:line="276" w:lineRule="auto"/>
              <w:jc w:val="both"/>
            </w:pPr>
            <w:r>
              <w:rPr>
                <w:rFonts w:ascii="Times New Roman" w:hAnsi="Times New Roman" w:eastAsia="바탕"/>
                <w:sz w:val="20"/>
              </w:rPr>
              <w:t>Between 04:48 and 07:50 on 31 July 2026, over 182 minutes, 1,103 messages were sent one at a time. The mean interval was 9.9 seconds and no address was rejected. Bulk mail and blind copy were not used because the rules forbid addresses being exposed to one another and because the link carries a different token for each person, so several people cannot share one message.</w:t>
            </w:r>
          </w:p>
          <w:p>
            <w:pPr>
              <w:spacing w:after="80" w:line="276" w:lineRule="auto"/>
              <w:jc w:val="both"/>
            </w:pPr>
            <w:r>
              <w:rPr>
                <w:rFonts w:ascii="Times New Roman" w:hAnsi="Times New Roman" w:eastAsia="바탕"/>
                <w:sz w:val="20"/>
              </w:rPr>
              <w:t xml:space="preserve">A delivery service was not used; the SMTP of a personal mail account was. A delivery service can send 1,103 messages in minutes, but it needs a domain on which SPF and DKIM can be configured, and ours is </w:t>
            </w:r>
            <w:r>
              <w:rPr>
                <w:rFonts w:ascii="Consolas" w:hAnsi="Consolas" w:eastAsia="Consolas"/>
                <w:sz w:val="19"/>
              </w:rPr>
              <w:t>snapcare.fly.dev</w:t>
            </w:r>
            <w:r>
              <w:rPr>
                <w:rFonts w:ascii="Times New Roman" w:hAnsi="Times New Roman" w:eastAsia="바탕"/>
                <w:sz w:val="20"/>
              </w:rPr>
              <w:t>, a subdomain to which DNS records cannot be attached. Even buying a new domain, sending 1,103 messages from a freshly created domain to university and government mail servers gets filtered harder. Fast, and worse at arriving.</w:t>
            </w:r>
          </w:p>
          <w:p>
            <w:pPr>
              <w:spacing w:after="80" w:line="276" w:lineRule="auto"/>
              <w:jc w:val="both"/>
            </w:pPr>
            <w:r>
              <w:rPr>
                <w:rFonts w:ascii="Times New Roman" w:hAnsi="Times New Roman" w:eastAsia="바탕"/>
                <w:sz w:val="20"/>
              </w:rPr>
              <w:t>The daily sending limit was not guessed at, because it is not published. Instead the program was built not to die when blocked, and run once. It writes each person to a file and flushes to disk as it goes, so a run cut short can be resumed. The record is written immediately after sending: if we recorded first and the send then failed, that person would never receive it, whereas sending first and failing to record means they might receive it once more, which we judged the less bad tail. A temporary rejection waits and retries with a growing delay, a non-existent address is counted and passed over, and three failures on one message is taken as the account being blocked and stops the run.</w:t>
            </w:r>
          </w:p>
          <w:p>
            <w:pPr>
              <w:spacing w:after="80" w:line="276" w:lineRule="auto"/>
              <w:jc w:val="both"/>
            </w:pPr>
            <w:r>
              <w:rPr>
                <w:rFonts w:ascii="Times New Roman" w:hAnsi="Times New Roman" w:eastAsia="바탕"/>
                <w:sz w:val="20"/>
              </w:rPr>
              <w:t>The 41 people with the clearest selection basis were put at the front of the sending order. The list is not ordered by rank, so sending it as it stood would have scattered them across three hours, and an account blocked partway would have meant some of them never receiving it. Changing only the order removes that risk. All 41 were in fact sent within the first seven minutes.</w:t>
            </w:r>
          </w:p>
          <w:p>
            <w:pPr>
              <w:spacing w:after="80" w:line="276" w:lineRule="auto"/>
              <w:jc w:val="both"/>
            </w:pPr>
            <w:r>
              <w:rPr>
                <w:rFonts w:ascii="Times New Roman" w:hAnsi="Times New Roman" w:eastAsia="바탕"/>
                <w:sz w:val="20"/>
              </w:rPr>
              <w:t>We decided the language from the email top-level domain alone. Searching the affiliation string for a country name was not used. If the selection-reason field contains "Moldova", WHO and a Portuguese researcher are caught as Moldovan too; tested that way it caught 30 people, a good number of them misclassified. By domain alone it yields 34, all of them genuinely Romanian-language institutions.</w:t>
            </w:r>
          </w:p>
          <w:p>
            <w:pPr>
              <w:spacing w:after="80" w:line="276" w:lineRule="auto"/>
              <w:jc w:val="both"/>
            </w:pPr>
            <w:r>
              <w:rPr>
                <w:rFonts w:ascii="Times New Roman" w:hAnsi="Times New Roman" w:eastAsia="바탕"/>
                <w:sz w:val="20"/>
              </w:rPr>
              <w:t xml:space="preserve">The subject line was revised three times. It began with </w:t>
            </w:r>
            <w:r>
              <w:rPr>
                <w:rFonts w:ascii="Consolas" w:hAnsi="Consolas" w:eastAsia="Consolas"/>
                <w:sz w:val="19"/>
              </w:rPr>
              <w:t>SnapCare</w:t>
            </w:r>
            <w:r>
              <w:rPr>
                <w:rFonts w:ascii="Times New Roman" w:hAnsi="Times New Roman" w:eastAsia="바탕"/>
                <w:sz w:val="20"/>
              </w:rPr>
              <w:t>, but that name means nothing to the recipient, and a subject beginning with an unfamiliar name reads as advertising. The next version put a ministry name in square brackets at the front, which was worse. It reads as an official letter from an institution rather than a student asking for advice, and gives the impression of borrowing that authority. The final version drops the brackets and leads with the name of the contest alone.</w:t>
            </w:r>
          </w:p>
          <w:p>
            <w:pPr>
              <w:spacing w:after="80" w:line="276" w:lineRule="auto"/>
              <w:jc w:val="both"/>
            </w:pPr>
            <w:r>
              <w:rPr>
                <w:rFonts w:ascii="Times New Roman" w:hAnsi="Times New Roman" w:eastAsia="바탕"/>
                <w:sz w:val="20"/>
              </w:rPr>
              <w:t>There is judgement in what was taken out of the body as well. The draft carried "I am asking those who have worked on medication guidance and low-literate users," but the 1,103 include professors of computer science and legal scholars, so for many of them it is not true. Reading something at odds with your own career makes you disbelieve the rest of the sentences too. It was changed to "I am writing after reading your published research and work." That is true of everyone and also answers "why me."</w:t>
            </w:r>
          </w:p>
          <w:p>
            <w:pPr>
              <w:spacing w:after="80" w:line="276" w:lineRule="auto"/>
              <w:jc w:val="both"/>
            </w:pPr>
            <w:r>
              <w:rPr>
                <w:rFonts w:ascii="Times New Roman" w:hAnsi="Times New Roman" w:eastAsia="바탕"/>
                <w:sz w:val="20"/>
              </w:rPr>
              <w:t>A plain-text version was sent alongside the HTML one. In a text-only message the address cannot be tapped and has to be copied by hand, and some people stop there. The HTML version contains no images and no tracking pixel. Anything fetched from outside raises the chance of being caught as spam, and there is no need to know who opened it.</w:t>
            </w:r>
          </w:p>
          <w:p>
            <w:pPr>
              <w:spacing w:after="80" w:line="276" w:lineRule="auto"/>
              <w:jc w:val="both"/>
            </w:pPr>
            <w:r>
              <w:rPr>
                <w:rFonts w:ascii="Times New Roman" w:hAnsi="Times New Roman" w:eastAsia="바탕"/>
                <w:sz w:val="20"/>
              </w:rPr>
              <w:t>A test send before the run caught three defects: greetings for 63 international recipients that would have gone out with Korean mixed in, message generation dying with an exception in header handling, and links that could not be clicked.</w:t>
            </w:r>
          </w:p>
          <w:p>
            <w:pPr>
              <w:spacing w:after="80" w:line="276" w:lineRule="auto"/>
              <w:jc w:val="both"/>
            </w:pPr>
            <w:r>
              <w:rPr>
                <w:rFonts w:ascii="Times New Roman" w:hAnsi="Times New Roman" w:eastAsia="바탕"/>
                <w:sz w:val="20"/>
              </w:rPr>
              <w:t>The survey is three screens: consent, a screen showing what we built, and the questions for the field the respondent selected. The second screen places two sample prescriptions beside the result of passing them through the engine. The DSL shown there is the engine's actual output, not something a person wrote. It was written by hand at first, and that produced five lines; putting the same prescription through the engine produced ten. Finish-the-course, no-alcohol, pregnancy contraindication and breastfeeding caution had been missing from the hand-written version. One ends up showing only what one wants to show.</w:t>
            </w:r>
          </w:p>
          <w:p>
            <w:pPr>
              <w:spacing w:after="80" w:line="276" w:lineRule="auto"/>
              <w:jc w:val="both"/>
            </w:pPr>
            <w:r>
              <w:rPr>
                <w:rFonts w:ascii="Times New Roman" w:hAnsi="Times New Roman" w:eastAsia="바탕"/>
                <w:sz w:val="20"/>
              </w:rPr>
              <w:t>The answer options always kept a choice that is unfavourable to us: "there is nowhere to put it", "it is fundamentally wrong-headed", and "that there is no validation". We judged that having those answers come back was better than learning it after the contest.</w:t>
            </w:r>
          </w:p>
          <w:p>
            <w:pPr>
              <w:spacing w:after="80" w:line="276" w:lineRule="auto"/>
              <w:jc w:val="both"/>
            </w:pPr>
            <w:r>
              <w:rPr>
                <w:rFonts w:ascii="Times New Roman" w:hAnsi="Times New Roman" w:eastAsia="바탕"/>
                <w:sz w:val="20"/>
              </w:rPr>
              <w:t>We left a morpheme comprehension test out of the survey. A professor reading our pictograms does not mean a low-literate patient reads them, and writing that number down as meeting the ISO 67% criterion would state something untrue.</w:t>
            </w:r>
          </w:p>
          <w:p>
            <w:pPr>
              <w:spacing w:before="120" w:after="20"/>
            </w:pPr>
            <w:r>
              <w:rPr>
                <w:rFonts w:ascii="Times New Roman" w:hAnsi="Times New Roman" w:eastAsia="바탕"/>
                <w:b/>
                <w:sz w:val="21"/>
              </w:rPr>
              <w:t>5.7.3 Who answered</w:t>
            </w:r>
          </w:p>
          <w:p>
            <w:pPr>
              <w:spacing w:after="80" w:line="276" w:lineRule="auto"/>
              <w:jc w:val="both"/>
            </w:pPr>
            <w:r>
              <w:rPr>
                <w:rFonts w:ascii="Times New Roman" w:hAnsi="Times New Roman" w:eastAsia="바탕"/>
                <w:sz w:val="20"/>
              </w:rPr>
              <w:t>As of 3 August 2026, 39 people had answered: 3.5% of those contacted, with 124 free-text responses alongside.</w:t>
            </w:r>
          </w:p>
          <w:p>
            <w:pPr>
              <w:spacing w:after="80" w:line="276" w:lineRule="auto"/>
              <w:jc w:val="both"/>
            </w:pPr>
            <w:r>
              <w:rPr>
                <w:rFonts w:ascii="Times New Roman" w:hAnsi="Times New Roman" w:eastAsia="바탕"/>
                <w:sz w:val="20"/>
              </w:rPr>
              <w:t>[Table 43] Composition of respondents (n = 39)</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Field</w:t>
                  </w:r>
                </w:p>
              </w:tc>
              <w:tc>
                <w:tcPr>
                  <w:tcW w:type="dxa" w:w="2429"/>
                  <w:shd w:val="clear" w:fill="F2F2F2"/>
                </w:tcPr>
                <w:p>
                  <w:r>
                    <w:rPr>
                      <w:rFonts w:ascii="Times New Roman" w:hAnsi="Times New Roman" w:eastAsia="바탕"/>
                      <w:b/>
                      <w:sz w:val="18"/>
                    </w:rPr>
                    <w:t>Responses</w:t>
                  </w:r>
                </w:p>
              </w:tc>
              <w:tc>
                <w:tcPr>
                  <w:tcW w:type="dxa" w:w="2429"/>
                  <w:shd w:val="clear" w:fill="F2F2F2"/>
                </w:tcPr>
                <w:p>
                  <w:r>
                    <w:rPr>
                      <w:rFonts w:ascii="Times New Roman" w:hAnsi="Times New Roman" w:eastAsia="바탕"/>
                      <w:b/>
                      <w:sz w:val="18"/>
                    </w:rPr>
                    <w:t>Field</w:t>
                  </w:r>
                </w:p>
              </w:tc>
              <w:tc>
                <w:tcPr>
                  <w:tcW w:type="dxa" w:w="2429"/>
                  <w:shd w:val="clear" w:fill="F2F2F2"/>
                </w:tcPr>
                <w:p>
                  <w:r>
                    <w:rPr>
                      <w:rFonts w:ascii="Times New Roman" w:hAnsi="Times New Roman" w:eastAsia="바탕"/>
                      <w:b/>
                      <w:sz w:val="18"/>
                    </w:rPr>
                    <w:t>Responses</w:t>
                  </w:r>
                </w:p>
              </w:tc>
            </w:tr>
            <w:tr>
              <w:tc>
                <w:tcPr>
                  <w:tcW w:type="dxa" w:w="2429"/>
                </w:tcPr>
                <w:p>
                  <w:r>
                    <w:rPr>
                      <w:rFonts w:ascii="Times New Roman" w:hAnsi="Times New Roman" w:eastAsia="바탕"/>
                      <w:sz w:val="18"/>
                    </w:rPr>
                    <w:t>Pharmacy and medication counselling practice</w:t>
                  </w:r>
                </w:p>
              </w:tc>
              <w:tc>
                <w:tcPr>
                  <w:tcW w:type="dxa" w:w="2429"/>
                </w:tcPr>
                <w:p>
                  <w:r>
                    <w:rPr>
                      <w:rFonts w:ascii="Times New Roman" w:hAnsi="Times New Roman" w:eastAsia="바탕"/>
                      <w:sz w:val="18"/>
                    </w:rPr>
                    <w:t>13</w:t>
                  </w:r>
                </w:p>
              </w:tc>
              <w:tc>
                <w:tcPr>
                  <w:tcW w:type="dxa" w:w="2429"/>
                </w:tcPr>
                <w:p>
                  <w:r>
                    <w:rPr>
                      <w:rFonts w:ascii="Times New Roman" w:hAnsi="Times New Roman" w:eastAsia="바탕"/>
                      <w:sz w:val="18"/>
                    </w:rPr>
                    <w:t>HCI and design</w:t>
                  </w:r>
                </w:p>
              </w:tc>
              <w:tc>
                <w:tcPr>
                  <w:tcW w:type="dxa" w:w="2429"/>
                </w:tcPr>
                <w:p>
                  <w:r>
                    <w:rPr>
                      <w:rFonts w:ascii="Times New Roman" w:hAnsi="Times New Roman" w:eastAsia="바탕"/>
                      <w:sz w:val="18"/>
                    </w:rPr>
                    <w:t>4</w:t>
                  </w:r>
                </w:p>
              </w:tc>
            </w:tr>
            <w:tr>
              <w:tc>
                <w:tcPr>
                  <w:tcW w:type="dxa" w:w="2429"/>
                </w:tcPr>
                <w:p>
                  <w:r>
                    <w:rPr>
                      <w:rFonts w:ascii="Times New Roman" w:hAnsi="Times New Roman" w:eastAsia="바탕"/>
                      <w:sz w:val="18"/>
                    </w:rPr>
                    <w:t>Nursing and public health</w:t>
                  </w:r>
                </w:p>
              </w:tc>
              <w:tc>
                <w:tcPr>
                  <w:tcW w:type="dxa" w:w="2429"/>
                </w:tcPr>
                <w:p>
                  <w:r>
                    <w:rPr>
                      <w:rFonts w:ascii="Times New Roman" w:hAnsi="Times New Roman" w:eastAsia="바탕"/>
                      <w:sz w:val="18"/>
                    </w:rPr>
                    <w:t>9</w:t>
                  </w:r>
                </w:p>
              </w:tc>
              <w:tc>
                <w:tcPr>
                  <w:tcW w:type="dxa" w:w="2429"/>
                </w:tcPr>
                <w:p>
                  <w:r>
                    <w:rPr>
                      <w:rFonts w:ascii="Times New Roman" w:hAnsi="Times New Roman" w:eastAsia="바탕"/>
                      <w:sz w:val="18"/>
                    </w:rPr>
                    <w:t>Adult literacy education</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Other</w:t>
                  </w:r>
                </w:p>
              </w:tc>
              <w:tc>
                <w:tcPr>
                  <w:tcW w:type="dxa" w:w="2429"/>
                </w:tcPr>
                <w:p>
                  <w:r>
                    <w:rPr>
                      <w:rFonts w:ascii="Times New Roman" w:hAnsi="Times New Roman" w:eastAsia="바탕"/>
                      <w:sz w:val="18"/>
                    </w:rPr>
                    <w:t>10</w:t>
                  </w:r>
                </w:p>
              </w:tc>
              <w:tc>
                <w:tcPr>
                  <w:tcW w:type="dxa" w:w="2429"/>
                </w:tcPr>
                <w:p>
                  <w:r>
                    <w:rPr>
                      <w:rFonts w:ascii="Times New Roman" w:hAnsi="Times New Roman" w:eastAsia="바탕"/>
                      <w:sz w:val="18"/>
                    </w:rPr>
                    <w:t>AAC and special education</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Industry practice</w:t>
                  </w:r>
                </w:p>
              </w:tc>
              <w:tc>
                <w:tcPr>
                  <w:tcW w:type="dxa" w:w="2429"/>
                </w:tcPr>
                <w:p>
                  <w:r>
                    <w:rPr>
                      <w:rFonts w:ascii="Times New Roman" w:hAnsi="Times New Roman" w:eastAsia="바탕"/>
                      <w:sz w:val="18"/>
                    </w:rPr>
                    <w:t>1</w:t>
                  </w:r>
                </w:p>
              </w:tc>
            </w:tr>
          </w:tbl>
          <w:p/>
          <w:p>
            <w:pPr>
              <w:spacing w:after="120"/>
            </w:pPr>
          </w:p>
          <w:p>
            <w:pPr>
              <w:spacing w:before="160" w:after="60"/>
              <w:jc w:val="center"/>
            </w:pPr>
            <w:r>
              <w:drawing>
                <wp:inline xmlns:a="http://schemas.openxmlformats.org/drawingml/2006/main" xmlns:pic="http://schemas.openxmlformats.org/drawingml/2006/picture">
                  <wp:extent cx="5486400" cy="2377440"/>
                  <wp:docPr id="41" name="Picture 41"/>
                  <wp:cNvGraphicFramePr>
                    <a:graphicFrameLocks noChangeAspect="1"/>
                  </wp:cNvGraphicFramePr>
                  <a:graphic>
                    <a:graphicData uri="http://schemas.openxmlformats.org/drawingml/2006/picture">
                      <pic:pic>
                        <pic:nvPicPr>
                          <pic:cNvPr id="0" name="chart15_survey_who.png"/>
                          <pic:cNvPicPr/>
                        </pic:nvPicPr>
                        <pic:blipFill>
                          <a:blip r:embed="rId58"/>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41]</w:t>
            </w:r>
            <w:r>
              <w:rPr>
                <w:rFonts w:ascii="Times New Roman" w:hAnsi="Times New Roman" w:eastAsia="바탕"/>
                <w:color w:val="606068"/>
                <w:sz w:val="18"/>
              </w:rPr>
              <w:t xml:space="preserve"> The composition of the 39 respondents. Field on the left, continent on the right. Pharmacy and nursing account for more than half at 22 people, and these two are the centre of the five segments we judged qualified to view the demonstration and rule on patient comprehension. That Asia accounts for 27 reflects exactly the order in which the list was built, starting in Korea and widening region by region.</w:t>
            </w:r>
          </w:p>
          <w:p>
            <w:pPr>
              <w:spacing w:after="80" w:line="276" w:lineRule="auto"/>
              <w:jc w:val="both"/>
            </w:pPr>
            <w:r>
              <w:rPr>
                <w:rFonts w:ascii="Times New Roman" w:hAnsi="Times New Roman" w:eastAsia="바탕"/>
                <w:sz w:val="20"/>
              </w:rPr>
              <w:t>The countries respondents recorded as working in span 22 countries across five continents, with 20 recording Korea only. All respondents consented to being quoted by name and affiliation, so they are recorded here as given.</w:t>
            </w:r>
          </w:p>
          <w:p>
            <w:pPr>
              <w:spacing w:after="80" w:line="276" w:lineRule="auto"/>
              <w:jc w:val="both"/>
            </w:pPr>
            <w:r>
              <w:rPr>
                <w:rFonts w:ascii="Times New Roman" w:hAnsi="Times New Roman" w:eastAsia="바탕"/>
                <w:sz w:val="20"/>
              </w:rPr>
              <w:t>[Table 44] The 39 respondents (all consented to being named with their affiliation)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Name</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Country</w:t>
                  </w:r>
                </w:p>
              </w:tc>
            </w:tr>
            <w:tr>
              <w:tc>
                <w:tcPr>
                  <w:tcW w:type="dxa" w:w="2429"/>
                </w:tcPr>
                <w:p>
                  <w:r>
                    <w:rPr>
                      <w:rFonts w:ascii="Times New Roman" w:hAnsi="Times New Roman" w:eastAsia="바탕"/>
                      <w:b/>
                      <w:sz w:val="18"/>
                    </w:rPr>
                    <w:t>Pharmacy and medication counselling practice (13)</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Hwi-Yeol Yun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College of Pharmacy, Chungnam National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Hangil Lee</w:t>
                  </w:r>
                </w:p>
              </w:tc>
              <w:tc>
                <w:tcPr>
                  <w:tcW w:type="dxa" w:w="2429"/>
                </w:tcPr>
                <w:p>
                  <w:r>
                    <w:rPr>
                      <w:rFonts w:ascii="Times New Roman" w:hAnsi="Times New Roman" w:eastAsia="바탕"/>
                      <w:sz w:val="18"/>
                    </w:rPr>
                    <w:t>Associate Professor</w:t>
                  </w:r>
                </w:p>
              </w:tc>
              <w:tc>
                <w:tcPr>
                  <w:tcW w:type="dxa" w:w="2429"/>
                </w:tcPr>
                <w:p>
                  <w:r>
                    <w:rPr>
                      <w:rFonts w:ascii="Times New Roman" w:hAnsi="Times New Roman" w:eastAsia="바탕"/>
                      <w:sz w:val="18"/>
                    </w:rPr>
                    <w:t>College of Pharmacy, Ewha Womans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So-Young Lee</w:t>
                  </w:r>
                </w:p>
              </w:tc>
              <w:tc>
                <w:tcPr>
                  <w:tcW w:type="dxa" w:w="2429"/>
                </w:tcPr>
                <w:p>
                  <w:r>
                    <w:rPr>
                      <w:rFonts w:ascii="Times New Roman" w:hAnsi="Times New Roman" w:eastAsia="바탕"/>
                      <w:sz w:val="18"/>
                    </w:rPr>
                    <w:t>Professor and pharmacist</w:t>
                  </w:r>
                </w:p>
              </w:tc>
              <w:tc>
                <w:tcPr>
                  <w:tcW w:type="dxa" w:w="2429"/>
                </w:tcPr>
                <w:p>
                  <w:r>
                    <w:rPr>
                      <w:rFonts w:ascii="Times New Roman" w:hAnsi="Times New Roman" w:eastAsia="바탕"/>
                      <w:sz w:val="18"/>
                    </w:rPr>
                    <w:t>Chungnam National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Dongmun Ha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Mokpo National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PhD, pharmacist</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Indonesia</w:t>
                  </w:r>
                </w:p>
              </w:tc>
            </w:tr>
            <w:tr>
              <w:tc>
                <w:tcPr>
                  <w:tcW w:type="dxa" w:w="2429"/>
                </w:tcPr>
                <w:p>
                  <w:r>
                    <w:rPr>
                      <w:rFonts w:ascii="Times New Roman" w:hAnsi="Times New Roman" w:eastAsia="바탕"/>
                      <w:sz w:val="18"/>
                    </w:rPr>
                    <w:t>Samirah Abdu-Aguye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Ahmadu Bello University, Zaria</w:t>
                  </w:r>
                </w:p>
              </w:tc>
              <w:tc>
                <w:tcPr>
                  <w:tcW w:type="dxa" w:w="2429"/>
                </w:tcPr>
                <w:p>
                  <w:r>
                    <w:rPr>
                      <w:rFonts w:ascii="Times New Roman" w:hAnsi="Times New Roman" w:eastAsia="바탕"/>
                      <w:sz w:val="18"/>
                    </w:rPr>
                    <w:t>Nigeria</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Pakistan and Malaysia</w:t>
                  </w:r>
                </w:p>
              </w:tc>
            </w:tr>
            <w:tr>
              <w:tc>
                <w:tcPr>
                  <w:tcW w:type="dxa" w:w="2429"/>
                </w:tcPr>
                <w:p>
                  <w:r>
                    <w:rPr>
                      <w:rFonts w:ascii="Times New Roman" w:hAnsi="Times New Roman" w:eastAsia="바탕"/>
                      <w:sz w:val="18"/>
                    </w:rPr>
                    <w:t>Srikanth Malavalli Siddalingegwod</w:t>
                  </w:r>
                </w:p>
              </w:tc>
              <w:tc>
                <w:tcPr>
                  <w:tcW w:type="dxa" w:w="2429"/>
                </w:tcPr>
                <w:p>
                  <w:r>
                    <w:rPr>
                      <w:rFonts w:ascii="Times New Roman" w:hAnsi="Times New Roman" w:eastAsia="바탕"/>
                      <w:sz w:val="18"/>
                    </w:rPr>
                    <w:t>Assistant Professor</w:t>
                  </w:r>
                </w:p>
              </w:tc>
              <w:tc>
                <w:tcPr>
                  <w:tcW w:type="dxa" w:w="2429"/>
                </w:tcPr>
                <w:p>
                  <w:r>
                    <w:rPr>
                      <w:rFonts w:ascii="Times New Roman" w:hAnsi="Times New Roman" w:eastAsia="바탕"/>
                      <w:sz w:val="18"/>
                    </w:rPr>
                    <w:t>JSS College of Pharmacy, JSS Academy of Higher Education &amp; Research</w:t>
                  </w:r>
                </w:p>
              </w:tc>
              <w:tc>
                <w:tcPr>
                  <w:tcW w:type="dxa" w:w="2429"/>
                </w:tcPr>
                <w:p>
                  <w:r>
                    <w:rPr>
                      <w:rFonts w:ascii="Times New Roman" w:hAnsi="Times New Roman" w:eastAsia="바탕"/>
                      <w:sz w:val="18"/>
                    </w:rPr>
                    <w:t>India</w:t>
                  </w:r>
                </w:p>
              </w:tc>
            </w:tr>
            <w:tr>
              <w:tc>
                <w:tcPr>
                  <w:tcW w:type="dxa" w:w="2429"/>
                </w:tcPr>
                <w:p>
                  <w:r>
                    <w:rPr>
                      <w:rFonts w:ascii="Times New Roman" w:hAnsi="Times New Roman" w:eastAsia="바탕"/>
                      <w:sz w:val="18"/>
                    </w:rPr>
                    <w:t>Maria Stefanova</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Medical University of Sofia</w:t>
                  </w:r>
                </w:p>
              </w:tc>
              <w:tc>
                <w:tcPr>
                  <w:tcW w:type="dxa" w:w="2429"/>
                </w:tcPr>
                <w:p>
                  <w:r>
                    <w:rPr>
                      <w:rFonts w:ascii="Times New Roman" w:hAnsi="Times New Roman" w:eastAsia="바탕"/>
                      <w:sz w:val="18"/>
                    </w:rPr>
                    <w:t>Bulgaria</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 Faculty of Pharmacy</w:t>
                  </w:r>
                </w:p>
              </w:tc>
              <w:tc>
                <w:tcPr>
                  <w:tcW w:type="dxa" w:w="2429"/>
                </w:tcPr>
                <w:p>
                  <w:r>
                    <w:rPr>
                      <w:rFonts w:ascii="Times New Roman" w:hAnsi="Times New Roman" w:eastAsia="바탕"/>
                      <w:sz w:val="18"/>
                    </w:rPr>
                    <w:t>Serbia</w:t>
                  </w:r>
                </w:p>
              </w:tc>
            </w:tr>
            <w:tr>
              <w:tc>
                <w:tcPr>
                  <w:tcW w:type="dxa" w:w="2429"/>
                </w:tcPr>
                <w:p>
                  <w:r>
                    <w:rPr>
                      <w:rFonts w:ascii="Times New Roman" w:hAnsi="Times New Roman" w:eastAsia="바탕"/>
                      <w:sz w:val="18"/>
                    </w:rPr>
                    <w:t>E. Michael Murphy</w:t>
                  </w:r>
                </w:p>
              </w:tc>
              <w:tc>
                <w:tcPr>
                  <w:tcW w:type="dxa" w:w="2429"/>
                </w:tcPr>
                <w:p>
                  <w:r>
                    <w:rPr>
                      <w:rFonts w:ascii="Times New Roman" w:hAnsi="Times New Roman" w:eastAsia="바탕"/>
                      <w:sz w:val="18"/>
                    </w:rPr>
                    <w:t>Assistant Professor of Clinical Pharmacy</w:t>
                  </w:r>
                </w:p>
              </w:tc>
              <w:tc>
                <w:tcPr>
                  <w:tcW w:type="dxa" w:w="2429"/>
                </w:tcPr>
                <w:p>
                  <w:r>
                    <w:rPr>
                      <w:rFonts w:ascii="Times New Roman" w:hAnsi="Times New Roman" w:eastAsia="바탕"/>
                      <w:sz w:val="18"/>
                    </w:rPr>
                    <w:t>The Ohio State University College of Pharmacy</w:t>
                  </w:r>
                </w:p>
              </w:tc>
              <w:tc>
                <w:tcPr>
                  <w:tcW w:type="dxa" w:w="2429"/>
                </w:tcPr>
                <w:p>
                  <w:r>
                    <w:rPr>
                      <w:rFonts w:ascii="Times New Roman" w:hAnsi="Times New Roman" w:eastAsia="바탕"/>
                      <w:sz w:val="18"/>
                    </w:rPr>
                    <w:t>United States</w:t>
                  </w:r>
                </w:p>
              </w:tc>
            </w:tr>
            <w:tr>
              <w:tc>
                <w:tcPr>
                  <w:tcW w:type="dxa" w:w="2429"/>
                </w:tcPr>
                <w:p>
                  <w:r>
                    <w:rPr>
                      <w:rFonts w:ascii="Times New Roman" w:hAnsi="Times New Roman" w:eastAsia="바탕"/>
                      <w:sz w:val="18"/>
                    </w:rPr>
                    <w:t>Yoanna</w:t>
                  </w:r>
                </w:p>
              </w:tc>
              <w:tc>
                <w:tcPr>
                  <w:tcW w:type="dxa" w:w="2429"/>
                </w:tcPr>
                <w:p>
                  <w:r>
                    <w:rPr>
                      <w:rFonts w:ascii="Times New Roman" w:hAnsi="Times New Roman" w:eastAsia="바탕"/>
                      <w:sz w:val="18"/>
                    </w:rPr>
                    <w:t>(no position given)</w:t>
                  </w:r>
                </w:p>
              </w:tc>
              <w:tc>
                <w:tcPr>
                  <w:tcW w:type="dxa" w:w="2429"/>
                </w:tcPr>
                <w:p>
                  <w:r>
                    <w:rPr>
                      <w:rFonts w:ascii="Times New Roman" w:hAnsi="Times New Roman" w:eastAsia="바탕"/>
                      <w:sz w:val="18"/>
                    </w:rPr>
                    <w:t>Future Values</w:t>
                  </w:r>
                </w:p>
              </w:tc>
              <w:tc>
                <w:tcPr>
                  <w:tcW w:type="dxa" w:w="2429"/>
                </w:tcPr>
                <w:p>
                  <w:r>
                    <w:rPr>
                      <w:rFonts w:ascii="Times New Roman" w:hAnsi="Times New Roman" w:eastAsia="바탕"/>
                      <w:sz w:val="18"/>
                    </w:rPr>
                    <w:t>Bulgaria</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Pharmacy Lecturer</w:t>
                  </w:r>
                </w:p>
              </w:tc>
              <w:tc>
                <w:tcPr>
                  <w:tcW w:type="dxa" w:w="2429"/>
                </w:tcPr>
                <w:p>
                  <w:r>
                    <w:rPr>
                      <w:rFonts w:ascii="Times New Roman" w:hAnsi="Times New Roman" w:eastAsia="바탕"/>
                      <w:sz w:val="18"/>
                    </w:rPr>
                    <w:t>Department of Clinical Pharmacy and Pharmacy Practice</w:t>
                  </w:r>
                </w:p>
              </w:tc>
              <w:tc>
                <w:tcPr>
                  <w:tcW w:type="dxa" w:w="2429"/>
                </w:tcPr>
                <w:p>
                  <w:r>
                    <w:rPr>
                      <w:rFonts w:ascii="Times New Roman" w:hAnsi="Times New Roman" w:eastAsia="바탕"/>
                      <w:sz w:val="18"/>
                    </w:rPr>
                    <w:t>Malaysia</w:t>
                  </w:r>
                </w:p>
              </w:tc>
            </w:tr>
            <w:tr>
              <w:tc>
                <w:tcPr>
                  <w:tcW w:type="dxa" w:w="2429"/>
                </w:tcPr>
                <w:p>
                  <w:r>
                    <w:rPr>
                      <w:rFonts w:ascii="Times New Roman" w:hAnsi="Times New Roman" w:eastAsia="바탕"/>
                      <w:b/>
                      <w:sz w:val="18"/>
                    </w:rPr>
                    <w:t>Nursing and public health (9)</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Sung-il Cho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Seoul National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Myoungsoon You</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Seoul National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Minsun Song</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Konyang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Republic of Korea, Japan and Taiwan</w:t>
                  </w:r>
                </w:p>
              </w:tc>
            </w:tr>
            <w:tr>
              <w:tc>
                <w:tcPr>
                  <w:tcW w:type="dxa" w:w="2429"/>
                </w:tcPr>
                <w:p>
                  <w:r>
                    <w:rPr>
                      <w:rFonts w:ascii="Times New Roman" w:hAnsi="Times New Roman" w:eastAsia="바탕"/>
                      <w:sz w:val="18"/>
                    </w:rPr>
                    <w:t>Rahul Malhotra</w:t>
                  </w:r>
                </w:p>
              </w:tc>
              <w:tc>
                <w:tcPr>
                  <w:tcW w:type="dxa" w:w="2429"/>
                </w:tcPr>
                <w:p>
                  <w:r>
                    <w:rPr>
                      <w:rFonts w:ascii="Times New Roman" w:hAnsi="Times New Roman" w:eastAsia="바탕"/>
                      <w:sz w:val="18"/>
                    </w:rPr>
                    <w:t>Associate Professor</w:t>
                  </w:r>
                </w:p>
              </w:tc>
              <w:tc>
                <w:tcPr>
                  <w:tcW w:type="dxa" w:w="2429"/>
                </w:tcPr>
                <w:p>
                  <w:r>
                    <w:rPr>
                      <w:rFonts w:ascii="Times New Roman" w:hAnsi="Times New Roman" w:eastAsia="바탕"/>
                      <w:sz w:val="18"/>
                    </w:rPr>
                    <w:t>Duke-NUS Medical School</w:t>
                  </w:r>
                </w:p>
              </w:tc>
              <w:tc>
                <w:tcPr>
                  <w:tcW w:type="dxa" w:w="2429"/>
                </w:tcPr>
                <w:p>
                  <w:r>
                    <w:rPr>
                      <w:rFonts w:ascii="Times New Roman" w:hAnsi="Times New Roman" w:eastAsia="바탕"/>
                      <w:sz w:val="18"/>
                    </w:rPr>
                    <w:t>Singapore</w:t>
                  </w:r>
                </w:p>
              </w:tc>
            </w:tr>
            <w:tr>
              <w:tc>
                <w:tcPr>
                  <w:tcW w:type="dxa" w:w="2429"/>
                </w:tcPr>
                <w:p>
                  <w:r>
                    <w:rPr>
                      <w:rFonts w:ascii="Times New Roman" w:hAnsi="Times New Roman" w:eastAsia="바탕"/>
                      <w:sz w:val="18"/>
                    </w:rPr>
                    <w:t>Raghupathy Anchala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Public Health Foundation of India</w:t>
                  </w:r>
                </w:p>
              </w:tc>
              <w:tc>
                <w:tcPr>
                  <w:tcW w:type="dxa" w:w="2429"/>
                </w:tcPr>
                <w:p>
                  <w:r>
                    <w:rPr>
                      <w:rFonts w:ascii="Times New Roman" w:hAnsi="Times New Roman" w:eastAsia="바탕"/>
                      <w:sz w:val="18"/>
                    </w:rPr>
                    <w:t>India</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South Africa</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Tunisia</w:t>
                  </w:r>
                </w:p>
              </w:tc>
            </w:tr>
            <w:tr>
              <w:tc>
                <w:tcPr>
                  <w:tcW w:type="dxa" w:w="2429"/>
                </w:tcPr>
                <w:p>
                  <w:r>
                    <w:rPr>
                      <w:rFonts w:ascii="Times New Roman" w:hAnsi="Times New Roman" w:eastAsia="바탕"/>
                      <w:sz w:val="18"/>
                    </w:rPr>
                    <w:t>Aliya Naheed</w:t>
                  </w:r>
                </w:p>
              </w:tc>
              <w:tc>
                <w:tcPr>
                  <w:tcW w:type="dxa" w:w="2429"/>
                </w:tcPr>
                <w:p>
                  <w:r>
                    <w:rPr>
                      <w:rFonts w:ascii="Times New Roman" w:hAnsi="Times New Roman" w:eastAsia="바탕"/>
                      <w:sz w:val="18"/>
                    </w:rPr>
                    <w:t>Senior Scientist</w:t>
                  </w:r>
                </w:p>
              </w:tc>
              <w:tc>
                <w:tcPr>
                  <w:tcW w:type="dxa" w:w="2429"/>
                </w:tcPr>
                <w:p>
                  <w:r>
                    <w:rPr>
                      <w:rFonts w:ascii="Times New Roman" w:hAnsi="Times New Roman" w:eastAsia="바탕"/>
                      <w:sz w:val="18"/>
                    </w:rPr>
                    <w:t>International Centre for Diarrhoeal Disease Research (icddr,b)</w:t>
                  </w:r>
                </w:p>
              </w:tc>
              <w:tc>
                <w:tcPr>
                  <w:tcW w:type="dxa" w:w="2429"/>
                </w:tcPr>
                <w:p>
                  <w:r>
                    <w:rPr>
                      <w:rFonts w:ascii="Times New Roman" w:hAnsi="Times New Roman" w:eastAsia="바탕"/>
                      <w:sz w:val="18"/>
                    </w:rPr>
                    <w:t>Bangladesh</w:t>
                  </w:r>
                </w:p>
              </w:tc>
            </w:tr>
            <w:tr>
              <w:tc>
                <w:tcPr>
                  <w:tcW w:type="dxa" w:w="2429"/>
                </w:tcPr>
                <w:p>
                  <w:r>
                    <w:rPr>
                      <w:rFonts w:ascii="Times New Roman" w:hAnsi="Times New Roman" w:eastAsia="바탕"/>
                      <w:b/>
                      <w:sz w:val="18"/>
                    </w:rPr>
                    <w:t>AAC and special education · adult literacy · HCI and design · industry practice (7)</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University of Southampton</w:t>
                  </w:r>
                </w:p>
              </w:tc>
              <w:tc>
                <w:tcPr>
                  <w:tcW w:type="dxa" w:w="2429"/>
                </w:tcPr>
                <w:p>
                  <w:r>
                    <w:rPr>
                      <w:rFonts w:ascii="Times New Roman" w:hAnsi="Times New Roman" w:eastAsia="바탕"/>
                      <w:sz w:val="18"/>
                    </w:rPr>
                    <w:t>United Kingdom</w:t>
                  </w:r>
                </w:p>
              </w:tc>
            </w:tr>
            <w:tr>
              <w:tc>
                <w:tcPr>
                  <w:tcW w:type="dxa" w:w="2429"/>
                </w:tcPr>
                <w:p>
                  <w:r>
                    <w:rPr>
                      <w:rFonts w:ascii="Times New Roman" w:hAnsi="Times New Roman" w:eastAsia="바탕"/>
                      <w:sz w:val="18"/>
                    </w:rPr>
                    <w:t>Eun-Kyoung Kim</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Kongju National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Myojung Choi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Cheolhyeon Park</w:t>
                  </w:r>
                </w:p>
              </w:tc>
              <w:tc>
                <w:tcPr>
                  <w:tcW w:type="dxa" w:w="2429"/>
                </w:tcPr>
                <w:p>
                  <w:r>
                    <w:rPr>
                      <w:rFonts w:ascii="Times New Roman" w:hAnsi="Times New Roman" w:eastAsia="바탕"/>
                      <w:sz w:val="18"/>
                    </w:rPr>
                    <w:t>Team Leader</w:t>
                  </w:r>
                </w:p>
              </w:tc>
              <w:tc>
                <w:tcPr>
                  <w:tcW w:type="dxa" w:w="2429"/>
                </w:tcPr>
                <w:p>
                  <w:r>
                    <w:rPr>
                      <w:rFonts w:ascii="Times New Roman" w:hAnsi="Times New Roman" w:eastAsia="바탕"/>
                      <w:sz w:val="18"/>
                    </w:rPr>
                    <w:t>VOICEYE</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Youngchan Kim</w:t>
                  </w:r>
                </w:p>
              </w:tc>
              <w:tc>
                <w:tcPr>
                  <w:tcW w:type="dxa" w:w="2429"/>
                </w:tcPr>
                <w:p>
                  <w:r>
                    <w:rPr>
                      <w:rFonts w:ascii="Times New Roman" w:hAnsi="Times New Roman" w:eastAsia="바탕"/>
                      <w:sz w:val="18"/>
                    </w:rPr>
                    <w:t>(no position given)</w:t>
                  </w:r>
                </w:p>
              </w:tc>
              <w:tc>
                <w:tcPr>
                  <w:tcW w:type="dxa" w:w="2429"/>
                </w:tcPr>
                <w:p>
                  <w:r>
                    <w:rPr>
                      <w:rFonts w:ascii="Times New Roman" w:hAnsi="Times New Roman" w:eastAsia="바탕"/>
                      <w:sz w:val="18"/>
                    </w:rPr>
                    <w:t>Kyung Hee Cyber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Seunghoon Jung</w:t>
                  </w:r>
                </w:p>
              </w:tc>
              <w:tc>
                <w:tcPr>
                  <w:tcW w:type="dxa" w:w="2429"/>
                </w:tcPr>
                <w:p>
                  <w:r>
                    <w:rPr>
                      <w:rFonts w:ascii="Times New Roman" w:hAnsi="Times New Roman" w:eastAsia="바탕"/>
                      <w:sz w:val="18"/>
                    </w:rPr>
                    <w:t>(no position given)</w:t>
                  </w:r>
                </w:p>
              </w:tc>
              <w:tc>
                <w:tcPr>
                  <w:tcW w:type="dxa" w:w="2429"/>
                </w:tcPr>
                <w:p>
                  <w:r>
                    <w:rPr>
                      <w:rFonts w:ascii="Times New Roman" w:hAnsi="Times New Roman" w:eastAsia="바탕"/>
                      <w:sz w:val="18"/>
                    </w:rPr>
                    <w:t>Korea Institute of Design Promotion</w:t>
                  </w:r>
                </w:p>
              </w:tc>
              <w:tc>
                <w:tcPr>
                  <w:tcW w:type="dxa" w:w="2429"/>
                </w:tcPr>
                <w:p>
                  <w:r>
                    <w:rPr>
                      <w:rFonts w:ascii="Times New Roman" w:hAnsi="Times New Roman" w:eastAsia="바탕"/>
                      <w:sz w:val="18"/>
                    </w:rPr>
                    <w:t>Korea · China · Japan · Middle East</w:t>
                  </w:r>
                </w:p>
              </w:tc>
            </w:tr>
            <w:tr>
              <w:tc>
                <w:tcPr>
                  <w:tcW w:type="dxa" w:w="2429"/>
                </w:tcPr>
                <w:p>
                  <w:r>
                    <w:rPr>
                      <w:rFonts w:ascii="Times New Roman" w:hAnsi="Times New Roman" w:eastAsia="바탕"/>
                      <w:b/>
                      <w:sz w:val="18"/>
                    </w:rPr>
                    <w:t>Other (10)</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Kyogu Lee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Seoul National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Kyunghwa Lee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Soongsil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Heejung Seo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Dong-eui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Youngmee Lee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Department of Communication Disorders, Ewha Womans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Kyungseo Park</w:t>
                  </w:r>
                </w:p>
              </w:tc>
              <w:tc>
                <w:tcPr>
                  <w:tcW w:type="dxa" w:w="2429"/>
                </w:tcPr>
                <w:p>
                  <w:r>
                    <w:rPr>
                      <w:rFonts w:ascii="Times New Roman" w:hAnsi="Times New Roman" w:eastAsia="바탕"/>
                      <w:sz w:val="18"/>
                    </w:rPr>
                    <w:t>Assistant Manager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(name withheld)</w:t>
                  </w:r>
                </w:p>
              </w:tc>
              <w:tc>
                <w:tcPr>
                  <w:tcW w:type="dxa" w:w="2429"/>
                </w:tcPr>
                <w:p>
                  <w:r>
                    <w:rPr>
                      <w:rFonts w:ascii="Times New Roman" w:hAnsi="Times New Roman" w:eastAsia="바탕"/>
                      <w:sz w:val="18"/>
                    </w:rPr>
                    <w:t>Team Leader</w:t>
                  </w:r>
                </w:p>
              </w:tc>
              <w:tc>
                <w:tcPr>
                  <w:tcW w:type="dxa" w:w="2429"/>
                </w:tcPr>
                <w:p>
                  <w:r>
                    <w:rPr>
                      <w:rFonts w:ascii="Times New Roman" w:hAnsi="Times New Roman" w:eastAsia="바탕"/>
                      <w:sz w:val="18"/>
                    </w:rPr>
                    <w:t>GC Medi-AI, Uisarang Service Centre</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Raisa Kravchenko</w:t>
                  </w:r>
                </w:p>
              </w:tc>
              <w:tc>
                <w:tcPr>
                  <w:tcW w:type="dxa" w:w="2429"/>
                </w:tcPr>
                <w:p>
                  <w:r>
                    <w:rPr>
                      <w:rFonts w:ascii="Times New Roman" w:hAnsi="Times New Roman" w:eastAsia="바탕"/>
                      <w:sz w:val="18"/>
                    </w:rPr>
                    <w:t>Deputy Director</w:t>
                  </w:r>
                </w:p>
              </w:tc>
              <w:tc>
                <w:tcPr>
                  <w:tcW w:type="dxa" w:w="2429"/>
                </w:tcPr>
                <w:p>
                  <w:r>
                    <w:rPr>
                      <w:rFonts w:ascii="Times New Roman" w:hAnsi="Times New Roman" w:eastAsia="바탕"/>
                      <w:sz w:val="18"/>
                    </w:rPr>
                    <w:t>All Ukrainian NGO Coalition for Persons with Intellectual Disabilities</w:t>
                  </w:r>
                </w:p>
              </w:tc>
              <w:tc>
                <w:tcPr>
                  <w:tcW w:type="dxa" w:w="2429"/>
                </w:tcPr>
                <w:p>
                  <w:r>
                    <w:rPr>
                      <w:rFonts w:ascii="Times New Roman" w:hAnsi="Times New Roman" w:eastAsia="바탕"/>
                      <w:sz w:val="18"/>
                    </w:rPr>
                    <w:t>Ukraine</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Faculdade de Farmácia, Universidade de Lisboa</w:t>
                  </w:r>
                </w:p>
              </w:tc>
              <w:tc>
                <w:tcPr>
                  <w:tcW w:type="dxa" w:w="2429"/>
                </w:tcPr>
                <w:p>
                  <w:r>
                    <w:rPr>
                      <w:rFonts w:ascii="Times New Roman" w:hAnsi="Times New Roman" w:eastAsia="바탕"/>
                      <w:sz w:val="18"/>
                    </w:rPr>
                    <w:t>Portugal</w:t>
                  </w:r>
                </w:p>
              </w:tc>
            </w:tr>
            <w:tr>
              <w:tc>
                <w:tcPr>
                  <w:tcW w:type="dxa" w:w="2429"/>
                </w:tcPr>
                <w:p>
                  <w:r>
                    <w:rPr>
                      <w:rFonts w:ascii="Times New Roman" w:hAnsi="Times New Roman" w:eastAsia="바탕"/>
                      <w:sz w:val="18"/>
                    </w:rPr>
                    <w:t>Mustapha Taibi</w:t>
                  </w:r>
                </w:p>
              </w:tc>
              <w:tc>
                <w:tcPr>
                  <w:tcW w:type="dxa" w:w="2429"/>
                </w:tcPr>
                <w:p>
                  <w:r>
                    <w:rPr>
                      <w:rFonts w:ascii="Times New Roman" w:hAnsi="Times New Roman" w:eastAsia="바탕"/>
                      <w:sz w:val="18"/>
                    </w:rPr>
                    <w:t>Professor of Translation and Interpreting</w:t>
                  </w:r>
                </w:p>
              </w:tc>
              <w:tc>
                <w:tcPr>
                  <w:tcW w:type="dxa" w:w="2429"/>
                </w:tcPr>
                <w:p>
                  <w:r>
                    <w:rPr>
                      <w:rFonts w:ascii="Times New Roman" w:hAnsi="Times New Roman" w:eastAsia="바탕"/>
                      <w:sz w:val="18"/>
                    </w:rPr>
                    <w:t>Western Sydney University</w:t>
                  </w:r>
                </w:p>
              </w:tc>
              <w:tc>
                <w:tcPr>
                  <w:tcW w:type="dxa" w:w="2429"/>
                </w:tcPr>
                <w:p>
                  <w:r>
                    <w:rPr>
                      <w:rFonts w:ascii="Times New Roman" w:hAnsi="Times New Roman" w:eastAsia="바탕"/>
                      <w:sz w:val="18"/>
                    </w:rPr>
                    <w:t>Australia</w:t>
                  </w:r>
                </w:p>
              </w:tc>
            </w:tr>
            <w:tr>
              <w:tc>
                <w:tcPr>
                  <w:tcW w:type="dxa" w:w="2429"/>
                </w:tcPr>
                <w:p>
                  <w:r>
                    <w:rPr>
                      <w:rFonts w:ascii="Times New Roman" w:hAnsi="Times New Roman" w:eastAsia="바탕"/>
                      <w:sz w:val="18"/>
                    </w:rPr>
                    <w:t>Barbara Báldy</w:t>
                  </w:r>
                </w:p>
              </w:tc>
              <w:tc>
                <w:tcPr>
                  <w:tcW w:type="dxa" w:w="2429"/>
                </w:tcPr>
                <w:p>
                  <w:r>
                    <w:rPr>
                      <w:rFonts w:ascii="Times New Roman" w:hAnsi="Times New Roman" w:eastAsia="바탕"/>
                      <w:sz w:val="18"/>
                    </w:rPr>
                    <w:t>(no position given)</w:t>
                  </w:r>
                </w:p>
              </w:tc>
              <w:tc>
                <w:tcPr>
                  <w:tcW w:type="dxa" w:w="2429"/>
                </w:tcPr>
                <w:p>
                  <w:r>
                    <w:rPr>
                      <w:rFonts w:ascii="Times New Roman" w:hAnsi="Times New Roman" w:eastAsia="바탕"/>
                      <w:sz w:val="18"/>
                    </w:rPr>
                    <w:t>Semmelweis University</w:t>
                  </w:r>
                </w:p>
              </w:tc>
              <w:tc>
                <w:tcPr>
                  <w:tcW w:type="dxa" w:w="2429"/>
                </w:tcPr>
                <w:p>
                  <w:r>
                    <w:rPr>
                      <w:rFonts w:ascii="Times New Roman" w:hAnsi="Times New Roman" w:eastAsia="바탕"/>
                      <w:sz w:val="18"/>
                    </w:rPr>
                    <w:t>Hungary</w:t>
                  </w:r>
                </w:p>
              </w:tc>
            </w:tr>
          </w:tbl>
          <w:p/>
          <w:p>
            <w:pPr>
              <w:spacing w:after="120"/>
            </w:pPr>
          </w:p>
          <w:p>
            <w:pPr>
              <w:spacing w:after="80" w:line="276" w:lineRule="auto"/>
              <w:jc w:val="both"/>
            </w:pPr>
            <w:r>
              <w:rPr>
                <w:rFonts w:ascii="Times New Roman" w:hAnsi="Times New Roman" w:eastAsia="바탕"/>
                <w:sz w:val="20"/>
              </w:rPr>
              <w:t>Half the respondents work outside Korea. Since this app claims not to be for one particular region (§1.2), we judged that the people reviewing it should not be concentrated in one country either, and when building the list we separately researched and added groups for Eastern Europe, the Middle East and North Africa, South Asia, Latin America, Southeast Asia and Africa. Those groups are 40.5% of the 1,103.</w:t>
            </w:r>
          </w:p>
          <w:p>
            <w:pPr>
              <w:spacing w:after="80" w:line="276" w:lineRule="auto"/>
              <w:jc w:val="both"/>
            </w:pPr>
            <w:r>
              <w:rPr>
                <w:rFonts w:ascii="Times New Roman" w:hAnsi="Times New Roman" w:eastAsia="바탕"/>
                <w:sz w:val="20"/>
              </w:rPr>
              <w:t>One thing has to be set down here. Forty-three percent of respondents (15 people) answered that they "almost never" encounter someone unable to read a written medication instruction. Four answered that they encounter such a person almost daily. And one respondent pointed this out directly. It means the answers to this question are themselves evidence about the premise of §1.1, and not in a direction that favours us.</w:t>
            </w:r>
          </w:p>
          <w:p>
            <w:pPr>
              <w:spacing w:before="120" w:after="20"/>
            </w:pPr>
            <w:r>
              <w:rPr>
                <w:rFonts w:ascii="Times New Roman" w:hAnsi="Times New Roman" w:eastAsia="바탕"/>
                <w:b/>
                <w:sz w:val="21"/>
              </w:rPr>
              <w:t>5.7.4 What they answered</w:t>
            </w:r>
          </w:p>
          <w:p>
            <w:pPr>
              <w:spacing w:after="80" w:line="276" w:lineRule="auto"/>
              <w:jc w:val="both"/>
            </w:pPr>
            <w:r>
              <w:rPr>
                <w:rFonts w:ascii="Times New Roman" w:hAnsi="Times New Roman" w:eastAsia="바탕"/>
                <w:sz w:val="20"/>
              </w:rPr>
              <w:t>The questions calling for a judgement on the demonstration were attached to five segments only. They were not attached to the law, standards and industry segments. Ruling on patient comprehension is not something that can be done from those positions, and mixing unqualified answers into the denominator makes the resulting proportion a proportion of nothing.</w:t>
            </w:r>
          </w:p>
          <w:p>
            <w:pPr>
              <w:spacing w:after="80" w:line="276" w:lineRule="auto"/>
              <w:jc w:val="both"/>
            </w:pPr>
            <w:r>
              <w:rPr>
                <w:rFonts w:ascii="Times New Roman" w:hAnsi="Times New Roman" w:eastAsia="바탕"/>
                <w:sz w:val="20"/>
              </w:rPr>
              <w:t>[Table 45] Could a patient who cannot read take their medicine correctly, alone, with only these screens? (five qualified segments, n = 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Answer</w:t>
                  </w:r>
                </w:p>
              </w:tc>
              <w:tc>
                <w:tcPr>
                  <w:tcW w:type="dxa" w:w="4857"/>
                  <w:shd w:val="clear" w:fill="F2F2F2"/>
                </w:tcPr>
                <w:p>
                  <w:r>
                    <w:rPr>
                      <w:rFonts w:ascii="Times New Roman" w:hAnsi="Times New Roman" w:eastAsia="바탕"/>
                      <w:b/>
                      <w:sz w:val="18"/>
                    </w:rPr>
                    <w:t>Responses</w:t>
                  </w:r>
                </w:p>
              </w:tc>
            </w:tr>
            <w:tr>
              <w:tc>
                <w:tcPr>
                  <w:tcW w:type="dxa" w:w="4857"/>
                </w:tcPr>
                <w:p>
                  <w:r>
                    <w:rPr>
                      <w:rFonts w:ascii="Times New Roman" w:hAnsi="Times New Roman" w:eastAsia="바탕"/>
                      <w:sz w:val="18"/>
                    </w:rPr>
                    <w:t>Partly. Some of it would work and some would not</w:t>
                  </w:r>
                </w:p>
              </w:tc>
              <w:tc>
                <w:tcPr>
                  <w:tcW w:type="dxa" w:w="4857"/>
                </w:tcPr>
                <w:p>
                  <w:r>
                    <w:rPr>
                      <w:rFonts w:ascii="Times New Roman" w:hAnsi="Times New Roman" w:eastAsia="바탕"/>
                      <w:sz w:val="18"/>
                    </w:rPr>
                    <w:t>17</w:t>
                  </w:r>
                </w:p>
              </w:tc>
            </w:tr>
            <w:tr>
              <w:tc>
                <w:tcPr>
                  <w:tcW w:type="dxa" w:w="4857"/>
                </w:tcPr>
                <w:p>
                  <w:r>
                    <w:rPr>
                      <w:rFonts w:ascii="Times New Roman" w:hAnsi="Times New Roman" w:eastAsia="바탕"/>
                      <w:sz w:val="18"/>
                    </w:rPr>
                    <w:t>Yes, it probably could</w:t>
                  </w:r>
                </w:p>
              </w:tc>
              <w:tc>
                <w:tcPr>
                  <w:tcW w:type="dxa" w:w="4857"/>
                </w:tcPr>
                <w:p>
                  <w:r>
                    <w:rPr>
                      <w:rFonts w:ascii="Times New Roman" w:hAnsi="Times New Roman" w:eastAsia="바탕"/>
                      <w:sz w:val="18"/>
                    </w:rPr>
                    <w:t>7</w:t>
                  </w:r>
                </w:p>
              </w:tc>
            </w:tr>
            <w:tr>
              <w:tc>
                <w:tcPr>
                  <w:tcW w:type="dxa" w:w="4857"/>
                </w:tcPr>
                <w:p>
                  <w:r>
                    <w:rPr>
                      <w:rFonts w:ascii="Times New Roman" w:hAnsi="Times New Roman" w:eastAsia="바탕"/>
                      <w:sz w:val="18"/>
                    </w:rPr>
                    <w:t>No basis on which to judge</w:t>
                  </w:r>
                </w:p>
              </w:tc>
              <w:tc>
                <w:tcPr>
                  <w:tcW w:type="dxa" w:w="4857"/>
                </w:tcPr>
                <w:p>
                  <w:r>
                    <w:rPr>
                      <w:rFonts w:ascii="Times New Roman" w:hAnsi="Times New Roman" w:eastAsia="바탕"/>
                      <w:sz w:val="18"/>
                    </w:rPr>
                    <w:t>1</w:t>
                  </w:r>
                </w:p>
              </w:tc>
            </w:tr>
            <w:tr>
              <w:tc>
                <w:tcPr>
                  <w:tcW w:type="dxa" w:w="4857"/>
                </w:tcPr>
                <w:p>
                  <w:r>
                    <w:rPr>
                      <w:rFonts w:ascii="Times New Roman" w:hAnsi="Times New Roman" w:eastAsia="바탕"/>
                      <w:sz w:val="18"/>
                    </w:rPr>
                    <w:t>No</w:t>
                  </w:r>
                </w:p>
              </w:tc>
              <w:tc>
                <w:tcPr>
                  <w:tcW w:type="dxa" w:w="4857"/>
                </w:tcPr>
                <w:p>
                  <w:r>
                    <w:rPr>
                      <w:rFonts w:ascii="Times New Roman" w:hAnsi="Times New Roman" w:eastAsia="바탕"/>
                      <w:sz w:val="18"/>
                    </w:rPr>
                    <w:t>0</w:t>
                  </w:r>
                </w:p>
              </w:tc>
            </w:tr>
          </w:tbl>
          <w:p/>
          <w:p>
            <w:pPr>
              <w:spacing w:after="120"/>
            </w:pPr>
          </w:p>
          <w:p>
            <w:pPr>
              <w:spacing w:after="80" w:line="276" w:lineRule="auto"/>
              <w:jc w:val="both"/>
            </w:pPr>
            <w:r>
              <w:rPr>
                <w:rFonts w:ascii="Times New Roman" w:hAnsi="Times New Roman" w:eastAsia="바탕"/>
                <w:sz w:val="20"/>
              </w:rPr>
              <w:t>The zero for "No" and the two thirds for "Partly" have to be read together. No one answered that the approach itself is wrong, and only a few answered that it is sufficient as it stands. Of the five who answered the broad question across the five segments, four chose "that there is no validation with people" as the first thing to resolve.</w:t>
            </w:r>
          </w:p>
          <w:p>
            <w:pPr>
              <w:spacing w:after="80" w:line="276" w:lineRule="auto"/>
              <w:jc w:val="both"/>
            </w:pPr>
            <w:r>
              <w:rPr>
                <w:rFonts w:ascii="Times New Roman" w:hAnsi="Times New Roman" w:eastAsia="바탕"/>
                <w:sz w:val="20"/>
              </w:rPr>
              <w:t>In the pharmacy segment, 9 of 12 answered that a pharmacist should review the instructions this app produces every time, with 3 answering that once at the start is enough. As to where it belongs, 7 chose a tool supporting the pharmacist's explanation, 3 a means for the patient to check alone at home, and 2 an alternative route for patients a pharmacist cannot reach. As to what must not be wrong medically, 7 named dose and frequency, 3 named contraindications and interactions, and one each named route of administration and not stopping early.</w:t>
            </w:r>
          </w:p>
          <w:p>
            <w:pPr>
              <w:spacing w:after="80" w:line="276" w:lineRule="auto"/>
              <w:jc w:val="both"/>
            </w:pPr>
            <w:r>
              <w:rPr>
                <w:rFonts w:ascii="Times New Roman" w:hAnsi="Times New Roman" w:eastAsia="바탕"/>
                <w:sz w:val="20"/>
              </w:rPr>
              <w:t>In the nursing and public health segment, asked whether it can change health outcomes, 8 of 9 answered that it can once the conditions are met, and one answered differently. Professor Raghupathy Anchala of the Public Health Foundation of India judged that dosing behaviour might change but not outcomes. It sits in the same place as the third item in §5.9, where we record that we make no claim about clinical outcomes, and although the split is eight to one, the side this document stands on is the one.</w:t>
            </w:r>
          </w:p>
          <w:p>
            <w:pPr>
              <w:spacing w:after="80" w:line="276" w:lineRule="auto"/>
              <w:jc w:val="both"/>
            </w:pPr>
            <w:r>
              <w:rPr>
                <w:rFonts w:ascii="Times New Roman" w:hAnsi="Times New Roman" w:eastAsia="바탕"/>
                <w:sz w:val="20"/>
              </w:rPr>
              <w:t>In the nursing and public health segment, 6 of 9 answered that the patient and the carer should be designed for separately. This app is designed on the premise that the patient uses it alone, so what was caught is the premise rather than a feature.</w:t>
            </w:r>
          </w:p>
          <w:p>
            <w:pPr>
              <w:spacing w:before="120" w:after="20"/>
            </w:pPr>
            <w:r>
              <w:rPr>
                <w:rFonts w:ascii="Times New Roman" w:hAnsi="Times New Roman" w:eastAsia="바탕"/>
                <w:b/>
                <w:sz w:val="21"/>
              </w:rPr>
              <w:t>5.7.5 How far the numbers can be pushed</w:t>
            </w:r>
          </w:p>
          <w:p>
            <w:pPr>
              <w:spacing w:after="80" w:line="276" w:lineRule="auto"/>
              <w:jc w:val="both"/>
            </w:pPr>
            <w:r>
              <w:rPr>
                <w:rFonts w:ascii="Times New Roman" w:hAnsi="Times New Roman" w:eastAsia="바탕"/>
                <w:sz w:val="20"/>
              </w:rPr>
              <w:t>The sample is small. The judgement question went only to the five qualified segments, so n = 25 there, and questions taking all respondents as the denominator have n = 35. So rather than recording proportions alone we record how much those proportions move. The intervals below are 95% confidence intervals by the Wilson method. With a small sample the normal approximation produces intervals dropping below 0 or exceeding 1; Wilson does not.</w:t>
            </w:r>
          </w:p>
          <w:p>
            <w:pPr>
              <w:spacing w:after="80" w:line="276" w:lineRule="auto"/>
              <w:jc w:val="both"/>
            </w:pPr>
            <w:r>
              <w:rPr>
                <w:rFonts w:ascii="Times New Roman" w:hAnsi="Times New Roman" w:eastAsia="바탕"/>
                <w:sz w:val="20"/>
              </w:rPr>
              <w:t>[Table 46] Proportions and 95% confidence intervals for the judgement question (n = 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Answer</w:t>
                  </w:r>
                </w:p>
              </w:tc>
              <w:tc>
                <w:tcPr>
                  <w:tcW w:type="dxa" w:w="2429"/>
                  <w:shd w:val="clear" w:fill="F2F2F2"/>
                </w:tcPr>
                <w:p>
                  <w:r>
                    <w:rPr>
                      <w:rFonts w:ascii="Times New Roman" w:hAnsi="Times New Roman" w:eastAsia="바탕"/>
                      <w:b/>
                      <w:sz w:val="18"/>
                    </w:rPr>
                    <w:t>Responses</w:t>
                  </w:r>
                </w:p>
              </w:tc>
              <w:tc>
                <w:tcPr>
                  <w:tcW w:type="dxa" w:w="2429"/>
                  <w:shd w:val="clear" w:fill="F2F2F2"/>
                </w:tcPr>
                <w:p>
                  <w:r>
                    <w:rPr>
                      <w:rFonts w:ascii="Times New Roman" w:hAnsi="Times New Roman" w:eastAsia="바탕"/>
                      <w:b/>
                      <w:sz w:val="18"/>
                    </w:rPr>
                    <w:t>Proportion</w:t>
                  </w:r>
                </w:p>
              </w:tc>
              <w:tc>
                <w:tcPr>
                  <w:tcW w:type="dxa" w:w="2429"/>
                  <w:shd w:val="clear" w:fill="F2F2F2"/>
                </w:tcPr>
                <w:p>
                  <w:r>
                    <w:rPr>
                      <w:rFonts w:ascii="Times New Roman" w:hAnsi="Times New Roman" w:eastAsia="바탕"/>
                      <w:b/>
                      <w:sz w:val="18"/>
                    </w:rPr>
                    <w:t>95% CI</w:t>
                  </w:r>
                </w:p>
              </w:tc>
            </w:tr>
            <w:tr>
              <w:tc>
                <w:tcPr>
                  <w:tcW w:type="dxa" w:w="2429"/>
                </w:tcPr>
                <w:p>
                  <w:r>
                    <w:rPr>
                      <w:rFonts w:ascii="Times New Roman" w:hAnsi="Times New Roman" w:eastAsia="바탕"/>
                      <w:sz w:val="18"/>
                    </w:rPr>
                    <w:t>Partly</w:t>
                  </w:r>
                </w:p>
              </w:tc>
              <w:tc>
                <w:tcPr>
                  <w:tcW w:type="dxa" w:w="2429"/>
                </w:tcPr>
                <w:p>
                  <w:r>
                    <w:rPr>
                      <w:rFonts w:ascii="Times New Roman" w:hAnsi="Times New Roman" w:eastAsia="바탕"/>
                      <w:sz w:val="18"/>
                    </w:rPr>
                    <w:t>17 / 25</w:t>
                  </w:r>
                </w:p>
              </w:tc>
              <w:tc>
                <w:tcPr>
                  <w:tcW w:type="dxa" w:w="2429"/>
                </w:tcPr>
                <w:p>
                  <w:r>
                    <w:rPr>
                      <w:rFonts w:ascii="Times New Roman" w:hAnsi="Times New Roman" w:eastAsia="바탕"/>
                      <w:sz w:val="18"/>
                    </w:rPr>
                    <w:t>68.0%</w:t>
                  </w:r>
                </w:p>
              </w:tc>
              <w:tc>
                <w:tcPr>
                  <w:tcW w:type="dxa" w:w="2429"/>
                </w:tcPr>
                <w:p>
                  <w:r>
                    <w:rPr>
                      <w:rFonts w:ascii="Times New Roman" w:hAnsi="Times New Roman" w:eastAsia="바탕"/>
                      <w:sz w:val="18"/>
                    </w:rPr>
                    <w:t>48.4% – 82.8%</w:t>
                  </w:r>
                </w:p>
              </w:tc>
            </w:tr>
            <w:tr>
              <w:tc>
                <w:tcPr>
                  <w:tcW w:type="dxa" w:w="2429"/>
                </w:tcPr>
                <w:p>
                  <w:r>
                    <w:rPr>
                      <w:rFonts w:ascii="Times New Roman" w:hAnsi="Times New Roman" w:eastAsia="바탕"/>
                      <w:sz w:val="18"/>
                    </w:rPr>
                    <w:t>Yes, it probably could</w:t>
                  </w:r>
                </w:p>
              </w:tc>
              <w:tc>
                <w:tcPr>
                  <w:tcW w:type="dxa" w:w="2429"/>
                </w:tcPr>
                <w:p>
                  <w:r>
                    <w:rPr>
                      <w:rFonts w:ascii="Times New Roman" w:hAnsi="Times New Roman" w:eastAsia="바탕"/>
                      <w:sz w:val="18"/>
                    </w:rPr>
                    <w:t>7 / 25</w:t>
                  </w:r>
                </w:p>
              </w:tc>
              <w:tc>
                <w:tcPr>
                  <w:tcW w:type="dxa" w:w="2429"/>
                </w:tcPr>
                <w:p>
                  <w:r>
                    <w:rPr>
                      <w:rFonts w:ascii="Times New Roman" w:hAnsi="Times New Roman" w:eastAsia="바탕"/>
                      <w:sz w:val="18"/>
                    </w:rPr>
                    <w:t>28.0%</w:t>
                  </w:r>
                </w:p>
              </w:tc>
              <w:tc>
                <w:tcPr>
                  <w:tcW w:type="dxa" w:w="2429"/>
                </w:tcPr>
                <w:p>
                  <w:r>
                    <w:rPr>
                      <w:rFonts w:ascii="Times New Roman" w:hAnsi="Times New Roman" w:eastAsia="바탕"/>
                      <w:sz w:val="18"/>
                    </w:rPr>
                    <w:t>14.3% – 47.6%</w:t>
                  </w:r>
                </w:p>
              </w:tc>
            </w:tr>
            <w:tr>
              <w:tc>
                <w:tcPr>
                  <w:tcW w:type="dxa" w:w="2429"/>
                </w:tcPr>
                <w:p>
                  <w:r>
                    <w:rPr>
                      <w:rFonts w:ascii="Times New Roman" w:hAnsi="Times New Roman" w:eastAsia="바탕"/>
                      <w:sz w:val="18"/>
                    </w:rPr>
                    <w:t>No basis on which to judge</w:t>
                  </w:r>
                </w:p>
              </w:tc>
              <w:tc>
                <w:tcPr>
                  <w:tcW w:type="dxa" w:w="2429"/>
                </w:tcPr>
                <w:p>
                  <w:r>
                    <w:rPr>
                      <w:rFonts w:ascii="Times New Roman" w:hAnsi="Times New Roman" w:eastAsia="바탕"/>
                      <w:sz w:val="18"/>
                    </w:rPr>
                    <w:t>1 / 25</w:t>
                  </w:r>
                </w:p>
              </w:tc>
              <w:tc>
                <w:tcPr>
                  <w:tcW w:type="dxa" w:w="2429"/>
                </w:tcPr>
                <w:p>
                  <w:r>
                    <w:rPr>
                      <w:rFonts w:ascii="Times New Roman" w:hAnsi="Times New Roman" w:eastAsia="바탕"/>
                      <w:sz w:val="18"/>
                    </w:rPr>
                    <w:t>4.0%</w:t>
                  </w:r>
                </w:p>
              </w:tc>
              <w:tc>
                <w:tcPr>
                  <w:tcW w:type="dxa" w:w="2429"/>
                </w:tcPr>
                <w:p>
                  <w:r>
                    <w:rPr>
                      <w:rFonts w:ascii="Times New Roman" w:hAnsi="Times New Roman" w:eastAsia="바탕"/>
                      <w:sz w:val="18"/>
                    </w:rPr>
                    <w:t>0.7% – 19.5%</w:t>
                  </w:r>
                </w:p>
              </w:tc>
            </w:tr>
            <w:tr>
              <w:tc>
                <w:tcPr>
                  <w:tcW w:type="dxa" w:w="2429"/>
                </w:tcPr>
                <w:p>
                  <w:r>
                    <w:rPr>
                      <w:rFonts w:ascii="Times New Roman" w:hAnsi="Times New Roman" w:eastAsia="바탕"/>
                      <w:sz w:val="18"/>
                    </w:rPr>
                    <w:t>No</w:t>
                  </w:r>
                </w:p>
              </w:tc>
              <w:tc>
                <w:tcPr>
                  <w:tcW w:type="dxa" w:w="2429"/>
                </w:tcPr>
                <w:p>
                  <w:r>
                    <w:rPr>
                      <w:rFonts w:ascii="Times New Roman" w:hAnsi="Times New Roman" w:eastAsia="바탕"/>
                      <w:sz w:val="18"/>
                    </w:rPr>
                    <w:t>0 / 25</w:t>
                  </w:r>
                </w:p>
              </w:tc>
              <w:tc>
                <w:tcPr>
                  <w:tcW w:type="dxa" w:w="2429"/>
                </w:tcPr>
                <w:p>
                  <w:r>
                    <w:rPr>
                      <w:rFonts w:ascii="Times New Roman" w:hAnsi="Times New Roman" w:eastAsia="바탕"/>
                      <w:sz w:val="18"/>
                    </w:rPr>
                    <w:t>0.0%</w:t>
                  </w:r>
                </w:p>
              </w:tc>
              <w:tc>
                <w:tcPr>
                  <w:tcW w:type="dxa" w:w="2429"/>
                </w:tcPr>
                <w:p>
                  <w:r>
                    <w:rPr>
                      <w:rFonts w:ascii="Times New Roman" w:hAnsi="Times New Roman" w:eastAsia="바탕"/>
                      <w:sz w:val="18"/>
                    </w:rPr>
                    <w:t>0.0% – 13.3%</w:t>
                  </w:r>
                </w:p>
              </w:tc>
            </w:tr>
          </w:tbl>
          <w:p/>
          <w:p>
            <w:pPr>
              <w:spacing w:after="120"/>
            </w:pPr>
          </w:p>
          <w:p>
            <w:pPr>
              <w:spacing w:before="160" w:after="60"/>
              <w:jc w:val="center"/>
            </w:pPr>
            <w:r>
              <w:drawing>
                <wp:inline xmlns:a="http://schemas.openxmlformats.org/drawingml/2006/main" xmlns:pic="http://schemas.openxmlformats.org/drawingml/2006/picture">
                  <wp:extent cx="5486400" cy="2377440"/>
                  <wp:docPr id="42" name="Picture 42"/>
                  <wp:cNvGraphicFramePr>
                    <a:graphicFrameLocks noChangeAspect="1"/>
                  </wp:cNvGraphicFramePr>
                  <a:graphic>
                    <a:graphicData uri="http://schemas.openxmlformats.org/drawingml/2006/picture">
                      <pic:pic>
                        <pic:nvPicPr>
                          <pic:cNvPr id="0" name="chart10_survey.png"/>
                          <pic:cNvPicPr/>
                        </pic:nvPicPr>
                        <pic:blipFill>
                          <a:blip r:embed="rId59"/>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42]</w:t>
            </w:r>
            <w:r>
              <w:rPr>
                <w:rFonts w:ascii="Times New Roman" w:hAnsi="Times New Roman" w:eastAsia="바탕"/>
                <w:color w:val="606068"/>
                <w:sz w:val="18"/>
              </w:rPr>
              <w:t xml:space="preserve"> Proportions and 95% confidence intervals for the judgement question (n = 25). The dot is the proportion, the line is the interval. The width of the intervals is the size of this sample, and what to read in this figure is the length of the lines rather than the position of the dots. Even with zero "No" answers, the interval reaches 13.3%.</w:t>
            </w:r>
          </w:p>
          <w:p>
            <w:pPr>
              <w:spacing w:after="80" w:line="276" w:lineRule="auto"/>
              <w:jc w:val="both"/>
            </w:pPr>
            <w:r>
              <w:rPr>
                <w:rFonts w:ascii="Times New Roman" w:hAnsi="Times New Roman" w:eastAsia="바탕"/>
                <w:sz w:val="20"/>
              </w:rPr>
              <w:t>The last row is the place in this table to be most careful about. Zero "No" answers does not mean no one would answer that way. What this sample supports is that the proportion is probably below 13.3%, and as many as three in 25 would not contradict this result.</w:t>
            </w:r>
          </w:p>
          <w:p>
            <w:pPr>
              <w:spacing w:after="80" w:line="276" w:lineRule="auto"/>
              <w:jc w:val="both"/>
            </w:pPr>
            <w:r>
              <w:rPr>
                <w:rFonts w:ascii="Times New Roman" w:hAnsi="Times New Roman" w:eastAsia="바탕"/>
                <w:sz w:val="20"/>
              </w:rPr>
              <w:t>We then tested whether differences exist between groups. Fisher's exact test was used throughout. Chi-squared cannot be used when an expected cell frequency falls below 5, and the tables from this sample always do. It is the same reason the same test is used for allergy inference in §2.5.</w:t>
            </w:r>
          </w:p>
          <w:p>
            <w:pPr>
              <w:spacing w:after="80" w:line="276" w:lineRule="auto"/>
              <w:jc w:val="both"/>
            </w:pPr>
            <w:r>
              <w:rPr>
                <w:rFonts w:ascii="Times New Roman" w:hAnsi="Times New Roman" w:eastAsia="바탕"/>
                <w:sz w:val="20"/>
              </w:rPr>
              <w:t>[Table 47] Tests of difference between groups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43"/>
              <w:gridCol w:w="1943"/>
              <w:gridCol w:w="1943"/>
              <w:gridCol w:w="1943"/>
              <w:gridCol w:w="1943"/>
            </w:tblGrid>
            <w:tr>
              <w:tc>
                <w:tcPr>
                  <w:tcW w:type="dxa" w:w="1943"/>
                  <w:shd w:val="clear" w:fill="F2F2F2"/>
                </w:tcPr>
                <w:p>
                  <w:r>
                    <w:rPr>
                      <w:rFonts w:ascii="Times New Roman" w:hAnsi="Times New Roman" w:eastAsia="바탕"/>
                      <w:b/>
                      <w:sz w:val="18"/>
                    </w:rPr>
                    <w:t>What against what</w:t>
                  </w:r>
                </w:p>
              </w:tc>
              <w:tc>
                <w:tcPr>
                  <w:tcW w:type="dxa" w:w="1943"/>
                  <w:shd w:val="clear" w:fill="F2F2F2"/>
                </w:tcPr>
                <w:p>
                  <w:r>
                    <w:rPr>
                      <w:rFonts w:ascii="Times New Roman" w:hAnsi="Times New Roman" w:eastAsia="바탕"/>
                      <w:b/>
                      <w:sz w:val="18"/>
                    </w:rPr>
                    <w:t>Observed</w:t>
                  </w:r>
                </w:p>
              </w:tc>
              <w:tc>
                <w:tcPr>
                  <w:tcW w:type="dxa" w:w="1943"/>
                  <w:shd w:val="clear" w:fill="F2F2F2"/>
                </w:tcPr>
                <w:p>
                  <w:r>
                    <w:rPr>
                      <w:rFonts w:ascii="Times New Roman" w:hAnsi="Times New Roman" w:eastAsia="바탕"/>
                      <w:b/>
                      <w:sz w:val="18"/>
                    </w:rPr>
                    <w:t>Test</w:t>
                  </w:r>
                </w:p>
              </w:tc>
              <w:tc>
                <w:tcPr>
                  <w:tcW w:type="dxa" w:w="1943"/>
                  <w:shd w:val="clear" w:fill="F2F2F2"/>
                </w:tcPr>
                <w:p>
                  <w:r>
                    <w:rPr>
                      <w:rFonts w:ascii="Times New Roman" w:hAnsi="Times New Roman" w:eastAsia="바탕"/>
                      <w:b/>
                      <w:sz w:val="18"/>
                    </w:rPr>
                    <w:t>p</w:t>
                  </w:r>
                </w:p>
              </w:tc>
              <w:tc>
                <w:tcPr>
                  <w:tcW w:type="dxa" w:w="1943"/>
                  <w:shd w:val="clear" w:fill="F2F2F2"/>
                </w:tcPr>
                <w:p>
                  <w:r>
                    <w:rPr>
                      <w:rFonts w:ascii="Times New Roman" w:hAnsi="Times New Roman" w:eastAsia="바탕"/>
                      <w:b/>
                      <w:sz w:val="18"/>
                    </w:rPr>
                    <w:t>Verdict</w:t>
                  </w:r>
                </w:p>
              </w:tc>
            </w:tr>
            <w:tr>
              <w:tc>
                <w:tcPr>
                  <w:tcW w:type="dxa" w:w="1943"/>
                </w:tcPr>
                <w:p>
                  <w:r>
                    <w:rPr>
                      <w:rFonts w:ascii="Times New Roman" w:hAnsi="Times New Roman" w:eastAsia="바탕"/>
                      <w:sz w:val="18"/>
                    </w:rPr>
                    <w:t>Contact frequency vs judgement</w:t>
                  </w:r>
                </w:p>
              </w:tc>
              <w:tc>
                <w:tcPr>
                  <w:tcW w:type="dxa" w:w="1943"/>
                </w:tcPr>
                <w:p>
                  <w:r>
                    <w:rPr>
                      <w:rFonts w:ascii="Times New Roman" w:hAnsi="Times New Roman" w:eastAsia="바탕"/>
                      <w:sz w:val="18"/>
                    </w:rPr>
                    <w:t>"possible" in 2/4 frequent, 5/21 rare</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sz w:val="18"/>
                    </w:rPr>
                    <w:t>0.548</w:t>
                  </w:r>
                </w:p>
              </w:tc>
              <w:tc>
                <w:tcPr>
                  <w:tcW w:type="dxa" w:w="1943"/>
                </w:tcPr>
                <w:p>
                  <w:r>
                    <w:rPr>
                      <w:rFonts w:ascii="Times New Roman" w:hAnsi="Times New Roman" w:eastAsia="바탕"/>
                      <w:sz w:val="18"/>
                    </w:rPr>
                    <w:t>no difference can be claimed</w:t>
                  </w:r>
                </w:p>
              </w:tc>
            </w:tr>
            <w:tr>
              <w:tc>
                <w:tcPr>
                  <w:tcW w:type="dxa" w:w="1943"/>
                </w:tcPr>
                <w:p>
                  <w:r>
                    <w:rPr>
                      <w:rFonts w:ascii="Times New Roman" w:hAnsi="Times New Roman" w:eastAsia="바탕"/>
                      <w:sz w:val="18"/>
                    </w:rPr>
                    <w:t>Occupation vs judgement</w:t>
                  </w:r>
                </w:p>
              </w:tc>
              <w:tc>
                <w:tcPr>
                  <w:tcW w:type="dxa" w:w="1943"/>
                </w:tcPr>
                <w:p>
                  <w:r>
                    <w:rPr>
                      <w:rFonts w:ascii="Times New Roman" w:hAnsi="Times New Roman" w:eastAsia="바탕"/>
                      <w:sz w:val="18"/>
                    </w:rPr>
                    <w:t>"possible" in 4/12 pharmacy, 3/9 nursing</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sz w:val="18"/>
                    </w:rPr>
                    <w:t>1.000</w:t>
                  </w:r>
                </w:p>
              </w:tc>
              <w:tc>
                <w:tcPr>
                  <w:tcW w:type="dxa" w:w="1943"/>
                </w:tcPr>
                <w:p>
                  <w:r>
                    <w:rPr>
                      <w:rFonts w:ascii="Times New Roman" w:hAnsi="Times New Roman" w:eastAsia="바탕"/>
                      <w:sz w:val="18"/>
                    </w:rPr>
                    <w:t>no difference can be claimed</w:t>
                  </w:r>
                </w:p>
              </w:tc>
            </w:tr>
            <w:tr>
              <w:tc>
                <w:tcPr>
                  <w:tcW w:type="dxa" w:w="1943"/>
                </w:tcPr>
                <w:p>
                  <w:r>
                    <w:rPr>
                      <w:rFonts w:ascii="Times New Roman" w:hAnsi="Times New Roman" w:eastAsia="바탕"/>
                      <w:sz w:val="18"/>
                    </w:rPr>
                    <w:t>Response rate, band A vs B</w:t>
                  </w:r>
                </w:p>
              </w:tc>
              <w:tc>
                <w:tcPr>
                  <w:tcW w:type="dxa" w:w="1943"/>
                </w:tcPr>
                <w:p>
                  <w:r>
                    <w:rPr>
                      <w:rFonts w:ascii="Times New Roman" w:hAnsi="Times New Roman" w:eastAsia="바탕"/>
                      <w:sz w:val="18"/>
                    </w:rPr>
                    <w:t>0/41 against 39/1,062</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sz w:val="18"/>
                    </w:rPr>
                    <w:t>0.396</w:t>
                  </w:r>
                </w:p>
              </w:tc>
              <w:tc>
                <w:tcPr>
                  <w:tcW w:type="dxa" w:w="1943"/>
                </w:tcPr>
                <w:p>
                  <w:r>
                    <w:rPr>
                      <w:rFonts w:ascii="Times New Roman" w:hAnsi="Times New Roman" w:eastAsia="바탕"/>
                      <w:sz w:val="18"/>
                    </w:rPr>
                    <w:t>no difference can be claimed</w:t>
                  </w:r>
                </w:p>
              </w:tc>
            </w:tr>
            <w:tr>
              <w:tc>
                <w:tcPr>
                  <w:tcW w:type="dxa" w:w="1943"/>
                </w:tcPr>
                <w:p>
                  <w:r>
                    <w:rPr>
                      <w:rFonts w:ascii="Times New Roman" w:hAnsi="Times New Roman" w:eastAsia="바탕"/>
                      <w:sz w:val="18"/>
                    </w:rPr>
                    <w:t>Language vs judgement</w:t>
                  </w:r>
                </w:p>
              </w:tc>
              <w:tc>
                <w:tcPr>
                  <w:tcW w:type="dxa" w:w="1943"/>
                </w:tcPr>
                <w:p>
                  <w:r>
                    <w:rPr>
                      <w:rFonts w:ascii="Times New Roman" w:hAnsi="Times New Roman" w:eastAsia="바탕"/>
                      <w:sz w:val="18"/>
                    </w:rPr>
                    <w:t>"possible" in 0/11 Korean, 7/14 English</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b/>
                      <w:sz w:val="18"/>
                    </w:rPr>
                    <w:t>0.0078</w:t>
                  </w:r>
                </w:p>
              </w:tc>
              <w:tc>
                <w:tcPr>
                  <w:tcW w:type="dxa" w:w="1943"/>
                </w:tcPr>
                <w:p>
                  <w:r>
                    <w:rPr>
                      <w:rFonts w:ascii="Times New Roman" w:hAnsi="Times New Roman" w:eastAsia="바탕"/>
                      <w:sz w:val="18"/>
                    </w:rPr>
                    <w:t>exceeds the corrected threshold</w:t>
                  </w:r>
                </w:p>
              </w:tc>
            </w:tr>
            <w:tr>
              <w:tc>
                <w:tcPr>
                  <w:tcW w:type="dxa" w:w="1943"/>
                </w:tcPr>
                <w:p>
                  <w:r>
                    <w:rPr>
                      <w:rFonts w:ascii="Times New Roman" w:hAnsi="Times New Roman" w:eastAsia="바탕"/>
                      <w:sz w:val="18"/>
                    </w:rPr>
                    <w:t>Language vs time taken</w:t>
                  </w:r>
                </w:p>
              </w:tc>
              <w:tc>
                <w:tcPr>
                  <w:tcW w:type="dxa" w:w="1943"/>
                </w:tcPr>
                <w:p>
                  <w:r>
                    <w:rPr>
                      <w:rFonts w:ascii="Times New Roman" w:hAnsi="Times New Roman" w:eastAsia="바탕"/>
                      <w:sz w:val="18"/>
                    </w:rPr>
                    <w:t>median 7.1 min against 24.0 min</w:t>
                  </w:r>
                </w:p>
              </w:tc>
              <w:tc>
                <w:tcPr>
                  <w:tcW w:type="dxa" w:w="1943"/>
                </w:tcPr>
                <w:p>
                  <w:r>
                    <w:rPr>
                      <w:rFonts w:ascii="Times New Roman" w:hAnsi="Times New Roman" w:eastAsia="바탕"/>
                      <w:sz w:val="18"/>
                    </w:rPr>
                    <w:t>Mann-Whitney</w:t>
                  </w:r>
                </w:p>
              </w:tc>
              <w:tc>
                <w:tcPr>
                  <w:tcW w:type="dxa" w:w="1943"/>
                </w:tcPr>
                <w:p>
                  <w:r>
                    <w:rPr>
                      <w:rFonts w:ascii="Times New Roman" w:hAnsi="Times New Roman" w:eastAsia="바탕"/>
                      <w:sz w:val="18"/>
                    </w:rPr>
                    <w:t>0.029</w:t>
                  </w:r>
                </w:p>
              </w:tc>
              <w:tc>
                <w:tcPr>
                  <w:tcW w:type="dxa" w:w="1943"/>
                </w:tcPr>
                <w:p>
                  <w:r>
                    <w:rPr>
                      <w:rFonts w:ascii="Times New Roman" w:hAnsi="Times New Roman" w:eastAsia="바탕"/>
                      <w:sz w:val="18"/>
                    </w:rPr>
                    <w:t>below threshold after correction</w:t>
                  </w:r>
                </w:p>
              </w:tc>
            </w:tr>
            <w:tr>
              <w:tc>
                <w:tcPr>
                  <w:tcW w:type="dxa" w:w="1943"/>
                </w:tcPr>
                <w:p>
                  <w:r>
                    <w:rPr>
                      <w:rFonts w:ascii="Times New Roman" w:hAnsi="Times New Roman" w:eastAsia="바탕"/>
                      <w:sz w:val="18"/>
                    </w:rPr>
                    <w:t>Time taken vs free-text volume</w:t>
                  </w:r>
                </w:p>
              </w:tc>
              <w:tc>
                <w:tcPr>
                  <w:tcW w:type="dxa" w:w="1943"/>
                </w:tcPr>
                <w:p>
                  <w:r>
                    <w:rPr>
                      <w:rFonts w:ascii="Times New Roman" w:hAnsi="Times New Roman" w:eastAsia="바탕"/>
                      <w:sz w:val="18"/>
                    </w:rPr>
                    <w:t>rho = 0.723</w:t>
                  </w:r>
                </w:p>
              </w:tc>
              <w:tc>
                <w:tcPr>
                  <w:tcW w:type="dxa" w:w="1943"/>
                </w:tcPr>
                <w:p>
                  <w:r>
                    <w:rPr>
                      <w:rFonts w:ascii="Times New Roman" w:hAnsi="Times New Roman" w:eastAsia="바탕"/>
                      <w:sz w:val="18"/>
                    </w:rPr>
                    <w:t>Spearman</w:t>
                  </w:r>
                </w:p>
              </w:tc>
              <w:tc>
                <w:tcPr>
                  <w:tcW w:type="dxa" w:w="1943"/>
                </w:tcPr>
                <w:p>
                  <w:r>
                    <w:rPr>
                      <w:rFonts w:ascii="Times New Roman" w:hAnsi="Times New Roman" w:eastAsia="바탕"/>
                      <w:sz w:val="18"/>
                    </w:rPr>
                    <w:t>&lt; 0.0001</w:t>
                  </w:r>
                </w:p>
              </w:tc>
              <w:tc>
                <w:tcPr>
                  <w:tcW w:type="dxa" w:w="1943"/>
                </w:tcPr>
                <w:p>
                  <w:r>
                    <w:rPr>
                      <w:rFonts w:ascii="Times New Roman" w:hAnsi="Times New Roman" w:eastAsia="바탕"/>
                      <w:sz w:val="18"/>
                    </w:rPr>
                    <w:t>significant</w:t>
                  </w:r>
                </w:p>
              </w:tc>
            </w:tr>
          </w:tbl>
          <w:p/>
          <w:p>
            <w:pPr>
              <w:spacing w:after="120"/>
            </w:pPr>
          </w:p>
          <w:p>
            <w:pPr>
              <w:spacing w:after="80" w:line="276" w:lineRule="auto"/>
              <w:jc w:val="both"/>
            </w:pPr>
            <w:r>
              <w:rPr>
                <w:rFonts w:ascii="Times New Roman" w:hAnsi="Times New Roman" w:eastAsia="바탕"/>
                <w:sz w:val="20"/>
              </w:rPr>
              <w:t>Six tests were run, so the Bonferroni-corrected threshold is 0.0083. Two rows exceed it. We counted that number as five in an earlier version and wrote the threshold as 0.010. The error ran in our favour, so it is recorded here. The p in the fourth row is 0.0078 against a threshold of 0.0083, so the conclusion did not change, but the margin is 0.0005. That is a width one more response could overturn again. Having written that in an earlier version, four more responses did in fact arrive. The judgement question goes only to the five qualified segments, and all four of the new respondents fall outside them, so the denominator of 25 was unchanged and p did not move from 0.0078. The risk we flagged did not materialise this time; it has not gone away. The last says people who stayed longer wrote more, which is not a finding about content. The fourth is different. Not one of the eleven who answered in Korean answered "possible", while half of the fourteen who answered in English did.</w:t>
            </w:r>
          </w:p>
          <w:p>
            <w:pPr>
              <w:spacing w:after="80" w:line="276" w:lineRule="auto"/>
              <w:jc w:val="both"/>
            </w:pPr>
            <w:r>
              <w:rPr>
                <w:rFonts w:ascii="Times New Roman" w:hAnsi="Times New Roman" w:eastAsia="바탕"/>
                <w:sz w:val="20"/>
              </w:rPr>
              <w:t xml:space="preserve">Here is why we do not turn that row into a claim. </w:t>
            </w:r>
            <w:r>
              <w:rPr>
                <w:rFonts w:ascii="Times New Roman" w:hAnsi="Times New Roman" w:eastAsia="바탕"/>
                <w:b/>
                <w:sz w:val="20"/>
              </w:rPr>
              <w:t>One person crossed the threshold.</w:t>
            </w:r>
            <w:r>
              <w:rPr>
                <w:rFonts w:ascii="Times New Roman" w:hAnsi="Times New Roman" w:eastAsia="바탕"/>
                <w:sz w:val="20"/>
              </w:rPr>
              <w:t xml:space="preserve"> At 34 responses the value was 0.019, short of the corrected threshold; adding one respondent who answered in Korean and chose something other than "possible" brought it to 0.0078. Where a conclusion turns on a single person, that fact is more accurate information than the conclusion. Up to the previous version this section read "nothing in this survey supports a claim of difference between groups", and we set this down as we correct that sentence.</w:t>
            </w:r>
          </w:p>
          <w:p>
            <w:pPr>
              <w:spacing w:after="80" w:line="276" w:lineRule="auto"/>
              <w:jc w:val="both"/>
            </w:pPr>
            <w:r>
              <w:rPr>
                <w:rFonts w:ascii="Times New Roman" w:hAnsi="Times New Roman" w:eastAsia="바탕"/>
                <w:sz w:val="20"/>
              </w:rPr>
              <w:t>The second reason is the one already given. Language is entangled with the respondent's country, occupation and screen. Seventeen of the eighteen Korean-language respondents recorded Korea only, and the median time taken splits 7.1 minutes against 24.0. Even if a difference exists, this data cannot separate whether it is due to language, to the time put into the response, or to the condition in §1.2 that encountering a low-literate patient is rare in Korea.</w:t>
            </w:r>
          </w:p>
          <w:p>
            <w:pPr>
              <w:spacing w:after="80" w:line="276" w:lineRule="auto"/>
              <w:jc w:val="both"/>
            </w:pPr>
            <w:r>
              <w:rPr>
                <w:rFonts w:ascii="Times New Roman" w:hAnsi="Times New Roman" w:eastAsia="바탕"/>
                <w:sz w:val="20"/>
              </w:rPr>
              <w:t>Dropping the non-significant tests and reporting only the significant one would be the worst thing that could be done with this sample, so everything that was run is recorded. Bolding the row that crossed the threshold is for the same reason. We do not hide that it crossed, and we put how it crossed beside it.</w:t>
            </w:r>
          </w:p>
          <w:p>
            <w:pPr>
              <w:spacing w:after="80" w:line="276" w:lineRule="auto"/>
              <w:jc w:val="both"/>
            </w:pPr>
            <w:r>
              <w:rPr>
                <w:rFonts w:ascii="Times New Roman" w:hAnsi="Times New Roman" w:eastAsia="바탕"/>
                <w:sz w:val="20"/>
              </w:rPr>
              <w:t>The sixth row is worth reading on its own. A rank correlation of 0.723 between time taken and free-text volume means that people who stayed longer did in fact write more, and it can serve as a proxy for the care taken over a response. The median time taken is 9.3 minutes, with quartiles at 6.0 and 40.5 minutes. E. A. Draffan, retired speech and language therapist and visiting accessibility researcher, noted separately that they were interrupted partway and that their own time should not be read as time actually spent.</w:t>
            </w:r>
          </w:p>
          <w:p>
            <w:pPr>
              <w:spacing w:after="80" w:line="276" w:lineRule="auto"/>
              <w:jc w:val="both"/>
            </w:pPr>
            <w:r>
              <w:rPr>
                <w:rFonts w:ascii="Times New Roman" w:hAnsi="Times New Roman" w:eastAsia="바탕"/>
                <w:sz w:val="20"/>
              </w:rPr>
              <w:t>Free text was written by 33 of the 39 respondents, 124 items in all. Counting by keyword how many people independently raised the same point gives 6 on the absence of validation, 5 on too many elements in one image, 6 on blind users, 4 on the prohibition marking and 4 on referring to existing sets. That count is by words we chose, however, so the body text uses the counts a person read and confirmed.</w:t>
            </w:r>
          </w:p>
          <w:p>
            <w:pPr>
              <w:spacing w:before="120" w:after="20"/>
            </w:pPr>
            <w:r>
              <w:rPr>
                <w:rFonts w:ascii="Times New Roman" w:hAnsi="Times New Roman" w:eastAsia="바탕"/>
                <w:b/>
                <w:sz w:val="21"/>
              </w:rPr>
              <w:t>5.7.6 Points raised in several countries at once</w:t>
            </w:r>
          </w:p>
          <w:p>
            <w:pPr>
              <w:spacing w:after="80" w:line="276" w:lineRule="auto"/>
              <w:jc w:val="both"/>
            </w:pPr>
            <w:r>
              <w:rPr>
                <w:rFonts w:ascii="Times New Roman" w:hAnsi="Times New Roman" w:eastAsia="바탕"/>
                <w:sz w:val="20"/>
              </w:rPr>
              <w:t xml:space="preserve">The heaviest finding was that a prohibition is not read as a prohibition. The morpheme for pregnancy contraindication, </w:t>
            </w:r>
            <w:r>
              <w:rPr>
                <w:rFonts w:ascii="Consolas" w:hAnsi="Consolas" w:eastAsia="Consolas"/>
                <w:sz w:val="19"/>
              </w:rPr>
              <w:t>state_pregnant</w:t>
            </w:r>
            <w:r>
              <w:rPr>
                <w:rFonts w:ascii="Times New Roman" w:hAnsi="Times New Roman" w:eastAsia="바탕"/>
                <w:sz w:val="20"/>
              </w:rPr>
              <w:t>, is a picture of a pregnant woman with no prohibition marking. The prescription says "do not use during pregnancy" and the speech says so too, but to someone looking only at the picture it reads the other way round.</w:t>
            </w:r>
          </w:p>
          <w:p>
            <w:pPr>
              <w:spacing w:after="40" w:line="276" w:lineRule="auto"/>
              <w:ind w:left="403"/>
            </w:pPr>
            <w:r>
              <w:rPr>
                <w:rFonts w:ascii="Times New Roman" w:hAnsi="Times New Roman" w:eastAsia="바탕"/>
                <w:i/>
                <w:color w:val="606068"/>
                <w:sz w:val="19"/>
              </w:rPr>
              <w:t>"In second example, the prescription read not to use the eyedrops in pregnancy while the pictogram showed a pregnant woman making the patient assume it is safe to use in pregnancy."</w:t>
            </w:r>
          </w:p>
          <w:p>
            <w:pPr>
              <w:spacing w:after="180" w:line="276" w:lineRule="auto"/>
              <w:ind w:left="403"/>
            </w:pPr>
            <w:r>
              <w:rPr>
                <w:rFonts w:ascii="Times New Roman" w:hAnsi="Times New Roman" w:eastAsia="바탕"/>
                <w:i w:val="0"/>
                <w:color w:val="606068"/>
                <w:sz w:val="19"/>
              </w:rPr>
              <w:t>(Professor Atif Usman, The Islamia University of Bahawalpur)</w:t>
            </w:r>
          </w:p>
          <w:p>
            <w:pPr>
              <w:spacing w:after="40" w:line="276" w:lineRule="auto"/>
              <w:ind w:left="403"/>
            </w:pPr>
            <w:r>
              <w:rPr>
                <w:rFonts w:ascii="Times New Roman" w:hAnsi="Times New Roman" w:eastAsia="바탕"/>
                <w:i/>
                <w:color w:val="606068"/>
                <w:sz w:val="19"/>
              </w:rPr>
              <w:t>"Putting a pregnant mother symbol does not explains that it is not safe for pregnant mother to consume the meds. Perhaps you will need to add a \"X\" symbol somewhere in the picture"</w:t>
            </w:r>
          </w:p>
          <w:p>
            <w:pPr>
              <w:spacing w:after="180" w:line="276" w:lineRule="auto"/>
              <w:ind w:left="403"/>
            </w:pPr>
            <w:r>
              <w:rPr>
                <w:rFonts w:ascii="Times New Roman" w:hAnsi="Times New Roman" w:eastAsia="바탕"/>
                <w:i w:val="0"/>
                <w:color w:val="606068"/>
                <w:sz w:val="19"/>
              </w:rPr>
              <w:t>(Sheron Sir Loon Goh, Pharmacy Lecturer, Department of Clinical Pharmacy and Pharmacy Practice)</w:t>
            </w:r>
          </w:p>
          <w:p>
            <w:pPr>
              <w:spacing w:after="80" w:line="276" w:lineRule="auto"/>
              <w:jc w:val="both"/>
            </w:pPr>
            <w:r>
              <w:rPr>
                <w:rFonts w:ascii="Times New Roman" w:hAnsi="Times New Roman" w:eastAsia="바탕"/>
                <w:sz w:val="20"/>
              </w:rPr>
              <w:t>Raisa Kravchenko, Deputy Director of the All Ukrainian NGO Coalition for Persons with Intellectual Disabilities in Ukraine, wrote that "with no danger marking it can be understood as being recommended for pregnant women", and Professor Eun-Kyoung Kim of Kongju National University noted that "'you must do this' and 'you must not' are not properly distinguished; the 'must not' in particular ought to be emphasised." The same statement came from four different countries.</w:t>
            </w:r>
          </w:p>
          <w:p>
            <w:pPr>
              <w:spacing w:after="80" w:line="276" w:lineRule="auto"/>
              <w:jc w:val="both"/>
            </w:pPr>
            <w:r>
              <w:rPr>
                <w:rFonts w:ascii="Times New Roman" w:hAnsi="Times New Roman" w:eastAsia="바탕"/>
                <w:b/>
                <w:sz w:val="20"/>
              </w:rPr>
              <w:t>This is exactly the critical confusion that ANSI Z535.3, cited in §1.8, is about.</w:t>
            </w:r>
            <w:r>
              <w:rPr>
                <w:rFonts w:ascii="Times New Roman" w:hAnsi="Times New Roman" w:eastAsia="바탕"/>
                <w:sz w:val="20"/>
              </w:rPr>
              <w:t xml:space="preserve"> And as described in §2.2 the engine already has the </w:t>
            </w:r>
            <w:r>
              <w:rPr>
                <w:rFonts w:ascii="Consolas" w:hAnsi="Consolas" w:eastAsia="Consolas"/>
                <w:sz w:val="19"/>
              </w:rPr>
              <w:t>\no{}</w:t>
            </w:r>
            <w:r>
              <w:rPr>
                <w:rFonts w:ascii="Times New Roman" w:hAnsi="Times New Roman" w:eastAsia="바탕"/>
                <w:sz w:val="20"/>
              </w:rPr>
              <w:t xml:space="preserve"> operator and can draw the prohibition circle and slash. </w:t>
            </w:r>
            <w:r>
              <w:rPr>
                <w:rFonts w:ascii="Consolas" w:hAnsi="Consolas" w:eastAsia="Consolas"/>
                <w:sz w:val="19"/>
              </w:rPr>
              <w:t>\no{\contact_lens}</w:t>
            </w:r>
            <w:r>
              <w:rPr>
                <w:rFonts w:ascii="Times New Roman" w:hAnsi="Times New Roman" w:eastAsia="바탕"/>
                <w:sz w:val="20"/>
              </w:rPr>
              <w:t xml:space="preserve"> in the same demonstration comes out with the slash on it. The code emitting contraindications simply was not calling it. It is a defect caused by not calling a capability that exists rather than by a capability being absent, which is the same kind as the 0 of 28 in §5.1.</w:t>
            </w:r>
          </w:p>
          <w:p>
            <w:pPr>
              <w:spacing w:after="80" w:line="276" w:lineRule="auto"/>
              <w:jc w:val="both"/>
            </w:pPr>
            <w:r>
              <w:rPr>
                <w:rFonts w:ascii="Times New Roman" w:hAnsi="Times New Roman" w:eastAsia="바탕"/>
                <w:sz w:val="20"/>
              </w:rPr>
              <w:t>The same kind of inversion was raised for the finish-the-course morpheme.</w:t>
            </w:r>
          </w:p>
          <w:p>
            <w:pPr>
              <w:spacing w:after="40" w:line="276" w:lineRule="auto"/>
              <w:ind w:left="403"/>
            </w:pPr>
            <w:r>
              <w:rPr>
                <w:rFonts w:ascii="Times New Roman" w:hAnsi="Times New Roman" w:eastAsia="바탕"/>
                <w:i/>
                <w:color w:val="606068"/>
                <w:sz w:val="19"/>
              </w:rPr>
              <w:t>"The symbol do not show what it means. For me it means I do not need to finish the course as your black dots did not complete the fully. you may want to add a arrow symbol for direction so that its clearer?"</w:t>
            </w:r>
          </w:p>
          <w:p>
            <w:pPr>
              <w:spacing w:after="180" w:line="276" w:lineRule="auto"/>
              <w:ind w:left="403"/>
            </w:pPr>
            <w:r>
              <w:rPr>
                <w:rFonts w:ascii="Times New Roman" w:hAnsi="Times New Roman" w:eastAsia="바탕"/>
                <w:i w:val="0"/>
                <w:color w:val="606068"/>
                <w:sz w:val="19"/>
              </w:rPr>
              <w:t>(Sheron Sir Loon Goh, Pharmacy Lecturer, Department of Clinical Pharmacy and Pharmacy Practice)</w:t>
            </w:r>
          </w:p>
          <w:p>
            <w:pPr>
              <w:spacing w:after="80" w:line="276" w:lineRule="auto"/>
              <w:jc w:val="both"/>
            </w:pPr>
            <w:r>
              <w:rPr>
                <w:rFonts w:ascii="Consolas" w:hAnsi="Consolas" w:eastAsia="Consolas"/>
                <w:sz w:val="19"/>
              </w:rPr>
              <w:t>finish_course</w:t>
            </w:r>
            <w:r>
              <w:rPr>
                <w:rFonts w:ascii="Times New Roman" w:hAnsi="Times New Roman" w:eastAsia="바탕"/>
                <w:sz w:val="20"/>
              </w:rPr>
              <w:t xml:space="preserve"> is the very morpheme named in the SDG 3.d contribution of §5.8 as what this app aims at. The finding is that it reads as the exact opposite.</w:t>
            </w:r>
          </w:p>
          <w:p>
            <w:pPr>
              <w:spacing w:after="80" w:line="276" w:lineRule="auto"/>
              <w:jc w:val="both"/>
            </w:pPr>
            <w:r>
              <w:rPr>
                <w:rFonts w:ascii="Times New Roman" w:hAnsi="Times New Roman" w:eastAsia="바탕"/>
                <w:sz w:val="20"/>
              </w:rPr>
              <w:t>Too many elements in one image was raised in three countries. Myojung Choi, a researcher at the Korea Disabled People's Development Institute, wrote that "if additional information is presented as small images inside the eye-drop bottle pictogram, the information overlaps and legibility falls, so present the dosage form early and separate the details", and Yonghan Lee, Senior Manager at the Korea Craft and Design Foundation, proposed splitting the explanation into two or three. The structure of SIGIL, designed in §2.2 to place modifiers in a slot inside the head, is what is caught here.</w:t>
            </w:r>
          </w:p>
          <w:p>
            <w:pPr>
              <w:spacing w:after="80" w:line="276" w:lineRule="auto"/>
              <w:jc w:val="both"/>
            </w:pPr>
            <w:r>
              <w:rPr>
                <w:rFonts w:ascii="Times New Roman" w:hAnsi="Times New Roman" w:eastAsia="바탕"/>
                <w:sz w:val="20"/>
              </w:rPr>
              <w:t>The target population differs from our premise was raised five times. Yonghan Lee, Senior Manager at the Korea Craft and Design Foundation, said that "the largest group of people who cannot read is likely to be blind people rather than non-literate people, and for a blind person the act of taking a photograph is itself a barrier." Niken Nur Widyakusuma, a pharmacist in Indonesia, also answered that she sees far more patients with visual impairment, and Professor Hwi-Yeol Yun of Chungnam National University College of Pharmacy answered that in Korea it is mainly foreign patients. It runs in the same direction as what we wrote in §1.5, that even someone who can read has no guarantee the text is in their own language, and it means we defined the target too narrowly.</w:t>
            </w:r>
          </w:p>
          <w:p>
            <w:pPr>
              <w:spacing w:after="80" w:line="276" w:lineRule="auto"/>
              <w:jc w:val="both"/>
            </w:pPr>
            <w:r>
              <w:rPr>
                <w:rFonts w:ascii="Times New Roman" w:hAnsi="Times New Roman" w:eastAsia="바탕"/>
                <w:sz w:val="20"/>
              </w:rPr>
              <w:t>Associate Professor Hangil Lee of the College of Pharmacy, Ewha Womans University, went one step further into it. Three things have to be separated.</w:t>
            </w:r>
          </w:p>
          <w:p>
            <w:pPr>
              <w:spacing w:after="40" w:line="276" w:lineRule="auto"/>
              <w:ind w:left="403"/>
            </w:pPr>
            <w:r>
              <w:rPr>
                <w:rFonts w:ascii="Times New Roman" w:hAnsi="Times New Roman" w:eastAsia="바탕"/>
                <w:i/>
                <w:color w:val="606068"/>
                <w:sz w:val="19"/>
              </w:rPr>
              <w:t>"Apart from patients with obvious visual impairment, there are cases where it is hard to tell straight away whether someone can read. Being totally blind and therefore unable to see text, having low vision, and having low literacy have to be distinguished. I think pictograms can help in the low-literacy case."</w:t>
            </w:r>
          </w:p>
          <w:p>
            <w:pPr>
              <w:spacing w:after="180" w:line="276" w:lineRule="auto"/>
              <w:ind w:left="403"/>
            </w:pPr>
            <w:r>
              <w:rPr>
                <w:rFonts w:ascii="Times New Roman" w:hAnsi="Times New Roman" w:eastAsia="바탕"/>
                <w:i w:val="0"/>
                <w:color w:val="606068"/>
                <w:sz w:val="19"/>
              </w:rPr>
              <w:t>(Associate Professor Hangil Lee, College of Pharmacy, Ewha Womans University)</w:t>
            </w:r>
          </w:p>
          <w:p>
            <w:pPr>
              <w:spacing w:after="80" w:line="276" w:lineRule="auto"/>
              <w:jc w:val="both"/>
            </w:pPr>
            <w:r>
              <w:rPr>
                <w:rFonts w:ascii="Times New Roman" w:hAnsi="Times New Roman" w:eastAsia="바탕"/>
                <w:sz w:val="20"/>
              </w:rPr>
              <w:t>Where the earlier five responses said "there are more blind people", this one divides that group again. A totally blind person cannot see the picture at all; low vision is a question of size and contrast; low literacy is a question of letters. The three ask for different things. And this response's verdict is that the place pictograms work is the last of the three. It attaches to the point in §1.5 where, having recorded 2.2 billion people with vision impairment, we noted that this source cannot tell us how far the two groups overlap; here is how those three actually divide in practice.</w:t>
            </w:r>
          </w:p>
          <w:p>
            <w:pPr>
              <w:spacing w:after="80" w:line="276" w:lineRule="auto"/>
              <w:jc w:val="both"/>
            </w:pPr>
            <w:r>
              <w:rPr>
                <w:rFonts w:ascii="Times New Roman" w:hAnsi="Times New Roman" w:eastAsia="바탕"/>
                <w:sz w:val="20"/>
              </w:rPr>
              <w:t>The same respondent pointed at institutional material we did not know about: a comparative study of domestic and international guidelines for braille labelling on medicines (Yakhak Hoeji), and the Ministry of Food and Drug Safety guideline on braille and voice and sign-language conversion codes for medicines and quasi-drugs. It means standards and guidance already exist for the layer we chose not to address, and it makes us look again at leaving blindness among the unverified items in §5.9. If this app ever does address that layer, it should follow that guidance rather than design something new.</w:t>
            </w:r>
          </w:p>
          <w:p>
            <w:pPr>
              <w:spacing w:before="120" w:after="20"/>
            </w:pPr>
            <w:r>
              <w:rPr>
                <w:rFonts w:ascii="Times New Roman" w:hAnsi="Times New Roman" w:eastAsia="바탕"/>
                <w:b/>
                <w:sz w:val="21"/>
              </w:rPr>
              <w:t>5.7.7 Individual findings</w:t>
            </w:r>
          </w:p>
          <w:p>
            <w:pPr>
              <w:spacing w:after="80" w:line="276" w:lineRule="auto"/>
              <w:jc w:val="both"/>
            </w:pPr>
            <w:r>
              <w:rPr>
                <w:rFonts w:ascii="Times New Roman" w:hAnsi="Times New Roman" w:eastAsia="바탕"/>
                <w:sz w:val="20"/>
              </w:rPr>
              <w:t>Foued Maaoui, a researcher at the Pasteur Institute of Tunis, noted the absence of teach-back. There is no procedure for confirming that the patient understood correctly, and from a patient-safety standpoint the absence of this feedback loop is a serious risk.</w:t>
            </w:r>
          </w:p>
          <w:p>
            <w:pPr>
              <w:spacing w:after="80" w:line="276" w:lineRule="auto"/>
              <w:jc w:val="both"/>
            </w:pPr>
            <w:r>
              <w:rPr>
                <w:rFonts w:ascii="Times New Roman" w:hAnsi="Times New Roman" w:eastAsia="바탕"/>
                <w:sz w:val="20"/>
              </w:rPr>
              <w:t xml:space="preserve">There is evidence behind that point. A systematic review synthesising 20 studies of teach-back found positive results in 19, with significant improvement in medication adherence and diet among patients with type 2 diabetes (Talevski, J., Wong Shee, A., Rasmussen, B., Kemp, G. &amp; Beauchamp, A., "Teach-back: A systematic review of implementation and impacts," </w:t>
            </w:r>
            <w:r>
              <w:rPr>
                <w:rFonts w:ascii="Times New Roman" w:hAnsi="Times New Roman" w:eastAsia="바탕"/>
                <w:i/>
                <w:sz w:val="20"/>
              </w:rPr>
              <w:t>PLOS ONE</w:t>
            </w:r>
            <w:r>
              <w:rPr>
                <w:rFonts w:ascii="Times New Roman" w:hAnsi="Times New Roman" w:eastAsia="바탕"/>
                <w:sz w:val="20"/>
              </w:rPr>
              <w:t>, 15(4):e0231350, 2020). It is exactly the procedure that Professor Samirah Abdu-Aguye of Ahmadu Bello University in Nigeria answered she currently uses in practice. Acting on this point we built a checking step, described in §3.8. Instead of speaking back, the user points at pictures; whether that substitution produces the same confirming effect has not yet been put to people. The same respondent also set out a validation design: work with low-literate participants and do not substitute educated volunteers; use predefined scoring criteria and blinded assessors; test pictogram-only, audio-only and both separately; and use real prescriptions rather than a clean demonstration. The evaluation design in §5.10 was revised accordingly.</w:t>
            </w:r>
          </w:p>
          <w:p>
            <w:pPr>
              <w:spacing w:after="80" w:line="276" w:lineRule="auto"/>
              <w:jc w:val="both"/>
            </w:pPr>
            <w:r>
              <w:rPr>
                <w:rFonts w:ascii="Times New Roman" w:hAnsi="Times New Roman" w:eastAsia="바탕"/>
                <w:sz w:val="20"/>
              </w:rPr>
              <w:t>Professor Celia of the University of Pretoria judged that it would not work on handwritten prescriptions. Up to the survey we had tested only with printed samples, so it was a point we could not answer; after the survey we measured three times and answered it.</w:t>
            </w:r>
          </w:p>
          <w:p>
            <w:pPr>
              <w:spacing w:after="80" w:line="276" w:lineRule="auto"/>
              <w:jc w:val="both"/>
            </w:pPr>
            <w:r>
              <w:rPr>
                <w:rFonts w:ascii="Times New Roman" w:hAnsi="Times New Roman" w:eastAsia="바탕"/>
                <w:sz w:val="20"/>
              </w:rPr>
              <w:t xml:space="preserve">First we put in a real one: a public-domain (CC0) photograph of a handwritten prescription from the Eye Foundation Hospital in Lagos. The result was worse than the objection. It did not fail to work; it </w:t>
            </w:r>
            <w:r>
              <w:rPr>
                <w:rFonts w:ascii="Times New Roman" w:hAnsi="Times New Roman" w:eastAsia="바탕"/>
                <w:b/>
                <w:sz w:val="20"/>
              </w:rPr>
              <w:t>worked wrongly.</w:t>
            </w:r>
            <w:r>
              <w:rPr>
                <w:rFonts w:ascii="Times New Roman" w:hAnsi="Times New Roman" w:eastAsia="바탕"/>
                <w:sz w:val="20"/>
              </w:rPr>
              <w:t xml:space="preserve"> It read the paper's "8hrly" (every 8 hours) as "8mg", so a frequency became a dose; three dosing times the paper never mentions were attached; and a green verdict lit up on top. That is different from not reading. When it cannot read, the user asks a person; when it reads like this, it is confidently wrong. We fixed three things. Frequency abbreviations (hrly, od, bd, tds, nocte and so on) were built into recognition; times absent from the paper are no longer invented, the schedule is left empty; and when the model judges the writing handwritten, no green light comes on and the screen tells the user to ask a person while offering the paper form (§4.4) as another route. What is read is not erased. What is erased is the confidence.</w:t>
            </w:r>
          </w:p>
          <w:p>
            <w:pPr>
              <w:spacing w:after="80" w:line="276" w:lineRule="auto"/>
              <w:jc w:val="both"/>
            </w:pPr>
            <w:r>
              <w:rPr>
                <w:rFonts w:ascii="Times New Roman" w:hAnsi="Times New Roman" w:eastAsia="바탕"/>
                <w:sz w:val="20"/>
              </w:rPr>
              <w:t>Fixing it surfaced one more. The caution verdict was drawing a slash across the pictogram, so the moment the handwriting caution attached, a prohibition mark was drawn over the glaucoma eye-drop picture. That amounts to telling someone to stop their medicine because the paper is hard to read, the exact mirror image of the failure this app set out to prevent. The slash now goes out only on avoid, locked with a test.</w:t>
            </w:r>
          </w:p>
          <w:p>
            <w:pPr>
              <w:spacing w:after="80" w:line="276" w:lineRule="auto"/>
              <w:jc w:val="both"/>
            </w:pPr>
            <w:r>
              <w:rPr>
                <w:rFonts w:ascii="Times New Roman" w:hAnsi="Times New Roman" w:eastAsia="바탕"/>
                <w:sz w:val="20"/>
              </w:rPr>
              <w:t>One photograph is a case, not a measurement, so we measured again on public data: 500 samples from the test split of 5,578 handwritten drug names cut from real Bangladeshi prescriptions (RxHandBD, Zenodo 18478741, MIT licence). Bangladesh is the country of respondent Aliya Naheed, Senior Scientist. All 500 were read, with no failures. The result: read exactly, 45.2%; off by a character or two, 28.2%; read as something else entirely, 26.6%. The middle band is the more dangerous one. Escilex read as Eslilex, and one character away there can be a different real drug; this dataset itself contains Inderen and Indever side by side.</w:t>
            </w:r>
          </w:p>
          <w:p>
            <w:pPr>
              <w:spacing w:after="80" w:line="276" w:lineRule="auto"/>
              <w:jc w:val="both"/>
            </w:pPr>
            <w:r>
              <w:rPr>
                <w:rFonts w:ascii="Times New Roman" w:hAnsi="Times New Roman" w:eastAsia="바탕"/>
                <w:sz w:val="20"/>
              </w:rPr>
              <w:t>We also measured whether confidence can filter it. It cannot, and the way it fails is not what we first supposed.</w:t>
            </w:r>
          </w:p>
          <w:p>
            <w:pPr>
              <w:spacing w:after="80" w:line="276" w:lineRule="auto"/>
              <w:jc w:val="both"/>
            </w:pPr>
            <w:r>
              <w:rPr>
                <w:rFonts w:ascii="Times New Roman" w:hAnsi="Times New Roman" w:eastAsia="바탕"/>
                <w:sz w:val="20"/>
              </w:rPr>
              <w:t xml:space="preserve">At a threshold of 0.4, 45% survive and 71.6% of those are correct. At 0.5, 20.4% survive and accuracy peaks at 83.3%, and </w:t>
            </w:r>
            <w:r>
              <w:rPr>
                <w:rFonts w:ascii="Times New Roman" w:hAnsi="Times New Roman" w:eastAsia="바탕"/>
                <w:b/>
                <w:sz w:val="20"/>
              </w:rPr>
              <w:t>raising the threshold further makes accuracy fall rather than rise</w:t>
            </w:r>
            <w:r>
              <w:rPr>
                <w:rFonts w:ascii="Times New Roman" w:hAnsi="Times New Roman" w:eastAsia="바탕"/>
                <w:sz w:val="20"/>
              </w:rPr>
              <w:t>: 79.5% at 0.6, 76.9% at 0.7, 50.0% at 0.8. Allowing for the noise of a shrinking sample, the direction does not go up.</w:t>
            </w:r>
          </w:p>
          <w:p>
            <w:pPr>
              <w:spacing w:after="80" w:line="276" w:lineRule="auto"/>
              <w:jc w:val="both"/>
            </w:pPr>
            <w:r>
              <w:rPr>
                <w:rFonts w:ascii="Times New Roman" w:hAnsi="Times New Roman" w:eastAsia="바탕"/>
                <w:sz w:val="20"/>
              </w:rPr>
              <w:t xml:space="preserve">This is where the conclusion changed from the 200-sample run. Then it was that no threshold satisfies accuracy and coverage together. At 500 we can say something stronger: </w:t>
            </w:r>
            <w:r>
              <w:rPr>
                <w:rFonts w:ascii="Times New Roman" w:hAnsi="Times New Roman" w:eastAsia="바탕"/>
                <w:b/>
                <w:sz w:val="20"/>
              </w:rPr>
              <w:t>high confidence is not evidence of correctness.</w:t>
            </w:r>
            <w:r>
              <w:rPr>
                <w:rFonts w:ascii="Times New Roman" w:hAnsi="Times New Roman" w:eastAsia="바탕"/>
                <w:sz w:val="20"/>
              </w:rPr>
              <w:t xml:space="preserve"> The conclusion that confidence cannot serve as a filter is the same, but the reason is no longer narrow coverage; it is that the relationship does not continue upward.</w:t>
            </w:r>
          </w:p>
          <w:p>
            <w:pPr>
              <w:spacing w:before="160" w:after="60"/>
              <w:jc w:val="center"/>
            </w:pPr>
            <w:r>
              <w:drawing>
                <wp:inline xmlns:a="http://schemas.openxmlformats.org/drawingml/2006/main" xmlns:pic="http://schemas.openxmlformats.org/drawingml/2006/picture">
                  <wp:extent cx="5486400" cy="2377440"/>
                  <wp:docPr id="43" name="Picture 43"/>
                  <wp:cNvGraphicFramePr>
                    <a:graphicFrameLocks noChangeAspect="1"/>
                  </wp:cNvGraphicFramePr>
                  <a:graphic>
                    <a:graphicData uri="http://schemas.openxmlformats.org/drawingml/2006/picture">
                      <pic:pic>
                        <pic:nvPicPr>
                          <pic:cNvPr id="0" name="chart21_handwriting.png"/>
                          <pic:cNvPicPr/>
                        </pic:nvPicPr>
                        <pic:blipFill>
                          <a:blip r:embed="rId60"/>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43]</w:t>
            </w:r>
            <w:r>
              <w:rPr>
                <w:rFonts w:ascii="Times New Roman" w:hAnsi="Times New Roman" w:eastAsia="바탕"/>
                <w:color w:val="606068"/>
                <w:sz w:val="18"/>
              </w:rPr>
              <w:t xml:space="preserve"> How 500 handwritten drug names were read, and why confidence cannot filter them. The right panel is the design basis: while the share surviving (grey) falls steeply, the accuracy of the survivors (blue) peaks at 0.5 and then falls again. Raising the threshold does not buy accuracy, so confidence cannot serve as a filter. The red bar on the left is the heaviest finding of this measurement. A name read as something else looks wrong; a name off by a character or two can be a different drug that actually exists.</w:t>
            </w:r>
          </w:p>
          <w:p>
            <w:pPr>
              <w:spacing w:after="80" w:line="276" w:lineRule="auto"/>
              <w:jc w:val="both"/>
            </w:pPr>
            <w:r>
              <w:rPr>
                <w:rFonts w:ascii="Times New Roman" w:hAnsi="Times New Roman" w:eastAsia="바탕"/>
                <w:sz w:val="20"/>
              </w:rPr>
              <w:t xml:space="preserve">We also measured what the user actually photographs, the full prescription page. All 200 Bangladeshi prescription pages annotated with the number of drug-name regions (Mendeley k62rfd23kz, CC BY 4.0) were sent not to the model but to the app's </w:t>
            </w:r>
            <w:r>
              <w:rPr>
                <w:rFonts w:ascii="Consolas" w:hAnsi="Consolas" w:eastAsia="Consolas"/>
                <w:sz w:val="19"/>
              </w:rPr>
              <w:t>/api/analyze</w:t>
            </w:r>
            <w:r>
              <w:rPr>
                <w:rFonts w:ascii="Times New Roman" w:hAnsi="Times New Roman" w:eastAsia="바탕"/>
                <w:sz w:val="20"/>
              </w:rPr>
              <w:t>, because a value only becomes the app's value after passing the deployed prompt and post-processing. The ground truth is a count, not text. This dataset has no drug-name text; it records how many medicines each page carries, and the count matters for a reason. If three of five medicines are read, two vanish silently, and the user takes the three on screen to be all of them.</w:t>
            </w:r>
          </w:p>
          <w:p>
            <w:pPr>
              <w:spacing w:after="80" w:line="276" w:lineRule="auto"/>
              <w:jc w:val="both"/>
            </w:pPr>
            <w:r>
              <w:rPr>
                <w:rFonts w:ascii="Times New Roman" w:hAnsi="Times New Roman" w:eastAsia="바탕"/>
                <w:sz w:val="20"/>
              </w:rPr>
              <w:t xml:space="preserve">This measurement found a defect. On the first run 11 of the 60 pages failed outright, and not at random: every one carried 5 to 12 medicines, and the same pages failed on every rerun. </w:t>
            </w:r>
            <w:r>
              <w:rPr>
                <w:rFonts w:ascii="Times New Roman" w:hAnsi="Times New Roman" w:eastAsia="바탕"/>
                <w:b/>
                <w:sz w:val="20"/>
              </w:rPr>
              <w:t>It was failing against exactly the people who need it most.</w:t>
            </w:r>
            <w:r>
              <w:rPr>
                <w:rFonts w:ascii="Times New Roman" w:hAnsi="Times New Roman" w:eastAsia="바탕"/>
                <w:sz w:val="20"/>
              </w:rPr>
              <w:t xml:space="preserve"> The person taking ten medicines needs this app most, and that very person's prescription would not read. What happened and why is in the comment of the fixed code, carried over as written:</w:t>
            </w:r>
          </w:p>
          <w:p>
            <w:pPr>
              <w:spacing w:after="160"/>
            </w:pPr>
            <w:r>
              <w:rPr>
                <w:rFonts w:ascii="Consolas" w:hAnsi="Consolas" w:eastAsia="Consolas"/>
                <w:sz w:val="18"/>
              </w:rPr>
              <w:t xml:space="preserve">      /*</w:t>
              <w:br/>
              <w:t xml:space="preserve">        It was 700. Right there, **prescriptions with many medicines were failing</w:t>
              <w:br/>
              <w:t xml:space="preserve">        outright.**</w:t>
              <w:br/>
              <w:br/>
              <w:t xml:space="preserve">        It surfaced while measuring on 60 whole Bangladeshi prescription pages.</w:t>
              <w:br/>
              <w:t xml:space="preserve">        Eleven failed, and not at random — every one of them listed 5 to 12</w:t>
              <w:br/>
              <w:t xml:space="preserve">        medicines, and it was the same pages every time. The answer was cut off at</w:t>
              <w:br/>
              <w:t xml:space="preserve">        700 tokens (`stop_reason: max_tokens`), the cut JSON failed to parse, the</w:t>
              <w:br/>
              <w:t xml:space="preserve">        failure was caught above, and the screen said "could not read it."</w:t>
              <w:br/>
              <w:t xml:space="preserve">        The actual tail of one admission order sheet:</w:t>
              <w:br/>
              <w:t xml:space="preserve">        `…urinary catheterization. 20.` — cut mid-sentence.</w:t>
              <w:br/>
              <w:br/>
              <w:t xml:space="preserve">        **It was failing against exactly the people who need it most.** Someone</w:t>
              <w:br/>
              <w:t xml:space="preserve">        taking ten medicines needs this app most, and theirs is precisely the</w:t>
              <w:br/>
              <w:t xml:space="preserve">        prescription that does not get read.</w:t>
              <w:br/>
              <w:br/>
              <w:t xml:space="preserve">        A nutrition answer fits in 700, but dosing instructions grow with the</w:t>
              <w:br/>
              <w:t xml:space="preserve">        number of medicines. Give it room — short answers end short anyway</w:t>
              <w:br/>
              <w:t xml:space="preserve">        (end_turn), so this value does not raise the cost.</w:t>
              <w:br/>
              <w:t xml:space="preserve">      */</w:t>
              <w:br/>
              <w:t xml:space="preserve">      max_tokens: 3000,</w:t>
            </w:r>
          </w:p>
          <w:p>
            <w:pPr>
              <w:spacing w:after="80" w:line="276" w:lineRule="auto"/>
              <w:jc w:val="both"/>
            </w:pPr>
            <w:r>
              <w:rPr>
                <w:rFonts w:ascii="Times New Roman" w:hAnsi="Times New Roman" w:eastAsia="바탕"/>
                <w:sz w:val="20"/>
              </w:rPr>
              <w:t>The same measurement surfaced one more defect. When a call failed briefly, the app was saying "this server has no photo recognition." A permanent statement about a passing event, and whoever hears it does not try again, because it sounds like something that cannot be fixed. The two are now split: a momentary backlog (503) says try again in a moment, and only the genuine absence of means (501) says there are none.</w:t>
            </w:r>
          </w:p>
          <w:p>
            <w:pPr>
              <w:spacing w:after="80" w:line="276" w:lineRule="auto"/>
              <w:jc w:val="both"/>
            </w:pPr>
            <w:r>
              <w:rPr>
                <w:rFonts w:ascii="Times New Roman" w:hAnsi="Times New Roman" w:eastAsia="바탕"/>
                <w:sz w:val="20"/>
              </w:rPr>
              <w:t xml:space="preserve">After the fix all 200 pages were measured again. Recognition as a prescription rose from 95.5% to </w:t>
            </w:r>
            <w:r>
              <w:rPr>
                <w:rFonts w:ascii="Times New Roman" w:hAnsi="Times New Roman" w:eastAsia="바탕"/>
                <w:b/>
                <w:sz w:val="20"/>
              </w:rPr>
              <w:t>100%</w:t>
            </w:r>
            <w:r>
              <w:rPr>
                <w:rFonts w:ascii="Times New Roman" w:hAnsi="Times New Roman" w:eastAsia="바탕"/>
                <w:sz w:val="20"/>
              </w:rPr>
              <w:t xml:space="preserve"> (200 of 200, no failures) and recall of the medicine count from 83.2% to </w:t>
            </w:r>
            <w:r>
              <w:rPr>
                <w:rFonts w:ascii="Times New Roman" w:hAnsi="Times New Roman" w:eastAsia="바탕"/>
                <w:b/>
                <w:sz w:val="20"/>
              </w:rPr>
              <w:t>86.9%</w:t>
            </w:r>
            <w:r>
              <w:rPr>
                <w:rFonts w:ascii="Times New Roman" w:hAnsi="Times New Roman" w:eastAsia="바탕"/>
                <w:sz w:val="20"/>
              </w:rPr>
              <w:t xml:space="preserve"> (944 of 1,086 annotated). The 4.5% that disappeared is exactly the prescriptions carrying the most medicines, which belong to the people who need this app most.</w:t>
            </w:r>
          </w:p>
          <w:p>
            <w:pPr>
              <w:spacing w:after="80" w:line="276" w:lineRule="auto"/>
              <w:jc w:val="both"/>
            </w:pPr>
            <w:r>
              <w:rPr>
                <w:rFonts w:ascii="Times New Roman" w:hAnsi="Times New Roman" w:eastAsia="바탕"/>
                <w:sz w:val="20"/>
              </w:rPr>
              <w:t xml:space="preserve">Handwriting was flagged on 94.5%. Opening all eleven pages that were not flagged showed computer-printed prescriptions without a single handwritten character. Since this dataset states that it mixes handwriting and print, that is a correct discrimination rather than a miss. The fourteen pages carrying a schedule were likewise all reading notation actually on the paper, the Bangladeshi </w:t>
            </w:r>
            <w:r>
              <w:rPr>
                <w:rFonts w:ascii="Consolas" w:hAnsi="Consolas" w:eastAsia="Consolas"/>
                <w:sz w:val="19"/>
              </w:rPr>
              <w:t>1+0+1</w:t>
            </w:r>
            <w:r>
              <w:rPr>
                <w:rFonts w:ascii="Times New Roman" w:hAnsi="Times New Roman" w:eastAsia="바탕"/>
                <w:sz w:val="20"/>
              </w:rPr>
              <w:t xml:space="preserve"> style.</w:t>
            </w:r>
          </w:p>
          <w:p>
            <w:pPr>
              <w:spacing w:after="80" w:line="276" w:lineRule="auto"/>
              <w:jc w:val="both"/>
            </w:pPr>
            <w:r>
              <w:rPr>
                <w:rFonts w:ascii="Times New Roman" w:hAnsi="Times New Roman" w:eastAsia="바탕"/>
                <w:sz w:val="20"/>
              </w:rPr>
              <w:t xml:space="preserve">One more limit belongs here. This measurement was sent straight to </w:t>
            </w:r>
            <w:r>
              <w:rPr>
                <w:rFonts w:ascii="Consolas" w:hAnsi="Consolas" w:eastAsia="Consolas"/>
                <w:sz w:val="19"/>
              </w:rPr>
              <w:t>/api/analyze</w:t>
            </w:r>
            <w:r>
              <w:rPr>
                <w:rFonts w:ascii="Times New Roman" w:hAnsi="Times New Roman" w:eastAsia="바탕"/>
                <w:sz w:val="20"/>
              </w:rPr>
              <w:t>, so it measures the vision-model route rather than the app's default path. A real camera runs OCR on the device first and never calls the model for a printed prescription (§3.3). Handwriting falls through to this route because OCR cannot hold it, which is what makes these figures meaningful; but rolled up as a "prescription recognition rate" they would be wrong at exactly that point.</w:t>
            </w:r>
          </w:p>
          <w:p>
            <w:pPr>
              <w:spacing w:before="160" w:after="60"/>
              <w:jc w:val="center"/>
            </w:pPr>
            <w:r>
              <w:drawing>
                <wp:inline xmlns:a="http://schemas.openxmlformats.org/drawingml/2006/main" xmlns:pic="http://schemas.openxmlformats.org/drawingml/2006/picture">
                  <wp:extent cx="5486400" cy="2103120"/>
                  <wp:docPr id="44" name="Picture 44"/>
                  <wp:cNvGraphicFramePr>
                    <a:graphicFrameLocks noChangeAspect="1"/>
                  </wp:cNvGraphicFramePr>
                  <a:graphic>
                    <a:graphicData uri="http://schemas.openxmlformats.org/drawingml/2006/picture">
                      <pic:pic>
                        <pic:nvPicPr>
                          <pic:cNvPr id="0" name="chart22_pageeval.png"/>
                          <pic:cNvPicPr/>
                        </pic:nvPicPr>
                        <pic:blipFill>
                          <a:blip r:embed="rId61"/>
                          <a:stretch>
                            <a:fillRect/>
                          </a:stretch>
                        </pic:blipFill>
                        <pic:spPr>
                          <a:xfrm>
                            <a:off x="0" y="0"/>
                            <a:ext cx="5486400" cy="210312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44]</w:t>
            </w:r>
            <w:r>
              <w:rPr>
                <w:rFonts w:ascii="Times New Roman" w:hAnsi="Times New Roman" w:eastAsia="바탕"/>
                <w:color w:val="606068"/>
                <w:sz w:val="18"/>
              </w:rPr>
              <w:t xml:space="preserve"> All 200 full prescription pages measured before and after the fix. The gap in the left pair is the pages that failed outright because the reply was truncated. A caveat belongs beside it: the two values must not be multiplied together. The 86.9% recall is a count, not letter accuracy; letter accuracy is the 45.2% of Figure 43. Different sample, different task.</w:t>
            </w:r>
          </w:p>
          <w:p>
            <w:pPr>
              <w:spacing w:after="80" w:line="276" w:lineRule="auto"/>
              <w:jc w:val="both"/>
            </w:pPr>
            <w:r>
              <w:rPr>
                <w:rFonts w:ascii="Times New Roman" w:hAnsi="Times New Roman" w:eastAsia="바탕"/>
                <w:sz w:val="20"/>
              </w:rPr>
              <w:t>Enlarging the sample overturned one thing we had written. At 200 samples, nothing carrying confidence of 0.8 or higher was wrong, and we took that as grounds for saying the model says it cannot read what it cannot read. At 500 there is one: Folzin (folic acid) read as Naprosyn (naproxen) with confidence 0.85. One in 500 is 0.2% and a small number, but not a small number given that what we were about to build on it was "let anything confident through." Had we not enlarged the sample, we would have put a design on top of a safety that was not there.</w:t>
            </w:r>
          </w:p>
          <w:p>
            <w:pPr>
              <w:spacing w:after="80" w:line="276" w:lineRule="auto"/>
              <w:jc w:val="both"/>
            </w:pPr>
            <w:r>
              <w:rPr>
                <w:rFonts w:ascii="Times New Roman" w:hAnsi="Times New Roman" w:eastAsia="바탕"/>
                <w:sz w:val="20"/>
              </w:rPr>
              <w:t>In sum, Professor Celia's point is confirmed by three measurements. This app cannot read handwriting. Two things have changed: the screen now knows it, and what the app does everywhere else is now stated in numbers.</w:t>
            </w:r>
          </w:p>
          <w:p>
            <w:pPr>
              <w:spacing w:after="80" w:line="276" w:lineRule="auto"/>
              <w:jc w:val="both"/>
            </w:pPr>
            <w:r>
              <w:rPr>
                <w:rFonts w:ascii="Times New Roman" w:hAnsi="Times New Roman" w:eastAsia="바탕"/>
                <w:sz w:val="20"/>
              </w:rPr>
              <w:t xml:space="preserve">Professor Atif Usman noted that </w:t>
            </w:r>
            <w:r>
              <w:rPr>
                <w:rFonts w:ascii="Times New Roman" w:hAnsi="Times New Roman" w:eastAsia="바탕"/>
                <w:b/>
                <w:sz w:val="20"/>
              </w:rPr>
              <w:t>the dose per intake and the number of times a day are not distinguished</w:t>
            </w:r>
            <w:r>
              <w:rPr>
                <w:rFonts w:ascii="Times New Roman" w:hAnsi="Times New Roman" w:eastAsia="바탕"/>
                <w:sz w:val="20"/>
              </w:rPr>
              <w:t>. In the amoxicillin example the first picture represents three times a day but cannot represent one capsule at a time, and the morning, midday and evening pictures that follow create confusion. This corresponds directly to the dose errors that make up 28.4% of the total in Table 4.</w:t>
            </w:r>
          </w:p>
          <w:p>
            <w:pPr>
              <w:spacing w:after="80" w:line="276" w:lineRule="auto"/>
              <w:jc w:val="both"/>
            </w:pPr>
            <w:r>
              <w:rPr>
                <w:rFonts w:ascii="Times New Roman" w:hAnsi="Times New Roman" w:eastAsia="바탕"/>
                <w:sz w:val="20"/>
              </w:rPr>
              <w:t xml:space="preserve">E. A. Draffan, retired speech and language therapist and visiting accessibility researcher at Global Symbols and the University of Southampton, wrote that AAC users frequently have visual difficulties as well, which makes an audio button hard to reach by scanning, and that since a user's communication-aid interface may differ from this app, the </w:t>
            </w:r>
            <w:r>
              <w:rPr>
                <w:rFonts w:ascii="Times New Roman" w:hAnsi="Times New Roman" w:eastAsia="바탕"/>
                <w:b/>
                <w:sz w:val="20"/>
              </w:rPr>
              <w:t>WCAG 2.2 mobile criteria</w:t>
            </w:r>
            <w:r>
              <w:rPr>
                <w:rFonts w:ascii="Times New Roman" w:hAnsi="Times New Roman" w:eastAsia="바탕"/>
                <w:sz w:val="20"/>
              </w:rPr>
              <w:t xml:space="preserve"> should be checked. There was also a point that the morning, midday and evening icons are small and need magnification. Both were addressed. What working through WCAG 2.2 found, and what we changed, are in §3.7, and the icon size was resolved not by magnification but by giving the time morphemes a cell of their own. The account of that is below.</w:t>
            </w:r>
          </w:p>
          <w:p>
            <w:pPr>
              <w:spacing w:after="80" w:line="276" w:lineRule="auto"/>
              <w:jc w:val="both"/>
            </w:pPr>
            <w:r>
              <w:rPr>
                <w:rFonts w:ascii="Times New Roman" w:hAnsi="Times New Roman" w:eastAsia="바탕"/>
                <w:sz w:val="20"/>
              </w:rPr>
              <w:t>Professor Katarina Vučićević of the University of Belgrade wrote that the refrigerated-storage and midday morphemes are confusable and proposed at least two colours: black and red for warnings, black and yellow for daytime. It is a request to revisit the decision in §3.7 to use colour only for the verdict and keep morphemes in black and white.</w:t>
            </w:r>
          </w:p>
          <w:p>
            <w:pPr>
              <w:spacing w:after="80" w:line="276" w:lineRule="auto"/>
              <w:jc w:val="both"/>
            </w:pPr>
            <w:r>
              <w:rPr>
                <w:rFonts w:ascii="Times New Roman" w:hAnsi="Times New Roman" w:eastAsia="바탕"/>
                <w:sz w:val="20"/>
              </w:rPr>
              <w:t>Professor Kyogu Lee of Seoul National University raised three things by email reply: whether recombining 78 morphemes can really cover the full range of medicines and regimens; that with the audio alongside it helps, but some pictures are not particularly intuitive; and that where the instruction is negative the pictogram should carry a slash or X, which is missing in the alcohol and pregnancy cases. The last of these found the same defect independently of the four countries in the previous section. The same respondent also proposed push notifications at dosing times and a speech-synthesis toolchain for multilingual expansion.</w:t>
            </w:r>
          </w:p>
          <w:p>
            <w:pPr>
              <w:spacing w:after="80" w:line="276" w:lineRule="auto"/>
              <w:jc w:val="both"/>
            </w:pPr>
            <w:r>
              <w:rPr>
                <w:rFonts w:ascii="Times New Roman" w:hAnsi="Times New Roman" w:eastAsia="바탕"/>
                <w:sz w:val="20"/>
              </w:rPr>
              <w:t xml:space="preserve">Aliya Naheed, Senior Scientist at icddr,b in Bangladesh, pointed at a different layer: for this app to change health outcomes the patient has to be able to buy the full course they were prescribed. What the </w:t>
            </w:r>
            <w:r>
              <w:rPr>
                <w:rFonts w:ascii="Consolas" w:hAnsi="Consolas" w:eastAsia="Consolas"/>
                <w:sz w:val="19"/>
              </w:rPr>
              <w:t>finish_course</w:t>
            </w:r>
            <w:r>
              <w:rPr>
                <w:rFonts w:ascii="Times New Roman" w:hAnsi="Times New Roman" w:eastAsia="바탕"/>
                <w:sz w:val="20"/>
              </w:rPr>
              <w:t xml:space="preserve"> morpheme sets out to convey is completing the course, and if there is no money for the medicine, completing it does not happen however well the picture arrives.</w:t>
            </w:r>
          </w:p>
          <w:p>
            <w:pPr>
              <w:spacing w:after="80" w:line="276" w:lineRule="auto"/>
              <w:jc w:val="both"/>
            </w:pPr>
            <w:r>
              <w:rPr>
                <w:rFonts w:ascii="Times New Roman" w:hAnsi="Times New Roman" w:eastAsia="바탕"/>
                <w:sz w:val="20"/>
              </w:rPr>
              <w:t>Kyungseo Park, Assistant Manager at the Korea Disabled People's Development Institute, wrote that being unable to read arises from a range of circumstances including old age, childhood, blindness and low vision, and added that the same institute has run a typeface development project for legibility.</w:t>
            </w:r>
          </w:p>
          <w:p>
            <w:pPr>
              <w:spacing w:after="80" w:line="276" w:lineRule="auto"/>
              <w:jc w:val="both"/>
            </w:pPr>
            <w:r>
              <w:rPr>
                <w:rFonts w:ascii="Times New Roman" w:hAnsi="Times New Roman" w:eastAsia="바탕"/>
                <w:sz w:val="20"/>
              </w:rPr>
              <w:t>Niken Nur Widyakusuma, PhD and pharmacist at Universitas Gadjah Mada in Indonesia, proposed adding markings that can be identified by touch, such as tearing the packaging slightly, for patients with visual impairment. It is a solution outside the screen, and a layer this app does not address.</w:t>
            </w:r>
          </w:p>
          <w:p>
            <w:pPr>
              <w:spacing w:after="80" w:line="276" w:lineRule="auto"/>
              <w:jc w:val="both"/>
            </w:pPr>
            <w:r>
              <w:rPr>
                <w:rFonts w:ascii="Times New Roman" w:hAnsi="Times New Roman" w:eastAsia="바탕"/>
                <w:sz w:val="20"/>
              </w:rPr>
              <w:t>Professor Atif Usman and Professor Hwi-Yeol Yun both recommended referring to existing pictogram sets, the former naming the USP pictograms and the latter the health.kr pictograms of the Korea Pharmaceutical Information Center. This interlocks with the licence clause prohibiting composition described in §1.9, and it is where the differentiation claimed in §2.6 is directly tested.</w:t>
            </w:r>
          </w:p>
          <w:p>
            <w:pPr>
              <w:spacing w:after="80" w:line="276" w:lineRule="auto"/>
              <w:jc w:val="both"/>
            </w:pPr>
            <w:r>
              <w:rPr>
                <w:rFonts w:ascii="Times New Roman" w:hAnsi="Times New Roman" w:eastAsia="바탕"/>
                <w:sz w:val="20"/>
              </w:rPr>
              <w:t>Our sample prescription contained a clinical error. Sheron Sir Loon Goh, Pharmacy Lecturer, noted that amoxicillin capsules are normally stored at room temperature, 25 degrees, and do not require refrigeration at 2–8 degrees. The sample prescription we made was wrong, and we showed it to 1,103 people. The refrigeration morpheme was not misattached; the prescription itself was wrong, so it is not an engine defect, but sending an unvalidated example to experts was our error.</w:t>
            </w:r>
          </w:p>
          <w:p>
            <w:pPr>
              <w:spacing w:after="80" w:line="276" w:lineRule="auto"/>
              <w:jc w:val="both"/>
            </w:pPr>
            <w:r>
              <w:rPr>
                <w:rFonts w:ascii="Times New Roman" w:hAnsi="Times New Roman" w:eastAsia="바탕"/>
                <w:sz w:val="20"/>
              </w:rPr>
              <w:t xml:space="preserve">Prompted by that point we checked all four samples again from the beginning, and four more came out that nobody had raised. The warnings box of the same amoxicillin sample read "Not for use in pregnancy. Caution if breastfeeding. No alcohol." </w:t>
            </w:r>
            <w:r>
              <w:rPr>
                <w:rFonts w:ascii="Times New Roman" w:hAnsi="Times New Roman" w:eastAsia="바탕"/>
                <w:b/>
                <w:sz w:val="20"/>
              </w:rPr>
              <w:t>All three are wrong.</w:t>
            </w:r>
            <w:r>
              <w:rPr>
                <w:rFonts w:ascii="Times New Roman" w:hAnsi="Times New Roman" w:eastAsia="바탕"/>
                <w:sz w:val="20"/>
              </w:rPr>
              <w:t xml:space="preserve"> Amoxicillin is an antibiotic widely used in pregnancy (the NHS writes "It is safe to take amoxicillin during pregnancy"), the amount reaching breast milk is on the order of 0.1 mg/kg a day so it is acceptable while breastfeeding (StatPearls, NBK482250), and it has no clinically significant interaction with alcohol. "Caution if breastfeeding" on the paracetamol sample is the same kind of error. Paracetamol is the analgesic of choice while breastfeeding. "Not for use in pregnancy" on the eye-drop sample is wrong too. The NHS writes that "Chloramphenicol eye treatments and ear drops can be used in pregnancy" and treats them as first choice for an eye infection in pregnancy, because systemic absorption is minimal.</w:t>
            </w:r>
          </w:p>
          <w:p>
            <w:pPr>
              <w:spacing w:after="80" w:line="276" w:lineRule="auto"/>
              <w:jc w:val="both"/>
            </w:pPr>
            <w:r>
              <w:rPr>
                <w:rFonts w:ascii="Times New Roman" w:hAnsi="Times New Roman" w:eastAsia="바탕"/>
                <w:sz w:val="20"/>
              </w:rPr>
              <w:t>All four errors are of one character. When making the samples we filled the warnings box with plausible-sounding wording, and plausible and correct are different things. Three of the four were pregnancy contraindications, which is the easiest line to put in a warnings box, and the more so because that is what we wanted to demonstrate.</w:t>
            </w:r>
          </w:p>
          <w:p>
            <w:pPr>
              <w:spacing w:after="80" w:line="276" w:lineRule="auto"/>
              <w:jc w:val="both"/>
            </w:pPr>
            <w:r>
              <w:rPr>
                <w:rFonts w:ascii="Times New Roman" w:hAnsi="Times New Roman" w:eastAsia="바탕"/>
                <w:sz w:val="20"/>
              </w:rPr>
              <w:t>We record this here because the heaviest finding in §5.7 stands on this sample. The point raised independently in four countries, that a prohibition is not read as a prohibition, was about the pregnancy picture carrying no slash, and the engine defect it pointed at was real and has been fixed. But the prescription that demonstrated the defect was itself a faulty example that attached a pregnancy contraindication to amoxicillin. The finding about the engine stands; that the place it was shown was wrong has to be recorded alongside it.</w:t>
            </w:r>
          </w:p>
          <w:p>
            <w:pPr>
              <w:spacing w:after="80" w:line="276" w:lineRule="auto"/>
              <w:jc w:val="both"/>
            </w:pPr>
            <w:r>
              <w:rPr>
                <w:rFonts w:ascii="Times New Roman" w:hAnsi="Times New Roman" w:eastAsia="바탕"/>
                <w:sz w:val="20"/>
              </w:rPr>
              <w:t xml:space="preserve">We corrected the samples. The amoxicillin warnings were changed to penicillin allergy and finishing the course, and the eye drops to not wearing contact lenses and not sharing the bottle. Finishing the course is the very thing the </w:t>
            </w:r>
            <w:r>
              <w:rPr>
                <w:rFonts w:ascii="Consolas" w:hAnsi="Consolas" w:eastAsia="Consolas"/>
                <w:sz w:val="19"/>
              </w:rPr>
              <w:t>finish_course</w:t>
            </w:r>
            <w:r>
              <w:rPr>
                <w:rFonts w:ascii="Times New Roman" w:hAnsi="Times New Roman" w:eastAsia="바탕"/>
                <w:sz w:val="20"/>
              </w:rPr>
              <w:t xml:space="preserve"> morpheme is said to aim at in the SDG 3.d discussion of §5.8, and the demonstration of a pregnancy contraindication was moved to the ibuprofen sample, an NSAID. Contraindication of NSAIDs in the third trimester is a real contraindication.</w:t>
            </w:r>
          </w:p>
          <w:p>
            <w:pPr>
              <w:spacing w:after="80" w:line="276" w:lineRule="auto"/>
              <w:jc w:val="both"/>
            </w:pPr>
            <w:r>
              <w:rPr>
                <w:rFonts w:ascii="Times New Roman" w:hAnsi="Times New Roman" w:eastAsia="바탕"/>
                <w:sz w:val="20"/>
              </w:rPr>
              <w:t>That all three are problems with the example we made rather than with the engine is the same as the refrigeration error before them. And it says the same thing this section leaves in §5.9. Not one sample in this document has been reviewed by a pharmacist.</w:t>
            </w:r>
          </w:p>
          <w:p>
            <w:pPr>
              <w:spacing w:before="120" w:after="20"/>
            </w:pPr>
            <w:r>
              <w:rPr>
                <w:rFonts w:ascii="Times New Roman" w:hAnsi="Times New Roman" w:eastAsia="바탕"/>
                <w:b/>
                <w:sz w:val="21"/>
              </w:rPr>
              <w:t>5.7.8 Objections to the approach itself</w:t>
            </w:r>
          </w:p>
          <w:p>
            <w:pPr>
              <w:spacing w:after="80" w:line="276" w:lineRule="auto"/>
              <w:jc w:val="both"/>
            </w:pPr>
            <w:r>
              <w:rPr>
                <w:rFonts w:ascii="Times New Roman" w:hAnsi="Times New Roman" w:eastAsia="바탕"/>
                <w:sz w:val="20"/>
              </w:rPr>
              <w:t>The sharpest response asked whether our product is needed at all. The team leader at the GC Medi-AI Uisarang Service Centre wrote five things: that Korean prescriptions already carry a barcode, so scanning the whole sheet is inefficient; that apps reading the barcode and guiding people with disabilities already exist; that medication counselling is a legal duty of pharmacists and doctors and that many solutions for it already exist; that the market for a business aimed at people who cannot read is too small relative to the investment; and that electronic prescriptions are being prepared, so once they arrive this becomes useless.</w:t>
            </w:r>
          </w:p>
          <w:p>
            <w:pPr>
              <w:spacing w:after="80" w:line="276" w:lineRule="auto"/>
              <w:jc w:val="both"/>
            </w:pPr>
            <w:r>
              <w:rPr>
                <w:rFonts w:ascii="Times New Roman" w:hAnsi="Times New Roman" w:eastAsia="바탕"/>
                <w:sz w:val="20"/>
              </w:rPr>
              <w:t>We include the response as it stands because there is something in it we have to answer. Three of the five do not conflict with our design. Barcodes are on Korean prescriptions but not on the paper prescriptions of the countries covered in §1.1, and electronic prescriptions will not arrive in those countries first either. That counselling is a legal duty has to be read alongside the physician-density gap cited in §1.4; a duty existing and there being time to discharge it are different things.</w:t>
            </w:r>
          </w:p>
          <w:p>
            <w:pPr>
              <w:spacing w:after="80" w:line="276" w:lineRule="auto"/>
              <w:jc w:val="both"/>
            </w:pPr>
            <w:r>
              <w:rPr>
                <w:rFonts w:ascii="Times New Roman" w:hAnsi="Times New Roman" w:eastAsia="바탕"/>
                <w:sz w:val="20"/>
              </w:rPr>
              <w:t>For the other two we have no answer. That the domestic market is small is true, and how this app differs from solutions that already exist is what the table in §2.6 tried to answer, but that table is the result of us choosing the comparators. This respondent is in a position to know the comparators we did not choose.</w:t>
            </w:r>
          </w:p>
          <w:p>
            <w:pPr>
              <w:spacing w:after="80" w:line="276" w:lineRule="auto"/>
              <w:jc w:val="both"/>
            </w:pPr>
            <w:r>
              <w:rPr>
                <w:rFonts w:ascii="Times New Roman" w:hAnsi="Times New Roman" w:eastAsia="바탕"/>
                <w:sz w:val="20"/>
              </w:rPr>
              <w:t>A finding in the same direction came from the industry-practice segment. Cheolhyeon Park, Team Leader at VOICEYE, wrote that "however good a product or piece of software is, without recognition at the client or operator level there is no diffusion", and added that anyone thinking about commercialisation should propose it to a body such as the Korean Pharmaceutical Association and settle both acceptability and price.</w:t>
            </w:r>
          </w:p>
          <w:p>
            <w:pPr>
              <w:spacing w:before="120" w:after="20"/>
            </w:pPr>
            <w:r>
              <w:rPr>
                <w:rFonts w:ascii="Times New Roman" w:hAnsi="Times New Roman" w:eastAsia="바탕"/>
                <w:b/>
                <w:sz w:val="21"/>
              </w:rPr>
              <w:t>5.7.9 Responses that made us revisit our premise</w:t>
            </w:r>
          </w:p>
          <w:p>
            <w:pPr>
              <w:spacing w:after="80" w:line="276" w:lineRule="auto"/>
              <w:jc w:val="both"/>
            </w:pPr>
            <w:r>
              <w:rPr>
                <w:rFonts w:ascii="Times New Roman" w:hAnsi="Times New Roman" w:eastAsia="바탕"/>
                <w:sz w:val="20"/>
              </w:rPr>
              <w:t>The finding from Professor Heejung Seo of Dong-eui University was the most fundamental in this survey.</w:t>
            </w:r>
          </w:p>
          <w:p>
            <w:pPr>
              <w:spacing w:after="180" w:line="276" w:lineRule="auto"/>
              <w:ind w:left="403"/>
            </w:pPr>
            <w:r>
              <w:rPr>
                <w:rFonts w:ascii="Times New Roman" w:hAnsi="Times New Roman" w:eastAsia="바탕"/>
                <w:i/>
                <w:color w:val="606068"/>
                <w:sz w:val="19"/>
              </w:rPr>
              <w:t>"Pictograms are a good medium for conveying information intuitively, but to a non-literate person these too can feel like letters. As the saying goes, 'the black is the writing and the white is the paper,' so it would be good to implement this with a design and colouring that can be perceived from a non-literate person's point of view."</w:t>
            </w:r>
          </w:p>
          <w:p>
            <w:pPr>
              <w:spacing w:after="80" w:line="276" w:lineRule="auto"/>
              <w:jc w:val="both"/>
            </w:pPr>
            <w:r>
              <w:rPr>
                <w:rFonts w:ascii="Times New Roman" w:hAnsi="Times New Roman" w:eastAsia="바탕"/>
                <w:sz w:val="20"/>
              </w:rPr>
              <w:t>In §2.1 we assumed that removing text lowers the barrier. This response inverts that assumption. For someone who cannot read, black shapes sitting on paper may already be "writing", and whether it is a picture or a letter may be a distinction only a reader makes. The pictogram comprehension studies cited in §1.8 measured comprehension after a picture was recognised as a picture. Whether a picture is recognised as a picture was not measured.</w:t>
            </w:r>
          </w:p>
          <w:p>
            <w:pPr>
              <w:spacing w:after="80" w:line="276" w:lineRule="auto"/>
              <w:jc w:val="both"/>
            </w:pPr>
            <w:r>
              <w:rPr>
                <w:rFonts w:ascii="Times New Roman" w:hAnsi="Times New Roman" w:eastAsia="바탕"/>
                <w:sz w:val="20"/>
              </w:rPr>
              <w:t>One more response reached the same place from another angle. Asked whether speech can replace the written explanation, Barbara Báldy of Semmelweis University answered:</w:t>
            </w:r>
          </w:p>
          <w:p>
            <w:pPr>
              <w:spacing w:after="40" w:line="276" w:lineRule="auto"/>
              <w:ind w:left="403"/>
            </w:pPr>
            <w:r>
              <w:rPr>
                <w:rFonts w:ascii="Times New Roman" w:hAnsi="Times New Roman" w:eastAsia="바탕"/>
                <w:i/>
                <w:color w:val="606068"/>
                <w:sz w:val="19"/>
              </w:rPr>
              <w:t>"If a patient can't read the original text (not able to or lost their eyesight), the text format is not necessary. BUT patient safety protocols suggest to use verbal, visual and text instructions."</w:t>
            </w:r>
          </w:p>
          <w:p>
            <w:pPr>
              <w:spacing w:after="180" w:line="276" w:lineRule="auto"/>
              <w:ind w:left="403"/>
            </w:pPr>
            <w:r>
              <w:rPr>
                <w:rFonts w:ascii="Times New Roman" w:hAnsi="Times New Roman" w:eastAsia="바탕"/>
                <w:i w:val="0"/>
                <w:color w:val="606068"/>
                <w:sz w:val="19"/>
              </w:rPr>
              <w:t>(Barbara Báldy, Semmelweis University)</w:t>
            </w:r>
          </w:p>
          <w:p>
            <w:pPr>
              <w:spacing w:after="80" w:line="276" w:lineRule="auto"/>
              <w:jc w:val="both"/>
            </w:pPr>
            <w:r>
              <w:rPr>
                <w:rFonts w:ascii="Times New Roman" w:hAnsi="Times New Roman" w:eastAsia="바탕"/>
                <w:sz w:val="20"/>
              </w:rPr>
              <w:t>The first half agrees with us and the second does not. That text is unnecessary for someone who cannot read it is the premise of this app, but patient safety protocols call for verbal, visual and written instructions together. We removed the text. §2.1 records that as removing a barrier; this response reads the same decision as a departure from protocol.</w:t>
            </w:r>
          </w:p>
          <w:p>
            <w:pPr>
              <w:spacing w:after="80" w:line="276" w:lineRule="auto"/>
              <w:jc w:val="both"/>
            </w:pPr>
            <w:r>
              <w:rPr>
                <w:rFonts w:ascii="Times New Roman" w:hAnsi="Times New Roman" w:eastAsia="바탕"/>
                <w:sz w:val="20"/>
              </w:rPr>
              <w:t>Both readings can be true at once. Where text remains, a literate carer or pharmacist can check it, and that is presumably why the protocols ask for all three. This app moved that checking path into the teach-back of §3.8 and the provider screen of §4.4, but whether what we moved satisfies the protocol is not ours to judge. This is a reason the field evaluation of §5.10 needs someone who knows clinical protocol in it.</w:t>
            </w:r>
          </w:p>
          <w:p>
            <w:pPr>
              <w:spacing w:after="80" w:line="276" w:lineRule="auto"/>
              <w:jc w:val="both"/>
            </w:pPr>
            <w:r>
              <w:rPr>
                <w:rFonts w:ascii="Times New Roman" w:hAnsi="Times New Roman" w:eastAsia="바탕"/>
                <w:sz w:val="20"/>
              </w:rPr>
              <w:t>The point from Professor Eun-Kyoung Kim of Kongju National University runs the same way.</w:t>
            </w:r>
          </w:p>
          <w:p>
            <w:pPr>
              <w:spacing w:after="180" w:line="276" w:lineRule="auto"/>
              <w:ind w:left="403"/>
            </w:pPr>
            <w:r>
              <w:rPr>
                <w:rFonts w:ascii="Times New Roman" w:hAnsi="Times New Roman" w:eastAsia="바탕"/>
                <w:i/>
                <w:color w:val="606068"/>
                <w:sz w:val="19"/>
              </w:rPr>
              <w:t>"Even to me, in my forties, it was hard to grasp at once what the images were saying. I would expect older people unfamiliar with images of this kind to find it harder still."</w:t>
            </w:r>
          </w:p>
          <w:p>
            <w:pPr>
              <w:spacing w:after="80" w:line="276" w:lineRule="auto"/>
              <w:jc w:val="both"/>
            </w:pPr>
            <w:r>
              <w:rPr>
                <w:rFonts w:ascii="Times New Roman" w:hAnsi="Times New Roman" w:eastAsia="바탕"/>
                <w:sz w:val="20"/>
              </w:rPr>
              <w:t>Professor Kyunghwa Lee of Soongsil University wrote that whether the pictures are fully understood depends on whether the target's level is a matter of literacy alone or also of age and information comprehension, and that more consideration is needed if the prescription is for a condition requiring more expertise than eye drops.</w:t>
            </w:r>
          </w:p>
          <w:p>
            <w:pPr>
              <w:spacing w:after="80" w:line="276" w:lineRule="auto"/>
              <w:jc w:val="both"/>
            </w:pPr>
            <w:r>
              <w:rPr>
                <w:rFonts w:ascii="Times New Roman" w:hAnsi="Times New Roman" w:eastAsia="바탕"/>
                <w:sz w:val="20"/>
              </w:rPr>
              <w:t>Professor Namsoo Park of Hyupsung University pointed at digital literacy. How well people who cannot read handle a mobile device has to be examined first, and the app in fact contains an instruction reading "select any that apply to you", which blocks that screen for anyone who cannot read it. This is a direct finding about the profile-setup screen of §3.2.</w:t>
            </w:r>
          </w:p>
          <w:p>
            <w:pPr>
              <w:spacing w:before="120" w:after="20"/>
            </w:pPr>
            <w:r>
              <w:rPr>
                <w:rFonts w:ascii="Times New Roman" w:hAnsi="Times New Roman" w:eastAsia="바탕"/>
                <w:b/>
                <w:sz w:val="21"/>
              </w:rPr>
              <w:t>5.7.10 New risks our design could create</w:t>
            </w:r>
          </w:p>
          <w:p>
            <w:pPr>
              <w:spacing w:after="80" w:line="276" w:lineRule="auto"/>
              <w:jc w:val="both"/>
            </w:pPr>
            <w:r>
              <w:rPr>
                <w:rFonts w:ascii="Times New Roman" w:hAnsi="Times New Roman" w:eastAsia="바탕"/>
                <w:sz w:val="20"/>
              </w:rPr>
              <w:t>Professor and pharmacist So-Young Lee of Chungnam National University pointed out that this app could create a risk that did not exist before.</w:t>
            </w:r>
          </w:p>
          <w:p>
            <w:pPr>
              <w:spacing w:after="180" w:line="276" w:lineRule="auto"/>
              <w:ind w:left="403"/>
            </w:pPr>
            <w:r>
              <w:rPr>
                <w:rFonts w:ascii="Times New Roman" w:hAnsi="Times New Roman" w:eastAsia="바탕"/>
                <w:i/>
                <w:color w:val="606068"/>
                <w:sz w:val="19"/>
              </w:rPr>
              <w:t>"It seems necessary to prevent situations where a patient discontinues medication on their own because of wrong information. For example, even a medicine that carries risk for pregnant women is sometimes prescribed after considering the patient's overall condition, and where the patient checks alone without any clinician's mediation, they may end up not receiving the drug therapy."</w:t>
            </w:r>
          </w:p>
          <w:p>
            <w:pPr>
              <w:spacing w:after="80" w:line="276" w:lineRule="auto"/>
              <w:jc w:val="both"/>
            </w:pPr>
            <w:r>
              <w:rPr>
                <w:rFonts w:ascii="Times New Roman" w:hAnsi="Times New Roman" w:eastAsia="바탕"/>
                <w:sz w:val="20"/>
              </w:rPr>
              <w:t>In §2.4 we designed contraindications to be displayed according to the user's conditions. In clinical practice, however, there are cases where a drug is prescribed in full knowledge of the risk, and an app displaying the contraindication then amounts to voiding the prescription. Professor Katarina Vučićević of the University of Belgrade writing that "it should go through a pharmacist so that the pharmacy's information and the app's information do not diverge", and 9 of the 12 in the pharmacy segment answering that a pharmacist should review every time, both read as the same concern.</w:t>
            </w:r>
          </w:p>
          <w:p>
            <w:pPr>
              <w:spacing w:after="80" w:line="276" w:lineRule="auto"/>
              <w:jc w:val="both"/>
            </w:pPr>
            <w:r>
              <w:rPr>
                <w:rFonts w:ascii="Times New Roman" w:hAnsi="Times New Roman" w:eastAsia="바탕"/>
                <w:sz w:val="20"/>
              </w:rPr>
              <w:t>This runs directly into the differentiator we put forward in §2.6, that the verdict is derived from an individual's requirement. A personalised verdict cannot beat a personalised prescription.</w:t>
            </w:r>
          </w:p>
          <w:p>
            <w:pPr>
              <w:spacing w:after="80" w:line="276" w:lineRule="auto"/>
              <w:jc w:val="both"/>
            </w:pPr>
            <w:r>
              <w:rPr>
                <w:rFonts w:ascii="Times New Roman" w:hAnsi="Times New Roman" w:eastAsia="바탕"/>
                <w:sz w:val="20"/>
              </w:rPr>
              <w:t>A response in the same direction raised the question of order. Asked whether the app could fit a pharmacy workflow, Associate Professor Hangil Lee withheld judgement and gave the reason.</w:t>
            </w:r>
          </w:p>
          <w:p>
            <w:pPr>
              <w:spacing w:after="40" w:line="276" w:lineRule="auto"/>
              <w:ind w:left="403"/>
            </w:pPr>
            <w:r>
              <w:rPr>
                <w:rFonts w:ascii="Times New Roman" w:hAnsi="Times New Roman" w:eastAsia="바탕"/>
                <w:i/>
                <w:color w:val="606068"/>
                <w:sz w:val="19"/>
              </w:rPr>
              <w:t>"The accuracy of the app has to be secured before its convenience for it to be usable in practice, and I think it should be used as an auxiliary tool for the pharmacist."</w:t>
            </w:r>
          </w:p>
          <w:p>
            <w:pPr>
              <w:spacing w:after="180" w:line="276" w:lineRule="auto"/>
              <w:ind w:left="403"/>
            </w:pPr>
            <w:r>
              <w:rPr>
                <w:rFonts w:ascii="Times New Roman" w:hAnsi="Times New Roman" w:eastAsia="바탕"/>
                <w:i w:val="0"/>
                <w:color w:val="606068"/>
                <w:sz w:val="19"/>
              </w:rPr>
              <w:t>(Associate Professor Hangil Lee, College of Pharmacy, Ewha Womans University)</w:t>
            </w:r>
          </w:p>
          <w:p>
            <w:pPr>
              <w:spacing w:after="80" w:line="276" w:lineRule="auto"/>
              <w:jc w:val="both"/>
            </w:pPr>
            <w:r>
              <w:rPr>
                <w:rFonts w:ascii="Times New Roman" w:hAnsi="Times New Roman" w:eastAsia="바탕"/>
                <w:sz w:val="20"/>
              </w:rPr>
              <w:t>That stings, because what this document measures from §5.1 to §5.6 is largely arrival and operation rather than accuracy. This respondent is telling us to measure first the thing we did not measure. And the first item in §5.9, that there has been no comprehension testing with people, is exactly that place.</w:t>
            </w:r>
          </w:p>
          <w:p>
            <w:pPr>
              <w:spacing w:after="80" w:line="276" w:lineRule="auto"/>
              <w:jc w:val="both"/>
            </w:pPr>
            <w:r>
              <w:rPr>
                <w:rFonts w:ascii="Times New Roman" w:hAnsi="Times New Roman" w:eastAsia="바탕"/>
                <w:sz w:val="20"/>
              </w:rPr>
              <w:t>The same respondent left a line about what must not be conveyed by picture and speech alone. Only one option could be selected, so they chose contraindications, but side effects and cases needing dose adjustment belong there too. The respondent filled in the limits of our question design for us, and it is why this section has to read the multiple-choice results alongside the free text.</w:t>
            </w:r>
          </w:p>
          <w:p>
            <w:pPr>
              <w:spacing w:before="120" w:after="20"/>
            </w:pPr>
            <w:r>
              <w:rPr>
                <w:rFonts w:ascii="Times New Roman" w:hAnsi="Times New Roman" w:eastAsia="바탕"/>
                <w:b/>
                <w:sz w:val="21"/>
              </w:rPr>
              <w:t>5.7.11 Advice on the evaluation design</w:t>
            </w:r>
          </w:p>
          <w:p>
            <w:pPr>
              <w:spacing w:after="80" w:line="276" w:lineRule="auto"/>
              <w:jc w:val="both"/>
            </w:pPr>
            <w:r>
              <w:rPr>
                <w:rFonts w:ascii="Times New Roman" w:hAnsi="Times New Roman" w:eastAsia="바탕"/>
                <w:sz w:val="20"/>
              </w:rPr>
              <w:t>The field evaluation design in §5.10 was revised in line with the responses. Advice came from four places.</w:t>
            </w:r>
          </w:p>
          <w:p>
            <w:pPr>
              <w:spacing w:after="80" w:line="276" w:lineRule="auto"/>
              <w:jc w:val="both"/>
            </w:pPr>
            <w:r>
              <w:rPr>
                <w:rFonts w:ascii="Times New Roman" w:hAnsi="Times New Roman" w:eastAsia="바탕"/>
                <w:sz w:val="20"/>
              </w:rPr>
              <w:t>Foued Maaoui, researcher at the Pasteur Institute of Tunis, asked for low-literate participants rather than educated volunteers, predefined scoring criteria and blinded assessors, separate testing of pictogram-only, audio-only and both, real prescriptions rather than a clean demonstration, and audio in a language matching the participants'.</w:t>
            </w:r>
          </w:p>
          <w:p>
            <w:pPr>
              <w:spacing w:after="80" w:line="276" w:lineRule="auto"/>
              <w:jc w:val="both"/>
            </w:pPr>
            <w:r>
              <w:rPr>
                <w:rFonts w:ascii="Times New Roman" w:hAnsi="Times New Roman" w:eastAsia="바탕"/>
                <w:sz w:val="20"/>
              </w:rPr>
              <w:t xml:space="preserve">Myojung Choi, researcher at the Korea Disabled People's Development Institute, cited Nielsen, J. &amp; Landauer, T. K., "A mathematical model of the finding of usability problems," </w:t>
            </w:r>
            <w:r>
              <w:rPr>
                <w:rFonts w:ascii="Times New Roman" w:hAnsi="Times New Roman" w:eastAsia="바탕"/>
                <w:i/>
                <w:sz w:val="20"/>
              </w:rPr>
              <w:t>Proc. INTERCHI '93</w:t>
            </w:r>
            <w:r>
              <w:rPr>
                <w:rFonts w:ascii="Times New Roman" w:hAnsi="Times New Roman" w:eastAsia="바탕"/>
                <w:sz w:val="20"/>
              </w:rPr>
              <w:t>, 206–213, 1993, to the effect that a small sample of around 15 can secure the validity of a usability evaluation, and that a small sample in fact allows user behaviour and reactions to be grasped in detail, recommending behavioural analysis alongside the survey responses.</w:t>
            </w:r>
          </w:p>
          <w:p>
            <w:pPr>
              <w:spacing w:after="80" w:line="276" w:lineRule="auto"/>
              <w:jc w:val="both"/>
            </w:pPr>
            <w:r>
              <w:rPr>
                <w:rFonts w:ascii="Times New Roman" w:hAnsi="Times New Roman" w:eastAsia="바탕"/>
                <w:sz w:val="20"/>
              </w:rPr>
              <w:t>Yonghan Lee, Senior Manager at the Korea Craft and Design Foundation, wrote that the sample should be balanced by age, level of schooling and sex, that participants should have no prior knowledge of the pictograms in question, and that the method should have them describe the meaning. He added that multiple choice looks meaningless, which is the same judgement behind our decision in §5.2 not to offer options.</w:t>
            </w:r>
          </w:p>
          <w:p>
            <w:pPr>
              <w:spacing w:after="80" w:line="276" w:lineRule="auto"/>
              <w:jc w:val="both"/>
            </w:pPr>
            <w:r>
              <w:rPr>
                <w:rFonts w:ascii="Times New Roman" w:hAnsi="Times New Roman" w:eastAsia="바탕"/>
                <w:sz w:val="20"/>
              </w:rPr>
              <w:t>Professor Celia of the University of Pretoria recommended using an adherence instrument together with the K-HLAT-8 and HLS family of instruments. Professor Namsoo Park of Hyupsung University judged that since the purpose of this app is comprehension of medication instructions, measuring user satisfaction, intention to continue using it and the degree of improvement in convenience fits better than a health-literacy instrument.</w:t>
            </w:r>
          </w:p>
          <w:p>
            <w:pPr>
              <w:spacing w:after="80" w:line="276" w:lineRule="auto"/>
              <w:jc w:val="both"/>
            </w:pPr>
            <w:r>
              <w:rPr>
                <w:rFonts w:ascii="Times New Roman" w:hAnsi="Times New Roman" w:eastAsia="바탕"/>
                <w:sz w:val="20"/>
              </w:rPr>
              <w:t>Sheron Sir Loon Goh, Pharmacy Lecturer, asked for one more thing ahead of the test: before launching the app, seek professional advice from local pharmacists on whether the symbols are appropriate in the local context. That five clinical errors turned up in our sample prescriptions in §5.7 shows why that advice is needed. We corrected them against public sources without review, and for the 78 morphemes we have not even done that much checking.</w:t>
            </w:r>
          </w:p>
          <w:p>
            <w:pPr>
              <w:spacing w:after="80" w:line="276" w:lineRule="auto"/>
              <w:jc w:val="both"/>
            </w:pPr>
            <w:r>
              <w:rPr>
                <w:rFonts w:ascii="Times New Roman" w:hAnsi="Times New Roman" w:eastAsia="바탕"/>
                <w:sz w:val="20"/>
              </w:rPr>
              <w:t xml:space="preserve">The same respondent also pointed us to a reference: a study testing pictograms designed in Malaysia on that country's population (Tumkur, A., Ingle, P., Ling Sze Ning, Q., Bustamin, N. A., Tee, K. H., Chai, T. L. &amp; Hatware, K., "Evaluation of designed pharmaceutical pictograms among the Malaysian population," </w:t>
            </w:r>
            <w:r>
              <w:rPr>
                <w:rFonts w:ascii="Times New Roman" w:hAnsi="Times New Roman" w:eastAsia="바탕"/>
                <w:i/>
                <w:sz w:val="20"/>
              </w:rPr>
              <w:t>Clinical Epidemiology and Global Health</w:t>
            </w:r>
            <w:r>
              <w:rPr>
                <w:rFonts w:ascii="Times New Roman" w:hAnsi="Times New Roman" w:eastAsia="바탕"/>
                <w:sz w:val="20"/>
              </w:rPr>
              <w:t>, 2025, doi:10.1016/j.cegh.2025.102115). We record why its results are not used in the body: all three routes, the publisher, DOAJ and Semantic Scholar, failed to open the abstract, and we could not confirm the figures in the search summary at a primary source. What is recorded here is only that the survey pointed us to literature we did not know.</w:t>
            </w:r>
          </w:p>
          <w:p>
            <w:pPr>
              <w:spacing w:after="80" w:line="276" w:lineRule="auto"/>
              <w:jc w:val="both"/>
            </w:pPr>
            <w:r>
              <w:rPr>
                <w:rFonts w:ascii="Times New Roman" w:hAnsi="Times New Roman" w:eastAsia="바탕"/>
                <w:sz w:val="20"/>
              </w:rPr>
              <w:t>Professor Eun-Kyoung Kim pointed at the procedure before the test rather than the test itself: explain the purpose and the benefit from the learner's point of view to the institution and the literacy teacher first, obtain their cooperation, and only then use part of a class period. Asked whether a tool like this might reduce the motivation to learn to read, the same respondent answered that it would not, on the grounds that the motivation to learn to read is more than the acquisition of a skill.</w:t>
            </w:r>
          </w:p>
          <w:p>
            <w:pPr>
              <w:spacing w:before="120" w:after="20"/>
            </w:pPr>
            <w:r>
              <w:rPr>
                <w:rFonts w:ascii="Times New Roman" w:hAnsi="Times New Roman" w:eastAsia="바탕"/>
                <w:b/>
                <w:sz w:val="21"/>
              </w:rPr>
              <w:t>5.7.12 Every answer, by occupation</w:t>
            </w:r>
          </w:p>
          <w:p>
            <w:pPr>
              <w:spacing w:after="80" w:line="276" w:lineRule="auto"/>
              <w:jc w:val="both"/>
            </w:pPr>
            <w:r>
              <w:rPr>
                <w:rFonts w:ascii="Times New Roman" w:hAnsi="Times New Roman" w:eastAsia="바탕"/>
                <w:sz w:val="20"/>
              </w:rPr>
              <w:t>The preceding subsections quoted only the questions we selected. To see whether the basis of that selection tilted one way, we laid out the whole tally by occupation again. It had tilted. There were places where the figure unfavourable to us was included and the favourable one omitted, and the bold rows in the table below are those.</w:t>
            </w:r>
          </w:p>
          <w:p>
            <w:pPr>
              <w:spacing w:after="80" w:line="276" w:lineRule="auto"/>
              <w:jc w:val="both"/>
            </w:pPr>
            <w:r>
              <w:rPr>
                <w:rFonts w:ascii="Times New Roman" w:hAnsi="Times New Roman" w:eastAsia="바탕"/>
                <w:sz w:val="20"/>
              </w:rPr>
              <w:t>[Table 48] Every answer by occupation (the denominator is the number of respondents in that occupation)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Occupation</w:t>
                  </w:r>
                </w:p>
              </w:tc>
              <w:tc>
                <w:tcPr>
                  <w:tcW w:type="dxa" w:w="2429"/>
                  <w:shd w:val="clear" w:fill="F2F2F2"/>
                </w:tcPr>
                <w:p>
                  <w:r>
                    <w:rPr>
                      <w:rFonts w:ascii="Times New Roman" w:hAnsi="Times New Roman" w:eastAsia="바탕"/>
                      <w:b/>
                      <w:sz w:val="18"/>
                    </w:rPr>
                    <w:t>Question</w:t>
                  </w:r>
                </w:p>
              </w:tc>
              <w:tc>
                <w:tcPr>
                  <w:tcW w:type="dxa" w:w="2429"/>
                  <w:shd w:val="clear" w:fill="F2F2F2"/>
                </w:tcPr>
                <w:p>
                  <w:r>
                    <w:rPr>
                      <w:rFonts w:ascii="Times New Roman" w:hAnsi="Times New Roman" w:eastAsia="바탕"/>
                      <w:b/>
                      <w:sz w:val="18"/>
                    </w:rPr>
                    <w:t>Answer</w:t>
                  </w:r>
                </w:p>
              </w:tc>
              <w:tc>
                <w:tcPr>
                  <w:tcW w:type="dxa" w:w="2429"/>
                  <w:shd w:val="clear" w:fill="F2F2F2"/>
                </w:tcPr>
                <w:p>
                  <w:r>
                    <w:rPr>
                      <w:rFonts w:ascii="Times New Roman" w:hAnsi="Times New Roman" w:eastAsia="바탕"/>
                      <w:b/>
                      <w:sz w:val="18"/>
                    </w:rPr>
                    <w:t>Responses</w:t>
                  </w:r>
                </w:p>
              </w:tc>
            </w:tr>
            <w:tr>
              <w:tc>
                <w:tcPr>
                  <w:tcW w:type="dxa" w:w="2429"/>
                </w:tcPr>
                <w:p>
                  <w:r>
                    <w:rPr>
                      <w:rFonts w:ascii="Times New Roman" w:hAnsi="Times New Roman" w:eastAsia="바탕"/>
                      <w:sz w:val="18"/>
                    </w:rPr>
                    <w:t>Pharmacy (12)</w:t>
                  </w:r>
                </w:p>
              </w:tc>
              <w:tc>
                <w:tcPr>
                  <w:tcW w:type="dxa" w:w="2429"/>
                </w:tcPr>
                <w:p>
                  <w:r>
                    <w:rPr>
                      <w:rFonts w:ascii="Times New Roman" w:hAnsi="Times New Roman" w:eastAsia="바탕"/>
                      <w:sz w:val="18"/>
                    </w:rPr>
                    <w:t>Where in medication counselling should it sit</w:t>
                  </w:r>
                </w:p>
              </w:tc>
              <w:tc>
                <w:tcPr>
                  <w:tcW w:type="dxa" w:w="2429"/>
                </w:tcPr>
                <w:p>
                  <w:r>
                    <w:rPr>
                      <w:rFonts w:ascii="Times New Roman" w:hAnsi="Times New Roman" w:eastAsia="바탕"/>
                      <w:sz w:val="18"/>
                    </w:rPr>
                    <w:t>A tool supporting the pharmacist's explanation</w:t>
                  </w:r>
                </w:p>
              </w:tc>
              <w:tc>
                <w:tcPr>
                  <w:tcW w:type="dxa" w:w="2429"/>
                </w:tcPr>
                <w:p>
                  <w:r>
                    <w:rPr>
                      <w:rFonts w:ascii="Times New Roman" w:hAnsi="Times New Roman" w:eastAsia="바탕"/>
                      <w:sz w:val="18"/>
                    </w:rPr>
                    <w:t>7</w:t>
                  </w:r>
                </w:p>
              </w:tc>
            </w:tr>
            <w:tr>
              <w:tc>
                <w:tcPr>
                  <w:tcW w:type="dxa" w:w="2429"/>
                </w:tcPr>
                <w:p/>
              </w:tc>
              <w:tc>
                <w:tcPr>
                  <w:tcW w:type="dxa" w:w="2429"/>
                </w:tcPr>
                <w:p/>
              </w:tc>
              <w:tc>
                <w:tcPr>
                  <w:tcW w:type="dxa" w:w="2429"/>
                </w:tcPr>
                <w:p>
                  <w:r>
                    <w:rPr>
                      <w:rFonts w:ascii="Times New Roman" w:hAnsi="Times New Roman" w:eastAsia="바탕"/>
                      <w:sz w:val="18"/>
                    </w:rPr>
                    <w:t>A means for the patient to check alone at home</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An alternative route for patients a pharmacist cannot reach</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Pharmacy (12)</w:t>
                  </w:r>
                </w:p>
              </w:tc>
              <w:tc>
                <w:tcPr>
                  <w:tcW w:type="dxa" w:w="2429"/>
                </w:tcPr>
                <w:p>
                  <w:r>
                    <w:rPr>
                      <w:rFonts w:ascii="Times New Roman" w:hAnsi="Times New Roman" w:eastAsia="바탕"/>
                      <w:sz w:val="18"/>
                    </w:rPr>
                    <w:t>Should a pharmacist review it</w:t>
                  </w:r>
                </w:p>
              </w:tc>
              <w:tc>
                <w:tcPr>
                  <w:tcW w:type="dxa" w:w="2429"/>
                </w:tcPr>
                <w:p>
                  <w:r>
                    <w:rPr>
                      <w:rFonts w:ascii="Times New Roman" w:hAnsi="Times New Roman" w:eastAsia="바탕"/>
                      <w:sz w:val="18"/>
                    </w:rPr>
                    <w:t>Every time, without exception</w:t>
                  </w:r>
                </w:p>
              </w:tc>
              <w:tc>
                <w:tcPr>
                  <w:tcW w:type="dxa" w:w="2429"/>
                </w:tcPr>
                <w:p>
                  <w:r>
                    <w:rPr>
                      <w:rFonts w:ascii="Times New Roman" w:hAnsi="Times New Roman" w:eastAsia="바탕"/>
                      <w:sz w:val="18"/>
                    </w:rPr>
                    <w:t>9</w:t>
                  </w:r>
                </w:p>
              </w:tc>
            </w:tr>
            <w:tr>
              <w:tc>
                <w:tcPr>
                  <w:tcW w:type="dxa" w:w="2429"/>
                </w:tcPr>
                <w:p/>
              </w:tc>
              <w:tc>
                <w:tcPr>
                  <w:tcW w:type="dxa" w:w="2429"/>
                </w:tcPr>
                <w:p/>
              </w:tc>
              <w:tc>
                <w:tcPr>
                  <w:tcW w:type="dxa" w:w="2429"/>
                </w:tcPr>
                <w:p>
                  <w:r>
                    <w:rPr>
                      <w:rFonts w:ascii="Times New Roman" w:hAnsi="Times New Roman" w:eastAsia="바탕"/>
                      <w:sz w:val="18"/>
                    </w:rPr>
                    <w:t>Once at the start is enough</w:t>
                  </w:r>
                </w:p>
              </w:tc>
              <w:tc>
                <w:tcPr>
                  <w:tcW w:type="dxa" w:w="2429"/>
                </w:tcPr>
                <w:p>
                  <w:r>
                    <w:rPr>
                      <w:rFonts w:ascii="Times New Roman" w:hAnsi="Times New Roman" w:eastAsia="바탕"/>
                      <w:sz w:val="18"/>
                    </w:rPr>
                    <w:t>3</w:t>
                  </w:r>
                </w:p>
              </w:tc>
            </w:tr>
            <w:tr>
              <w:tc>
                <w:tcPr>
                  <w:tcW w:type="dxa" w:w="2429"/>
                </w:tcPr>
                <w:p>
                  <w:r>
                    <w:rPr>
                      <w:rFonts w:ascii="Times New Roman" w:hAnsi="Times New Roman" w:eastAsia="바탕"/>
                      <w:sz w:val="18"/>
                    </w:rPr>
                    <w:t>Pharmacy (12)</w:t>
                  </w:r>
                </w:p>
              </w:tc>
              <w:tc>
                <w:tcPr>
                  <w:tcW w:type="dxa" w:w="2429"/>
                </w:tcPr>
                <w:p>
                  <w:r>
                    <w:rPr>
                      <w:rFonts w:ascii="Times New Roman" w:hAnsi="Times New Roman" w:eastAsia="바탕"/>
                      <w:sz w:val="18"/>
                    </w:rPr>
                    <w:t>What must not be wrong medically</w:t>
                  </w:r>
                </w:p>
              </w:tc>
              <w:tc>
                <w:tcPr>
                  <w:tcW w:type="dxa" w:w="2429"/>
                </w:tcPr>
                <w:p>
                  <w:r>
                    <w:rPr>
                      <w:rFonts w:ascii="Times New Roman" w:hAnsi="Times New Roman" w:eastAsia="바탕"/>
                      <w:sz w:val="18"/>
                    </w:rPr>
                    <w:t>Dose and frequency</w:t>
                  </w:r>
                </w:p>
              </w:tc>
              <w:tc>
                <w:tcPr>
                  <w:tcW w:type="dxa" w:w="2429"/>
                </w:tcPr>
                <w:p>
                  <w:r>
                    <w:rPr>
                      <w:rFonts w:ascii="Times New Roman" w:hAnsi="Times New Roman" w:eastAsia="바탕"/>
                      <w:sz w:val="18"/>
                    </w:rPr>
                    <w:t>7</w:t>
                  </w:r>
                </w:p>
              </w:tc>
            </w:tr>
            <w:tr>
              <w:tc>
                <w:tcPr>
                  <w:tcW w:type="dxa" w:w="2429"/>
                </w:tcPr>
                <w:p/>
              </w:tc>
              <w:tc>
                <w:tcPr>
                  <w:tcW w:type="dxa" w:w="2429"/>
                </w:tcPr>
                <w:p/>
              </w:tc>
              <w:tc>
                <w:tcPr>
                  <w:tcW w:type="dxa" w:w="2429"/>
                </w:tcPr>
                <w:p>
                  <w:r>
                    <w:rPr>
                      <w:rFonts w:ascii="Times New Roman" w:hAnsi="Times New Roman" w:eastAsia="바탕"/>
                      <w:sz w:val="18"/>
                    </w:rPr>
                    <w:t>Contraindications and interactions</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Route of administration</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Not stopping on one's own</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Pharmacy (12)</w:t>
                  </w:r>
                </w:p>
              </w:tc>
              <w:tc>
                <w:tcPr>
                  <w:tcW w:type="dxa" w:w="2429"/>
                </w:tcPr>
                <w:p>
                  <w:r>
                    <w:rPr>
                      <w:rFonts w:ascii="Times New Roman" w:hAnsi="Times New Roman" w:eastAsia="바탕"/>
                      <w:sz w:val="18"/>
                    </w:rPr>
                    <w:t>Anything that must not be conveyed by picture and speech alone</w:t>
                  </w:r>
                </w:p>
              </w:tc>
              <w:tc>
                <w:tcPr>
                  <w:tcW w:type="dxa" w:w="2429"/>
                </w:tcPr>
                <w:p>
                  <w:r>
                    <w:rPr>
                      <w:rFonts w:ascii="Times New Roman" w:hAnsi="Times New Roman" w:eastAsia="바탕"/>
                      <w:sz w:val="18"/>
                    </w:rPr>
                    <w:t>Yes. Contraindications and interactions</w:t>
                  </w:r>
                </w:p>
              </w:tc>
              <w:tc>
                <w:tcPr>
                  <w:tcW w:type="dxa" w:w="2429"/>
                </w:tcPr>
                <w:p>
                  <w:r>
                    <w:rPr>
                      <w:rFonts w:ascii="Times New Roman" w:hAnsi="Times New Roman" w:eastAsia="바탕"/>
                      <w:sz w:val="18"/>
                    </w:rPr>
                    <w:t>5</w:t>
                  </w:r>
                </w:p>
              </w:tc>
            </w:tr>
            <w:tr>
              <w:tc>
                <w:tcPr>
                  <w:tcW w:type="dxa" w:w="2429"/>
                </w:tcPr>
                <w:p/>
              </w:tc>
              <w:tc>
                <w:tcPr>
                  <w:tcW w:type="dxa" w:w="2429"/>
                </w:tcPr>
                <w:p/>
              </w:tc>
              <w:tc>
                <w:tcPr>
                  <w:tcW w:type="dxa" w:w="2429"/>
                </w:tcPr>
                <w:p>
                  <w:r>
                    <w:rPr>
                      <w:rFonts w:ascii="Times New Roman" w:hAnsi="Times New Roman" w:eastAsia="바탕"/>
                      <w:sz w:val="18"/>
                    </w:rPr>
                    <w:t>Yes. Cases needing dose adjustment</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Yes. Other</w:t>
                  </w:r>
                </w:p>
              </w:tc>
              <w:tc>
                <w:tcPr>
                  <w:tcW w:type="dxa" w:w="2429"/>
                </w:tcPr>
                <w:p>
                  <w:r>
                    <w:rPr>
                      <w:rFonts w:ascii="Times New Roman" w:hAnsi="Times New Roman" w:eastAsia="바탕"/>
                      <w:sz w:val="18"/>
                    </w:rPr>
                    <w:t>2</w:t>
                  </w:r>
                </w:p>
              </w:tc>
            </w:tr>
            <w:tr>
              <w:tc>
                <w:tcPr>
                  <w:tcW w:type="dxa" w:w="2429"/>
                </w:tcPr>
                <w:p/>
              </w:tc>
              <w:tc>
                <w:tcPr>
                  <w:tcW w:type="dxa" w:w="2429"/>
                </w:tcPr>
                <w:p/>
              </w:tc>
              <w:tc>
                <w:tcPr>
                  <w:tcW w:type="dxa" w:w="2429"/>
                </w:tcPr>
                <w:p>
                  <w:r>
                    <w:rPr>
                      <w:rFonts w:ascii="Times New Roman" w:hAnsi="Times New Roman" w:eastAsia="바탕"/>
                      <w:sz w:val="18"/>
                    </w:rPr>
                    <w:t>No. In principle all of it can be</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Pharmacy (12)</w:t>
                  </w:r>
                </w:p>
              </w:tc>
              <w:tc>
                <w:tcPr>
                  <w:tcW w:type="dxa" w:w="2429"/>
                </w:tcPr>
                <w:p>
                  <w:r>
                    <w:rPr>
                      <w:rFonts w:ascii="Times New Roman" w:hAnsi="Times New Roman" w:eastAsia="바탕"/>
                      <w:sz w:val="18"/>
                    </w:rPr>
                    <w:t>Can it fit the pharmacy workflow</w:t>
                  </w:r>
                </w:p>
              </w:tc>
              <w:tc>
                <w:tcPr>
                  <w:tcW w:type="dxa" w:w="2429"/>
                </w:tcPr>
                <w:p>
                  <w:r>
                    <w:rPr>
                      <w:rFonts w:ascii="Times New Roman" w:hAnsi="Times New Roman" w:eastAsia="바탕"/>
                      <w:sz w:val="18"/>
                    </w:rPr>
                    <w:t>It can be recommended while dispensing</w:t>
                  </w:r>
                </w:p>
              </w:tc>
              <w:tc>
                <w:tcPr>
                  <w:tcW w:type="dxa" w:w="2429"/>
                </w:tcPr>
                <w:p>
                  <w:r>
                    <w:rPr>
                      <w:rFonts w:ascii="Times New Roman" w:hAnsi="Times New Roman" w:eastAsia="바탕"/>
                      <w:sz w:val="18"/>
                    </w:rPr>
                    <w:t>8</w:t>
                  </w:r>
                </w:p>
              </w:tc>
            </w:tr>
            <w:tr>
              <w:tc>
                <w:tcPr>
                  <w:tcW w:type="dxa" w:w="2429"/>
                </w:tcPr>
                <w:p/>
              </w:tc>
              <w:tc>
                <w:tcPr>
                  <w:tcW w:type="dxa" w:w="2429"/>
                </w:tcPr>
                <w:p/>
              </w:tc>
              <w:tc>
                <w:tcPr>
                  <w:tcW w:type="dxa" w:w="2429"/>
                </w:tcPr>
                <w:p>
                  <w:r>
                    <w:rPr>
                      <w:rFonts w:ascii="Times New Roman" w:hAnsi="Times New Roman" w:eastAsia="바탕"/>
                      <w:sz w:val="18"/>
                    </w:rPr>
                    <w:t>Difficult, there is no time</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Non-pharmacist staff can help</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It should happen outside the pharmacy</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Hard to say</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Nursing (9)</w:t>
                  </w:r>
                </w:p>
              </w:tc>
              <w:tc>
                <w:tcPr>
                  <w:tcW w:type="dxa" w:w="2429"/>
                </w:tcPr>
                <w:p>
                  <w:r>
                    <w:rPr>
                      <w:rFonts w:ascii="Times New Roman" w:hAnsi="Times New Roman" w:eastAsia="바탕"/>
                      <w:sz w:val="18"/>
                    </w:rPr>
                    <w:t>Can it change actual health outcomes</w:t>
                  </w:r>
                </w:p>
              </w:tc>
              <w:tc>
                <w:tcPr>
                  <w:tcW w:type="dxa" w:w="2429"/>
                </w:tcPr>
                <w:p>
                  <w:r>
                    <w:rPr>
                      <w:rFonts w:ascii="Times New Roman" w:hAnsi="Times New Roman" w:eastAsia="바탕"/>
                      <w:sz w:val="18"/>
                    </w:rPr>
                    <w:t>It can, if the conditions are met</w:t>
                  </w:r>
                </w:p>
              </w:tc>
              <w:tc>
                <w:tcPr>
                  <w:tcW w:type="dxa" w:w="2429"/>
                </w:tcPr>
                <w:p>
                  <w:r>
                    <w:rPr>
                      <w:rFonts w:ascii="Times New Roman" w:hAnsi="Times New Roman" w:eastAsia="바탕"/>
                      <w:sz w:val="18"/>
                    </w:rPr>
                    <w:t>8</w:t>
                  </w:r>
                </w:p>
              </w:tc>
            </w:tr>
            <w:tr>
              <w:tc>
                <w:tcPr>
                  <w:tcW w:type="dxa" w:w="2429"/>
                </w:tcPr>
                <w:p/>
              </w:tc>
              <w:tc>
                <w:tcPr>
                  <w:tcW w:type="dxa" w:w="2429"/>
                </w:tcPr>
                <w:p/>
              </w:tc>
              <w:tc>
                <w:tcPr>
                  <w:tcW w:type="dxa" w:w="2429"/>
                </w:tcPr>
                <w:p>
                  <w:r>
                    <w:rPr>
                      <w:rFonts w:ascii="Times New Roman" w:hAnsi="Times New Roman" w:eastAsia="바탕"/>
                      <w:sz w:val="18"/>
                    </w:rPr>
                    <w:t>Dosing behaviour may change but not health outcomes</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Nursing (9)</w:t>
                  </w:r>
                </w:p>
              </w:tc>
              <w:tc>
                <w:tcPr>
                  <w:tcW w:type="dxa" w:w="2429"/>
                </w:tcPr>
                <w:p>
                  <w:r>
                    <w:rPr>
                      <w:rFonts w:ascii="Times New Roman" w:hAnsi="Times New Roman" w:eastAsia="바탕"/>
                      <w:sz w:val="18"/>
                    </w:rPr>
                    <w:t>In the field, do people who cannot read fail to receive medication information properly</w:t>
                  </w:r>
                </w:p>
              </w:tc>
              <w:tc>
                <w:tcPr>
                  <w:tcW w:type="dxa" w:w="2429"/>
                </w:tcPr>
                <w:p>
                  <w:r>
                    <w:rPr>
                      <w:rFonts w:ascii="Times New Roman" w:hAnsi="Times New Roman" w:eastAsia="바탕"/>
                      <w:sz w:val="18"/>
                    </w:rPr>
                    <w:t>Yes</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Partly</w:t>
                  </w:r>
                </w:p>
              </w:tc>
              <w:tc>
                <w:tcPr>
                  <w:tcW w:type="dxa" w:w="2429"/>
                </w:tcPr>
                <w:p>
                  <w:r>
                    <w:rPr>
                      <w:rFonts w:ascii="Times New Roman" w:hAnsi="Times New Roman" w:eastAsia="바탕"/>
                      <w:sz w:val="18"/>
                    </w:rPr>
                    <w:t>5</w:t>
                  </w:r>
                </w:p>
              </w:tc>
            </w:tr>
            <w:tr>
              <w:tc>
                <w:tcPr>
                  <w:tcW w:type="dxa" w:w="2429"/>
                </w:tcPr>
                <w:p/>
              </w:tc>
              <w:tc>
                <w:tcPr>
                  <w:tcW w:type="dxa" w:w="2429"/>
                </w:tcPr>
                <w:p/>
              </w:tc>
              <w:tc>
                <w:tcPr>
                  <w:tcW w:type="dxa" w:w="2429"/>
                </w:tcPr>
                <w:p>
                  <w:r>
                    <w:rPr>
                      <w:rFonts w:ascii="Times New Roman" w:hAnsi="Times New Roman" w:eastAsia="바탕"/>
                      <w:sz w:val="18"/>
                    </w:rPr>
                    <w:t>No</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Nursing (9)</w:t>
                  </w:r>
                </w:p>
              </w:tc>
              <w:tc>
                <w:tcPr>
                  <w:tcW w:type="dxa" w:w="2429"/>
                </w:tcPr>
                <w:p>
                  <w:r>
                    <w:rPr>
                      <w:rFonts w:ascii="Times New Roman" w:hAnsi="Times New Roman" w:eastAsia="바탕"/>
                      <w:sz w:val="18"/>
                    </w:rPr>
                    <w:t>For an older patient living alone, where does it fail first</w:t>
                  </w:r>
                </w:p>
              </w:tc>
              <w:tc>
                <w:tcPr>
                  <w:tcW w:type="dxa" w:w="2429"/>
                </w:tcPr>
                <w:p>
                  <w:r>
                    <w:rPr>
                      <w:rFonts w:ascii="Times New Roman" w:hAnsi="Times New Roman" w:eastAsia="바탕"/>
                      <w:sz w:val="18"/>
                    </w:rPr>
                    <w:t>They cannot operate the screen</w:t>
                  </w:r>
                </w:p>
              </w:tc>
              <w:tc>
                <w:tcPr>
                  <w:tcW w:type="dxa" w:w="2429"/>
                </w:tcPr>
                <w:p>
                  <w:r>
                    <w:rPr>
                      <w:rFonts w:ascii="Times New Roman" w:hAnsi="Times New Roman" w:eastAsia="바탕"/>
                      <w:sz w:val="18"/>
                    </w:rPr>
                    <w:t>4</w:t>
                  </w:r>
                </w:p>
              </w:tc>
            </w:tr>
            <w:tr>
              <w:tc>
                <w:tcPr>
                  <w:tcW w:type="dxa" w:w="2429"/>
                </w:tcPr>
                <w:p/>
              </w:tc>
              <w:tc>
                <w:tcPr>
                  <w:tcW w:type="dxa" w:w="2429"/>
                </w:tcPr>
                <w:p/>
              </w:tc>
              <w:tc>
                <w:tcPr>
                  <w:tcW w:type="dxa" w:w="2429"/>
                </w:tcPr>
                <w:p>
                  <w:r>
                    <w:rPr>
                      <w:rFonts w:ascii="Times New Roman" w:hAnsi="Times New Roman" w:eastAsia="바탕"/>
                      <w:sz w:val="18"/>
                    </w:rPr>
                    <w:t>They cannot manage the device (charging, loss)</w:t>
                  </w:r>
                </w:p>
              </w:tc>
              <w:tc>
                <w:tcPr>
                  <w:tcW w:type="dxa" w:w="2429"/>
                </w:tcPr>
                <w:p>
                  <w:r>
                    <w:rPr>
                      <w:rFonts w:ascii="Times New Roman" w:hAnsi="Times New Roman" w:eastAsia="바탕"/>
                      <w:sz w:val="18"/>
                    </w:rPr>
                    <w:t>4</w:t>
                  </w:r>
                </w:p>
              </w:tc>
            </w:tr>
            <w:tr>
              <w:tc>
                <w:tcPr>
                  <w:tcW w:type="dxa" w:w="2429"/>
                </w:tcPr>
                <w:p/>
              </w:tc>
              <w:tc>
                <w:tcPr>
                  <w:tcW w:type="dxa" w:w="2429"/>
                </w:tcPr>
                <w:p/>
              </w:tc>
              <w:tc>
                <w:tcPr>
                  <w:tcW w:type="dxa" w:w="2429"/>
                </w:tcPr>
                <w:p>
                  <w:r>
                    <w:rPr>
                      <w:rFonts w:ascii="Times New Roman" w:hAnsi="Times New Roman" w:eastAsia="바탕"/>
                      <w:sz w:val="18"/>
                    </w:rPr>
                    <w:t>They do not trust the app</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Nursing (9)</w:t>
                  </w:r>
                </w:p>
              </w:tc>
              <w:tc>
                <w:tcPr>
                  <w:tcW w:type="dxa" w:w="2429"/>
                </w:tcPr>
                <w:p>
                  <w:r>
                    <w:rPr>
                      <w:rFonts w:ascii="Times New Roman" w:hAnsi="Times New Roman" w:eastAsia="바탕"/>
                      <w:sz w:val="18"/>
                    </w:rPr>
                    <w:t>Instrument for measuring the effect</w:t>
                  </w:r>
                </w:p>
              </w:tc>
              <w:tc>
                <w:tcPr>
                  <w:tcW w:type="dxa" w:w="2429"/>
                </w:tcPr>
                <w:p>
                  <w:r>
                    <w:rPr>
                      <w:rFonts w:ascii="Times New Roman" w:hAnsi="Times New Roman" w:eastAsia="바탕"/>
                      <w:sz w:val="18"/>
                    </w:rPr>
                    <w:t>An adherence instrument</w:t>
                  </w:r>
                </w:p>
              </w:tc>
              <w:tc>
                <w:tcPr>
                  <w:tcW w:type="dxa" w:w="2429"/>
                </w:tcPr>
                <w:p>
                  <w:r>
                    <w:rPr>
                      <w:rFonts w:ascii="Times New Roman" w:hAnsi="Times New Roman" w:eastAsia="바탕"/>
                      <w:sz w:val="18"/>
                    </w:rPr>
                    <w:t>6</w:t>
                  </w:r>
                </w:p>
              </w:tc>
            </w:tr>
            <w:tr>
              <w:tc>
                <w:tcPr>
                  <w:tcW w:type="dxa" w:w="2429"/>
                </w:tcPr>
                <w:p/>
              </w:tc>
              <w:tc>
                <w:tcPr>
                  <w:tcW w:type="dxa" w:w="2429"/>
                </w:tcPr>
                <w:p/>
              </w:tc>
              <w:tc>
                <w:tcPr>
                  <w:tcW w:type="dxa" w:w="2429"/>
                </w:tcPr>
                <w:p>
                  <w:r>
                    <w:rPr>
                      <w:rFonts w:ascii="Times New Roman" w:hAnsi="Times New Roman" w:eastAsia="바탕"/>
                      <w:sz w:val="18"/>
                    </w:rPr>
                    <w:t>A health-literacy instrument</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Count medication errors directly</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Existing instruments do not fit</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Nursing (9)</w:t>
                  </w:r>
                </w:p>
              </w:tc>
              <w:tc>
                <w:tcPr>
                  <w:tcW w:type="dxa" w:w="2429"/>
                </w:tcPr>
                <w:p>
                  <w:r>
                    <w:rPr>
                      <w:rFonts w:ascii="Times New Roman" w:hAnsi="Times New Roman" w:eastAsia="바탕"/>
                      <w:sz w:val="18"/>
                    </w:rPr>
                    <w:t>Who should it be designed for</w:t>
                  </w:r>
                </w:p>
              </w:tc>
              <w:tc>
                <w:tcPr>
                  <w:tcW w:type="dxa" w:w="2429"/>
                </w:tcPr>
                <w:p>
                  <w:r>
                    <w:rPr>
                      <w:rFonts w:ascii="Times New Roman" w:hAnsi="Times New Roman" w:eastAsia="바탕"/>
                      <w:sz w:val="18"/>
                    </w:rPr>
                    <w:t>The two separately</w:t>
                  </w:r>
                </w:p>
              </w:tc>
              <w:tc>
                <w:tcPr>
                  <w:tcW w:type="dxa" w:w="2429"/>
                </w:tcPr>
                <w:p>
                  <w:r>
                    <w:rPr>
                      <w:rFonts w:ascii="Times New Roman" w:hAnsi="Times New Roman" w:eastAsia="바탕"/>
                      <w:sz w:val="18"/>
                    </w:rPr>
                    <w:t>6</w:t>
                  </w:r>
                </w:p>
              </w:tc>
            </w:tr>
            <w:tr>
              <w:tc>
                <w:tcPr>
                  <w:tcW w:type="dxa" w:w="2429"/>
                </w:tcPr>
                <w:p/>
              </w:tc>
              <w:tc>
                <w:tcPr>
                  <w:tcW w:type="dxa" w:w="2429"/>
                </w:tcPr>
                <w:p/>
              </w:tc>
              <w:tc>
                <w:tcPr>
                  <w:tcW w:type="dxa" w:w="2429"/>
                </w:tcPr>
                <w:p>
                  <w:r>
                    <w:rPr>
                      <w:rFonts w:ascii="Times New Roman" w:hAnsi="Times New Roman" w:eastAsia="바탕"/>
                      <w:sz w:val="18"/>
                    </w:rPr>
                    <w:t>Patient / carer / hard to say</w:t>
                  </w:r>
                </w:p>
              </w:tc>
              <w:tc>
                <w:tcPr>
                  <w:tcW w:type="dxa" w:w="2429"/>
                </w:tcPr>
                <w:p>
                  <w:r>
                    <w:rPr>
                      <w:rFonts w:ascii="Times New Roman" w:hAnsi="Times New Roman" w:eastAsia="바탕"/>
                      <w:sz w:val="18"/>
                    </w:rPr>
                    <w:t>1 each</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The biggest problem</w:t>
                  </w:r>
                </w:p>
              </w:tc>
              <w:tc>
                <w:tcPr>
                  <w:tcW w:type="dxa" w:w="2429"/>
                </w:tcPr>
                <w:p>
                  <w:r>
                    <w:rPr>
                      <w:rFonts w:ascii="Times New Roman" w:hAnsi="Times New Roman" w:eastAsia="바탕"/>
                      <w:sz w:val="18"/>
                    </w:rPr>
                    <w:t>That there is no validation with users</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Can machine pre-screening stand ahead of testing with people</w:t>
                  </w:r>
                </w:p>
              </w:tc>
              <w:tc>
                <w:tcPr>
                  <w:tcW w:type="dxa" w:w="2429"/>
                </w:tcPr>
                <w:p>
                  <w:r>
                    <w:rPr>
                      <w:rFonts w:ascii="Times New Roman" w:hAnsi="Times New Roman" w:eastAsia="바탕"/>
                      <w:sz w:val="18"/>
                    </w:rPr>
                    <w:t>It is justified with conditions attached</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As morpheme combinations grow, what breaks first</w:t>
                  </w:r>
                </w:p>
              </w:tc>
              <w:tc>
                <w:tcPr>
                  <w:tcW w:type="dxa" w:w="2429"/>
                </w:tcPr>
                <w:p>
                  <w:r>
                    <w:rPr>
                      <w:rFonts w:ascii="Times New Roman" w:hAnsi="Times New Roman" w:eastAsia="바탕"/>
                      <w:sz w:val="18"/>
                    </w:rPr>
                    <w:t>It becomes impossible to tell what the main meaning is</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How to measure the criterion with a small sample</w:t>
                  </w:r>
                </w:p>
              </w:tc>
              <w:tc>
                <w:tcPr>
                  <w:tcW w:type="dxa" w:w="2429"/>
                </w:tcPr>
                <w:p>
                  <w:r>
                    <w:rPr>
                      <w:rFonts w:ascii="Times New Roman" w:hAnsi="Times New Roman" w:eastAsia="바탕"/>
                      <w:sz w:val="18"/>
                    </w:rPr>
                    <w:t>Choose from options / observe actual behaviour</w:t>
                  </w:r>
                </w:p>
              </w:tc>
              <w:tc>
                <w:tcPr>
                  <w:tcW w:type="dxa" w:w="2429"/>
                </w:tcPr>
                <w:p>
                  <w:r>
                    <w:rPr>
                      <w:rFonts w:ascii="Times New Roman" w:hAnsi="Times New Roman" w:eastAsia="바탕"/>
                      <w:sz w:val="18"/>
                    </w:rPr>
                    <w:t>1 each</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Where does a first-time user get stuck</w:t>
                  </w:r>
                </w:p>
              </w:tc>
              <w:tc>
                <w:tcPr>
                  <w:tcW w:type="dxa" w:w="2429"/>
                </w:tcPr>
                <w:p>
                  <w:r>
                    <w:rPr>
                      <w:rFonts w:ascii="Times New Roman" w:hAnsi="Times New Roman" w:eastAsia="바탕"/>
                      <w:sz w:val="18"/>
                    </w:rPr>
                    <w:t>Granting camera permission / they do not get stuck</w:t>
                  </w:r>
                </w:p>
              </w:tc>
              <w:tc>
                <w:tcPr>
                  <w:tcW w:type="dxa" w:w="2429"/>
                </w:tcPr>
                <w:p>
                  <w:r>
                    <w:rPr>
                      <w:rFonts w:ascii="Times New Roman" w:hAnsi="Times New Roman" w:eastAsia="바탕"/>
                      <w:sz w:val="18"/>
                    </w:rPr>
                    <w:t>1 each</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Does it fit the accumulated knowledge of this field</w:t>
                  </w:r>
                </w:p>
              </w:tc>
              <w:tc>
                <w:tcPr>
                  <w:tcW w:type="dxa" w:w="2429"/>
                </w:tcPr>
                <w:p>
                  <w:r>
                    <w:rPr>
                      <w:rFonts w:ascii="Times New Roman" w:hAnsi="Times New Roman" w:eastAsia="바탕"/>
                      <w:sz w:val="18"/>
                    </w:rPr>
                    <w:t>Broadly yes, with places where it diverges</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Does combining 78 morphemes by grammar hold up</w:t>
                  </w:r>
                </w:p>
              </w:tc>
              <w:tc>
                <w:tcPr>
                  <w:tcW w:type="dxa" w:w="2429"/>
                </w:tcPr>
                <w:p>
                  <w:r>
                    <w:rPr>
                      <w:rFonts w:ascii="Times New Roman" w:hAnsi="Times New Roman" w:eastAsia="바탕"/>
                      <w:sz w:val="18"/>
                    </w:rPr>
                    <w:t>It holds up with conditions attached</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Which morphemes will be misread first</w:t>
                  </w:r>
                </w:p>
              </w:tc>
              <w:tc>
                <w:tcPr>
                  <w:tcW w:type="dxa" w:w="2429"/>
                </w:tcPr>
                <w:p>
                  <w:r>
                    <w:rPr>
                      <w:rFonts w:ascii="Times New Roman" w:hAnsi="Times New Roman" w:eastAsia="바탕"/>
                      <w:sz w:val="18"/>
                    </w:rPr>
                    <w:t>Abstract concepts (empty stomach, interaction and so on)</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The problem that symbols presuppose learning</w:t>
                  </w:r>
                </w:p>
              </w:tc>
              <w:tc>
                <w:tcPr>
                  <w:tcW w:type="dxa" w:w="2429"/>
                </w:tcPr>
                <w:p>
                  <w:r>
                    <w:rPr>
                      <w:rFonts w:ascii="Times New Roman" w:hAnsi="Times New Roman" w:eastAsia="바탕"/>
                      <w:sz w:val="18"/>
                    </w:rPr>
                    <w:t>It holds for some categories only</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Adult literacy (1)</w:t>
                  </w:r>
                </w:p>
              </w:tc>
              <w:tc>
                <w:tcPr>
                  <w:tcW w:type="dxa" w:w="2429"/>
                </w:tcPr>
                <w:p>
                  <w:r>
                    <w:rPr>
                      <w:rFonts w:ascii="Times New Roman" w:hAnsi="Times New Roman" w:eastAsia="바탕"/>
                      <w:sz w:val="18"/>
                    </w:rPr>
                    <w:t>Is there a place for it in adult literacy education</w:t>
                  </w:r>
                </w:p>
              </w:tc>
              <w:tc>
                <w:tcPr>
                  <w:tcW w:type="dxa" w:w="2429"/>
                </w:tcPr>
                <w:p>
                  <w:r>
                    <w:rPr>
                      <w:rFonts w:ascii="Times New Roman" w:hAnsi="Times New Roman" w:eastAsia="바탕"/>
                      <w:sz w:val="18"/>
                    </w:rPr>
                    <w:t>Yes, but the form has to change</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Adult literacy (1)</w:t>
                  </w:r>
                </w:p>
              </w:tc>
              <w:tc>
                <w:tcPr>
                  <w:tcW w:type="dxa" w:w="2429"/>
                </w:tcPr>
                <w:p>
                  <w:r>
                    <w:rPr>
                      <w:rFonts w:ascii="Times New Roman" w:hAnsi="Times New Roman" w:eastAsia="바탕"/>
                      <w:sz w:val="18"/>
                    </w:rPr>
                    <w:t>Does it reduce the motivation to learn to read</w:t>
                  </w:r>
                </w:p>
              </w:tc>
              <w:tc>
                <w:tcPr>
                  <w:tcW w:type="dxa" w:w="2429"/>
                </w:tcPr>
                <w:p>
                  <w:r>
                    <w:rPr>
                      <w:rFonts w:ascii="Times New Roman" w:hAnsi="Times New Roman" w:eastAsia="바탕"/>
                      <w:sz w:val="18"/>
                    </w:rPr>
                    <w:t>No. It helps, if anything</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Industry (1)</w:t>
                  </w:r>
                </w:p>
              </w:tc>
              <w:tc>
                <w:tcPr>
                  <w:tcW w:type="dxa" w:w="2429"/>
                </w:tcPr>
                <w:p>
                  <w:r>
                    <w:rPr>
                      <w:rFonts w:ascii="Times New Roman" w:hAnsi="Times New Roman" w:eastAsia="바탕"/>
                      <w:sz w:val="18"/>
                    </w:rPr>
                    <w:t>What is most lacking</w:t>
                  </w:r>
                </w:p>
              </w:tc>
              <w:tc>
                <w:tcPr>
                  <w:tcW w:type="dxa" w:w="2429"/>
                </w:tcPr>
                <w:p>
                  <w:r>
                    <w:rPr>
                      <w:rFonts w:ascii="Times New Roman" w:hAnsi="Times New Roman" w:eastAsia="바탕"/>
                      <w:sz w:val="18"/>
                    </w:rPr>
                    <w:t>A route that reaches users</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Industry (1)</w:t>
                  </w:r>
                </w:p>
              </w:tc>
              <w:tc>
                <w:tcPr>
                  <w:tcW w:type="dxa" w:w="2429"/>
                </w:tcPr>
                <w:p>
                  <w:r>
                    <w:rPr>
                      <w:rFonts w:ascii="Times New Roman" w:hAnsi="Times New Roman" w:eastAsia="바탕"/>
                      <w:sz w:val="18"/>
                    </w:rPr>
                    <w:t>In operation, what breaks first</w:t>
                  </w:r>
                </w:p>
              </w:tc>
              <w:tc>
                <w:tcPr>
                  <w:tcW w:type="dxa" w:w="2429"/>
                </w:tcPr>
                <w:p>
                  <w:r>
                    <w:rPr>
                      <w:rFonts w:ascii="Times New Roman" w:hAnsi="Times New Roman" w:eastAsia="바탕"/>
                      <w:sz w:val="18"/>
                    </w:rPr>
                    <w:t>Users stop using it after a few days</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Other (9)</w:t>
                  </w:r>
                </w:p>
              </w:tc>
              <w:tc>
                <w:tcPr>
                  <w:tcW w:type="dxa" w:w="2429"/>
                </w:tcPr>
                <w:p>
                  <w:r>
                    <w:rPr>
                      <w:rFonts w:ascii="Times New Roman" w:hAnsi="Times New Roman" w:eastAsia="바탕"/>
                      <w:sz w:val="18"/>
                    </w:rPr>
                    <w:t>What has to be resolved first</w:t>
                  </w:r>
                </w:p>
              </w:tc>
              <w:tc>
                <w:tcPr>
                  <w:tcW w:type="dxa" w:w="2429"/>
                </w:tcPr>
                <w:p>
                  <w:r>
                    <w:rPr>
                      <w:rFonts w:ascii="Times New Roman" w:hAnsi="Times New Roman" w:eastAsia="바탕"/>
                      <w:sz w:val="18"/>
                    </w:rPr>
                    <w:t>That there is no validation with people</w:t>
                  </w:r>
                </w:p>
              </w:tc>
              <w:tc>
                <w:tcPr>
                  <w:tcW w:type="dxa" w:w="2429"/>
                </w:tcPr>
                <w:p>
                  <w:r>
                    <w:rPr>
                      <w:rFonts w:ascii="Times New Roman" w:hAnsi="Times New Roman" w:eastAsia="바탕"/>
                      <w:sz w:val="18"/>
                    </w:rPr>
                    <w:t>2</w:t>
                  </w:r>
                </w:p>
              </w:tc>
            </w:tr>
            <w:tr>
              <w:tc>
                <w:tcPr>
                  <w:tcW w:type="dxa" w:w="2429"/>
                </w:tcPr>
                <w:p/>
              </w:tc>
              <w:tc>
                <w:tcPr>
                  <w:tcW w:type="dxa" w:w="2429"/>
                </w:tcPr>
                <w:p/>
              </w:tc>
              <w:tc>
                <w:tcPr>
                  <w:tcW w:type="dxa" w:w="2429"/>
                </w:tcPr>
                <w:p>
                  <w:r>
                    <w:rPr>
                      <w:rFonts w:ascii="Times New Roman" w:hAnsi="Times New Roman" w:eastAsia="바탕"/>
                      <w:sz w:val="18"/>
                    </w:rPr>
                    <w:t>A route that reaches actual users</w:t>
                  </w:r>
                </w:p>
              </w:tc>
              <w:tc>
                <w:tcPr>
                  <w:tcW w:type="dxa" w:w="2429"/>
                </w:tcPr>
                <w:p>
                  <w:r>
                    <w:rPr>
                      <w:rFonts w:ascii="Times New Roman" w:hAnsi="Times New Roman" w:eastAsia="바탕"/>
                      <w:sz w:val="18"/>
                    </w:rPr>
                    <w:t>1</w:t>
                  </w:r>
                </w:p>
              </w:tc>
            </w:tr>
          </w:tbl>
          <w:p/>
          <w:p>
            <w:pPr>
              <w:spacing w:after="120"/>
            </w:pPr>
          </w:p>
          <w:p>
            <w:pPr>
              <w:spacing w:before="160" w:after="60"/>
              <w:jc w:val="center"/>
            </w:pPr>
            <w:r>
              <w:drawing>
                <wp:inline xmlns:a="http://schemas.openxmlformats.org/drawingml/2006/main" xmlns:pic="http://schemas.openxmlformats.org/drawingml/2006/picture">
                  <wp:extent cx="5486400" cy="2011680"/>
                  <wp:docPr id="45" name="Picture 45"/>
                  <wp:cNvGraphicFramePr>
                    <a:graphicFrameLocks noChangeAspect="1"/>
                  </wp:cNvGraphicFramePr>
                  <a:graphic>
                    <a:graphicData uri="http://schemas.openxmlformats.org/drawingml/2006/picture">
                      <pic:pic>
                        <pic:nvPicPr>
                          <pic:cNvPr id="0" name="chart18_field_answers.png"/>
                          <pic:cNvPicPr/>
                        </pic:nvPicPr>
                        <pic:blipFill>
                          <a:blip r:embed="rId62"/>
                          <a:stretch>
                            <a:fillRect/>
                          </a:stretch>
                        </pic:blipFill>
                        <pic:spPr>
                          <a:xfrm>
                            <a:off x="0" y="0"/>
                            <a:ext cx="5486400" cy="20116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45]</w:t>
            </w:r>
            <w:r>
              <w:rPr>
                <w:rFonts w:ascii="Times New Roman" w:hAnsi="Times New Roman" w:eastAsia="바탕"/>
                <w:color w:val="606068"/>
                <w:sz w:val="18"/>
              </w:rPr>
              <w:t xml:space="preserve"> What the 12 pharmacy and 9 nursing and public-health respondents answered. The denominators are small, so head counts are drawn rather than percentages. The third row on the left and the first row on the right point in different directions. Pharmacy sees things this app cannot handle; nursing sees outcomes that can be changed once the conditions are met.</w:t>
            </w:r>
          </w:p>
          <w:p>
            <w:pPr>
              <w:spacing w:after="80" w:line="276" w:lineRule="auto"/>
              <w:jc w:val="both"/>
            </w:pPr>
            <w:r>
              <w:rPr>
                <w:rFonts w:ascii="Times New Roman" w:hAnsi="Times New Roman" w:eastAsia="바탕"/>
                <w:sz w:val="20"/>
              </w:rPr>
              <w:t>What we had omitted comes first.</w:t>
            </w:r>
          </w:p>
          <w:p>
            <w:pPr>
              <w:spacing w:after="80" w:line="276" w:lineRule="auto"/>
              <w:jc w:val="both"/>
            </w:pPr>
            <w:r>
              <w:rPr>
                <w:rFonts w:ascii="Times New Roman" w:hAnsi="Times New Roman" w:eastAsia="바탕"/>
                <w:sz w:val="20"/>
              </w:rPr>
              <w:t>Eight of the nine nursing and public-health respondents answered that in the field people who cannot read are not receiving medication information properly: 3 "yes" and 5 "partly", against 1 "no". This confirms the premise of §1.1 and §1.2 from the field, and in the earlier subsection we recorded only that 44% of respondents almost never encounter such patients and did not record this question. The two questions ask different things. The first is how often the respondent sees it; the second is what those who have seen it saw. Including only the unfavourable side is the same problem that the appendix in §5.11 exists to address, and it is corrected here.</w:t>
            </w:r>
          </w:p>
          <w:p>
            <w:pPr>
              <w:spacing w:after="80" w:line="276" w:lineRule="auto"/>
              <w:jc w:val="both"/>
            </w:pPr>
            <w:r>
              <w:rPr>
                <w:rFonts w:ascii="Times New Roman" w:hAnsi="Times New Roman" w:eastAsia="바탕"/>
                <w:sz w:val="20"/>
              </w:rPr>
              <w:t>There is one more in the same place. Both HCI and design respondents answered "justified with conditions attached" about our procedure of screening morphemes by asking a vision-language model instead of people (§5.2). That procedure is one of the two rows we claimed in §2.6 to have put down as new, and we had not included the outside judgement on it. The qualifier "with conditions attached" overlaps with the three limitations we set down for ourselves in §5.4.</w:t>
            </w:r>
          </w:p>
          <w:p>
            <w:pPr>
              <w:spacing w:after="80" w:line="276" w:lineRule="auto"/>
              <w:jc w:val="both"/>
            </w:pPr>
            <w:r>
              <w:rPr>
                <w:rFonts w:ascii="Times New Roman" w:hAnsi="Times New Roman" w:eastAsia="바탕"/>
                <w:sz w:val="20"/>
              </w:rPr>
              <w:t>Then the things that read newly.</w:t>
            </w:r>
          </w:p>
          <w:p>
            <w:pPr>
              <w:spacing w:after="80" w:line="276" w:lineRule="auto"/>
              <w:jc w:val="both"/>
            </w:pPr>
            <w:r>
              <w:rPr>
                <w:rFonts w:ascii="Times New Roman" w:hAnsi="Times New Roman" w:eastAsia="바탕"/>
                <w:sz w:val="20"/>
              </w:rPr>
              <w:t>Ten of the twelve pharmacy respondents answered that there are things which must not be conveyed by picture and speech alone: contraindications and interactions for 5, cases needing dose adjustment for 3, other for 2, against 2 who answered that all of it can be. This app includes interactions in its verdict (§2.4), so this answer is a request to narrow the scope of our design. It interlocks with the risk of unilateral discontinuation written by Professor and pharmacist So-Young Lee of Chungnam National University.</w:t>
            </w:r>
          </w:p>
          <w:p>
            <w:pPr>
              <w:spacing w:after="80" w:line="276" w:lineRule="auto"/>
              <w:jc w:val="both"/>
            </w:pPr>
            <w:r>
              <w:rPr>
                <w:rFonts w:ascii="Times New Roman" w:hAnsi="Times New Roman" w:eastAsia="바탕"/>
                <w:sz w:val="20"/>
              </w:rPr>
              <w:t>The nine nursing respondents split on where an older patient living alone fails first: 4 on operating the screen and 4 on managing the device. The latter is charging and loss, which lies outside our design. However much the app is improved, it does not open if the device is flat. The offline operation of §4.5 handles a connection being cut; it does not handle the device being off.</w:t>
            </w:r>
          </w:p>
          <w:p>
            <w:pPr>
              <w:spacing w:after="80" w:line="276" w:lineRule="auto"/>
              <w:jc w:val="both"/>
            </w:pPr>
            <w:r>
              <w:rPr>
                <w:rFonts w:ascii="Times New Roman" w:hAnsi="Times New Roman" w:eastAsia="바탕"/>
                <w:sz w:val="20"/>
              </w:rPr>
              <w:t>Both HCI respondents chose "it becomes impossible to tell what the main meaning is" as what breaks first as morpheme combinations grow. It is the too-many-elements-in-one-image finding of the earlier subsection, said from another side. It is a prediction that things get worse as the set grows, so it has to be measured alongside step 4 of §5.10 when morphemes are added.</w:t>
            </w:r>
          </w:p>
          <w:p>
            <w:pPr>
              <w:spacing w:after="80" w:line="276" w:lineRule="auto"/>
              <w:jc w:val="both"/>
            </w:pPr>
            <w:r>
              <w:rPr>
                <w:rFonts w:ascii="Times New Roman" w:hAnsi="Times New Roman" w:eastAsia="바탕"/>
                <w:sz w:val="20"/>
              </w:rPr>
              <w:t>Asked which morphemes would be misread first, the AAC respondent chose abstract concepts, things like empty stomach and interaction. That agrees with all five of the morphemes we could not improve in §5.3 being problems of concept rather than of form. The same respondent answered that the approach of combining 78 morphemes by grammar "holds up with conditions attached", and that on the point that AAC symbols normally presuppose learning while we expect immediate comprehension from a first-time viewer, it "holds for some categories only". It means the range over which our grammar holds differs by the kind of morpheme.</w:t>
            </w:r>
          </w:p>
          <w:p>
            <w:pPr>
              <w:spacing w:after="80" w:line="276" w:lineRule="auto"/>
              <w:jc w:val="both"/>
            </w:pPr>
            <w:r>
              <w:rPr>
                <w:rFonts w:ascii="Times New Roman" w:hAnsi="Times New Roman" w:eastAsia="바탕"/>
                <w:sz w:val="20"/>
              </w:rPr>
              <w:t>Asked what breaks first in operation, the industry-practice respondent chose "users stop using it after a few days". No measurement in this document addresses continued use. It has been added to the unverified items in §5.9. That the formative evaluation of §5.1 covers only a single capture is what is caught here.</w:t>
            </w:r>
          </w:p>
          <w:p>
            <w:pPr>
              <w:spacing w:before="120" w:after="20"/>
            </w:pPr>
            <w:r>
              <w:rPr>
                <w:rFonts w:ascii="Times New Roman" w:hAnsi="Times New Roman" w:eastAsia="바탕"/>
                <w:b/>
                <w:sz w:val="21"/>
              </w:rPr>
              <w:t>5.7.13 What was fixed after the survey</w:t>
            </w:r>
          </w:p>
          <w:p>
            <w:pPr>
              <w:spacing w:after="80" w:line="276" w:lineRule="auto"/>
              <w:jc w:val="both"/>
            </w:pPr>
            <w:r>
              <w:rPr>
                <w:rFonts w:ascii="Times New Roman" w:hAnsi="Times New Roman" w:eastAsia="바탕"/>
                <w:sz w:val="20"/>
              </w:rPr>
              <w:t>This survey was carried out to fix things rather than to record results and stop, so what was fixed and what further came to light in the fixing is set down here. All of it took place after the survey in August 2026.</w:t>
            </w:r>
          </w:p>
          <w:p>
            <w:pPr>
              <w:spacing w:after="80" w:line="276" w:lineRule="auto"/>
              <w:jc w:val="both"/>
            </w:pPr>
            <w:r>
              <w:rPr>
                <w:rFonts w:ascii="Times New Roman" w:hAnsi="Times New Roman" w:eastAsia="바탕"/>
                <w:sz w:val="20"/>
              </w:rPr>
              <w:t xml:space="preserve">The contraindication marking was fixed. </w:t>
            </w:r>
            <w:r>
              <w:rPr>
                <w:rFonts w:ascii="Consolas" w:hAnsi="Consolas" w:eastAsia="Consolas"/>
                <w:sz w:val="19"/>
              </w:rPr>
              <w:t>contentLabels</w:t>
            </w:r>
            <w:r>
              <w:rPr>
                <w:rFonts w:ascii="Times New Roman" w:hAnsi="Times New Roman" w:eastAsia="바탕"/>
                <w:sz w:val="20"/>
              </w:rPr>
              <w:t xml:space="preserve"> had handled every flag through a single </w:t>
            </w:r>
            <w:r>
              <w:rPr>
                <w:rFonts w:ascii="Consolas" w:hAnsi="Consolas" w:eastAsia="Consolas"/>
                <w:sz w:val="19"/>
              </w:rPr>
              <w:t>avoid</w:t>
            </w:r>
            <w:r>
              <w:rPr>
                <w:rFonts w:ascii="Times New Roman" w:hAnsi="Times New Roman" w:eastAsia="바탕"/>
                <w:sz w:val="20"/>
              </w:rPr>
              <w:t>, and it was split into three according to the nature of the flag. Flags that say what is contained (</w:t>
            </w:r>
            <w:r>
              <w:rPr>
                <w:rFonts w:ascii="Consolas" w:hAnsi="Consolas" w:eastAsia="Consolas"/>
                <w:sz w:val="19"/>
              </w:rPr>
              <w:t>peanut</w:t>
            </w:r>
            <w:r>
              <w:rPr>
                <w:rFonts w:ascii="Times New Roman" w:hAnsi="Times New Roman" w:eastAsia="바탕"/>
                <w:sz w:val="20"/>
              </w:rPr>
              <w:t xml:space="preserve">, </w:t>
            </w:r>
            <w:r>
              <w:rPr>
                <w:rFonts w:ascii="Consolas" w:hAnsi="Consolas" w:eastAsia="Consolas"/>
                <w:sz w:val="19"/>
              </w:rPr>
              <w:t>high_salt</w:t>
            </w:r>
            <w:r>
              <w:rPr>
                <w:rFonts w:ascii="Times New Roman" w:hAnsi="Times New Roman" w:eastAsia="바탕"/>
                <w:sz w:val="20"/>
              </w:rPr>
              <w:t>) gain and lose the slash according to the verdict, while flags that say what not to do (</w:t>
            </w:r>
            <w:r>
              <w:rPr>
                <w:rFonts w:ascii="Consolas" w:hAnsi="Consolas" w:eastAsia="Consolas"/>
                <w:sz w:val="19"/>
              </w:rPr>
              <w:t>unsafe_pregnancy</w:t>
            </w:r>
            <w:r>
              <w:rPr>
                <w:rFonts w:ascii="Times New Roman" w:hAnsi="Times New Roman" w:eastAsia="바탕"/>
                <w:sz w:val="20"/>
              </w:rPr>
              <w:t>) are always drawn as prohibited regardless of the verdict.</w:t>
            </w:r>
          </w:p>
          <w:p>
            <w:pPr>
              <w:spacing w:after="80" w:line="276" w:lineRule="auto"/>
              <w:jc w:val="both"/>
            </w:pPr>
            <w:r>
              <w:rPr>
                <w:rFonts w:ascii="Times New Roman" w:hAnsi="Times New Roman" w:eastAsia="바탕"/>
                <w:sz w:val="20"/>
              </w:rPr>
              <w:t xml:space="preserve">Fixing it found one more of the same accident running the other way. An avoid verdict was wrapping </w:t>
            </w:r>
            <w:r>
              <w:rPr>
                <w:rFonts w:ascii="Consolas" w:hAnsi="Consolas" w:eastAsia="Consolas"/>
                <w:sz w:val="19"/>
              </w:rPr>
              <w:t>\no{}</w:t>
            </w:r>
            <w:r>
              <w:rPr>
                <w:rFonts w:ascii="Times New Roman" w:hAnsi="Times New Roman" w:eastAsia="바탕"/>
                <w:sz w:val="20"/>
              </w:rPr>
              <w:t xml:space="preserve"> around every flag, so the no-alcohol morpheme </w:t>
            </w:r>
            <w:r>
              <w:rPr>
                <w:rFonts w:ascii="Consolas" w:hAnsi="Consolas" w:eastAsia="Consolas"/>
                <w:sz w:val="19"/>
              </w:rPr>
              <w:t>no_alcohol</w:t>
            </w:r>
            <w:r>
              <w:rPr>
                <w:rFonts w:ascii="Times New Roman" w:hAnsi="Times New Roman" w:eastAsia="바탕"/>
                <w:sz w:val="20"/>
              </w:rPr>
              <w:t xml:space="preserve"> became </w:t>
            </w:r>
            <w:r>
              <w:rPr>
                <w:rFonts w:ascii="Consolas" w:hAnsi="Consolas" w:eastAsia="Consolas"/>
                <w:sz w:val="19"/>
              </w:rPr>
              <w:t>\no{\no_alcohol}</w:t>
            </w:r>
            <w:r>
              <w:rPr>
                <w:rFonts w:ascii="Times New Roman" w:hAnsi="Times New Roman" w:eastAsia="바탕"/>
                <w:sz w:val="20"/>
              </w:rPr>
              <w:t xml:space="preserve"> and the no-alcohol marking was getting a slash through it. Putting a slash through a picture saying do not drink means it is fine to drink. The bleeding warning </w:t>
            </w:r>
            <w:r>
              <w:rPr>
                <w:rFonts w:ascii="Consolas" w:hAnsi="Consolas" w:eastAsia="Consolas"/>
                <w:sz w:val="19"/>
              </w:rPr>
              <w:t>warn_bleeding</w:t>
            </w:r>
            <w:r>
              <w:rPr>
                <w:rFonts w:ascii="Times New Roman" w:hAnsi="Times New Roman" w:eastAsia="바탕"/>
                <w:sz w:val="20"/>
              </w:rPr>
              <w:t xml:space="preserve"> was likewise becoming a picture that does not say "do not bleed". What the survey caught was contraindications not being marked, and on the other side of the same function there was a path where contraindications were marked inverted.</w:t>
            </w:r>
          </w:p>
          <w:p>
            <w:pPr>
              <w:spacing w:after="80" w:line="276" w:lineRule="auto"/>
              <w:jc w:val="both"/>
            </w:pPr>
            <w:r>
              <w:rPr>
                <w:rFonts w:ascii="Consolas" w:hAnsi="Consolas" w:eastAsia="Consolas"/>
                <w:sz w:val="19"/>
              </w:rPr>
              <w:t>finish_course</w:t>
            </w:r>
            <w:r>
              <w:rPr>
                <w:rFonts w:ascii="Times New Roman" w:hAnsi="Times New Roman" w:eastAsia="바탕"/>
                <w:sz w:val="20"/>
              </w:rPr>
              <w:t xml:space="preserve"> was redrawn. The problem was filling three of five cells and leaving two empty. It was meant to draw a number of days, but drawing a state in progress says "not finished yet" rather than "finish it". Using the directional arrow proposed by Sheron Sir Loon Goh, Pharmacy Lecturer, all five cells are now filled with an arrow beneath pointing to the last one.</w:t>
            </w:r>
          </w:p>
          <w:p>
            <w:pPr>
              <w:spacing w:after="80" w:line="276" w:lineRule="auto"/>
              <w:jc w:val="both"/>
            </w:pPr>
            <w:r>
              <w:rPr>
                <w:rFonts w:ascii="Times New Roman" w:hAnsi="Times New Roman" w:eastAsia="바탕"/>
                <w:sz w:val="20"/>
              </w:rPr>
              <w:t xml:space="preserve">This revealed why the semantic check of §5.2 had passed it. The expected value of the check was </w:t>
            </w:r>
            <w:r>
              <w:rPr>
                <w:rFonts w:ascii="Consolas" w:hAnsi="Consolas" w:eastAsia="Consolas"/>
                <w:sz w:val="19"/>
              </w:rPr>
              <w:t>row of boxes</w:t>
            </w:r>
            <w:r>
              <w:rPr>
                <w:rFonts w:ascii="Times New Roman" w:hAnsi="Times New Roman" w:eastAsia="바탕"/>
                <w:sz w:val="20"/>
              </w:rPr>
              <w:t xml:space="preserve">. Because it asked only about appearance, a picture meaning the opposite passes too. The expected value was changed to </w:t>
            </w:r>
            <w:r>
              <w:rPr>
                <w:rFonts w:ascii="Consolas" w:hAnsi="Consolas" w:eastAsia="Consolas"/>
                <w:sz w:val="19"/>
              </w:rPr>
              <w:t>arrow pointing to the end of a row of boxes</w:t>
            </w:r>
            <w:r>
              <w:rPr>
                <w:rFonts w:ascii="Times New Roman" w:hAnsi="Times New Roman" w:eastAsia="바탕"/>
                <w:sz w:val="20"/>
              </w:rPr>
              <w:t>, so that looking merely like a row of boxes now fails. What we recorded as the third limitation of that procedure in §5.4 is confirmed here as an actual case. The semantic check is an instrument for asking what a picture looks like, not for asking whether its meaning stands the right way up.</w:t>
            </w:r>
          </w:p>
          <w:p>
            <w:pPr>
              <w:spacing w:after="80" w:line="276" w:lineRule="auto"/>
              <w:jc w:val="both"/>
            </w:pPr>
            <w:r>
              <w:rPr>
                <w:rFonts w:ascii="Times New Roman" w:hAnsi="Times New Roman" w:eastAsia="바탕"/>
                <w:sz w:val="20"/>
              </w:rPr>
              <w:t>The set was made to use itself as its own list. When Professor Katarina Vučićević wrote that refrigerated storage and midday are confusable, opening the confusion list for the two morphemes showed that neither recorded the other. Each had been asked whether it is confusable with a star; no one had asked whether they are confusable with each other. Writing a longer list does not close this. With 78 morphemes there are 3,003 pairs. So if a picture reads as the meaning of another morpheme, it counts as a collision whether or not we wrote it down in advance.</w:t>
            </w:r>
          </w:p>
          <w:p>
            <w:pPr>
              <w:spacing w:after="80" w:line="276" w:lineRule="auto"/>
              <w:jc w:val="both"/>
            </w:pPr>
            <w:r>
              <w:rPr>
                <w:rFonts w:ascii="Times New Roman" w:hAnsi="Times New Roman" w:eastAsia="바탕"/>
                <w:sz w:val="20"/>
              </w:rPr>
              <w:t>We added a pixel-level check for similar pairs as well. Installed morphemes are reduced to the 32 pixels at which they are actually seen and the distance between them measured, because being distinguishable at 512 pixels is not this app's problem. Recorded honestly, this check does not catch the pair the expert named (refrigeration against midday). It ranks 944th of 3,003. That confusion is a structural overlap of radial forms rather than a pixel one, a different kind, and that side is the semantic check's job.</w:t>
            </w:r>
          </w:p>
          <w:p>
            <w:pPr>
              <w:spacing w:after="80" w:line="276" w:lineRule="auto"/>
              <w:jc w:val="both"/>
            </w:pPr>
            <w:r>
              <w:rPr>
                <w:rFonts w:ascii="Times New Roman" w:hAnsi="Times New Roman" w:eastAsia="바탕"/>
                <w:sz w:val="20"/>
              </w:rPr>
              <w:t>So it was fixed by looking rather than by the metric. A snowflake and a sun are both star shapes radiating from a centre, and if the silhouettes are the same, enlarging them does not separate them. The professor's proposal was colour: black and red for warnings, black and yellow for daytime. Colour is good as a second layer but cannot be the first. To someone who cannot see colour the two pictures are still the same, and that person is the one §3.7 undertook to protect. A composed cell is a single PNG, so there is no way to tint only the morpheme inside it either; adding colour would require the engine to emit colour, and that changes the black-and-white-silhouette rule itself. The silhouette was changed instead. The snowflake was not discarded, because it is a picture people have already learned from the refrigeration mark printed on packaging; it was cut into a box as a hole. What was learned stays and what collides disappears. The outline is now a filled rectangle, so there is nowhere left for it to overlap with the sun.</w:t>
            </w:r>
          </w:p>
          <w:p>
            <w:pPr>
              <w:spacing w:after="80" w:line="276" w:lineRule="auto"/>
              <w:jc w:val="both"/>
            </w:pPr>
            <w:r>
              <w:rPr>
                <w:rFonts w:ascii="Times New Roman" w:hAnsi="Times New Roman" w:eastAsia="바탕"/>
                <w:sz w:val="20"/>
              </w:rPr>
              <w:t xml:space="preserve">Instead the check found something nobody had raised. </w:t>
            </w:r>
            <w:r>
              <w:rPr>
                <w:rFonts w:ascii="Consolas" w:hAnsi="Consolas" w:eastAsia="Consolas"/>
                <w:sz w:val="19"/>
              </w:rPr>
              <w:t>time_morning</w:t>
            </w:r>
            <w:r>
              <w:rPr>
                <w:rFonts w:ascii="Times New Roman" w:hAnsi="Times New Roman" w:eastAsia="바탕"/>
                <w:sz w:val="20"/>
              </w:rPr>
              <w:t xml:space="preserve"> and </w:t>
            </w:r>
            <w:r>
              <w:rPr>
                <w:rFonts w:ascii="Consolas" w:hAnsi="Consolas" w:eastAsia="Consolas"/>
                <w:sz w:val="19"/>
              </w:rPr>
              <w:t>time_evening</w:t>
            </w:r>
            <w:r>
              <w:rPr>
                <w:rFonts w:ascii="Times New Roman" w:hAnsi="Times New Roman" w:eastAsia="바탕"/>
                <w:sz w:val="20"/>
              </w:rPr>
              <w:t xml:space="preserve"> rank fifth. It is the confusion of morning and evening doses being swapped, and it is the same place as </w:t>
            </w:r>
            <w:r>
              <w:rPr>
                <w:rFonts w:ascii="Consolas" w:hAnsi="Consolas" w:eastAsia="Consolas"/>
                <w:sz w:val="19"/>
              </w:rPr>
              <w:t>time_evening</w:t>
            </w:r>
            <w:r>
              <w:rPr>
                <w:rFonts w:ascii="Times New Roman" w:hAnsi="Times New Roman" w:eastAsia="바탕"/>
                <w:sz w:val="20"/>
              </w:rPr>
              <w:t>, which §5.3 records as one we could not improve.</w:t>
            </w:r>
          </w:p>
          <w:p>
            <w:pPr>
              <w:spacing w:after="80" w:line="276" w:lineRule="auto"/>
              <w:jc w:val="both"/>
            </w:pPr>
            <w:r>
              <w:rPr>
                <w:rFonts w:ascii="Times New Roman" w:hAnsi="Times New Roman" w:eastAsia="바탕"/>
                <w:sz w:val="20"/>
              </w:rPr>
              <w:t xml:space="preserve">Part of it was resolved by changing the position rather than redrawing the picture. Several respondents asked for the morning, midday and evening pictures to be enlarged; enlarging did not work, and why it did not was the answer. </w:t>
            </w:r>
            <w:r>
              <w:rPr>
                <w:rFonts w:ascii="Consolas" w:hAnsi="Consolas" w:eastAsia="Consolas"/>
                <w:sz w:val="19"/>
              </w:rPr>
              <w:t>\tablet_blister{\time_morning}</w:t>
            </w:r>
            <w:r>
              <w:rPr>
                <w:rFonts w:ascii="Times New Roman" w:hAnsi="Times New Roman" w:eastAsia="바탕"/>
                <w:sz w:val="20"/>
              </w:rPr>
              <w:t xml:space="preserve"> is a grammatically correct line. Rendered at the 88 pixels the app draws, however, the six holes of the blister take up the cell and the sun that carries the meaning is trapped in a 20-pixel window in the middle. Put four side by side and morning, midday, evening and night are not distinguishable from one another. Raising the modifier scale further does not help, because the window is the size of the slot, and a black drawing that leaves the window disappears into the black head.</w:t>
            </w:r>
          </w:p>
          <w:p>
            <w:pPr>
              <w:spacing w:after="80" w:line="276" w:lineRule="auto"/>
              <w:jc w:val="both"/>
            </w:pPr>
            <w:r>
              <w:rPr>
                <w:rFonts w:ascii="Times New Roman" w:hAnsi="Times New Roman" w:eastAsia="바탕"/>
                <w:sz w:val="20"/>
              </w:rPr>
              <w:t>So the dictionary was given a way to record whether a morpheme can stand alone. The principle stays: a modifier cannot stand alone, because a peanut on its own does not say whether it means "contains" or "do not eat". Time of day is the exception to that principle. A sunrise is morning whatever it is attached to, and the preceding cell has already said what the medicine is. Time of day now fills a whole cell the way a head does. A line now reads as one capsule · sunrise · midday · sunset · to the end · with food, and since each cell has come down to one element it also reaches the too-many-elements finding raised in the same survey.</w:t>
            </w:r>
          </w:p>
          <w:p>
            <w:pPr>
              <w:spacing w:after="80" w:line="276" w:lineRule="auto"/>
              <w:jc w:val="both"/>
            </w:pPr>
            <w:r>
              <w:rPr>
                <w:rFonts w:ascii="Times New Roman" w:hAnsi="Times New Roman" w:eastAsia="바탕"/>
                <w:sz w:val="20"/>
              </w:rPr>
              <w:t>We kept the wording for a morpheme standing alone separate. Hearing only "In the morning." leaves the sentence unfinished as to what should happen in the morning, so a time morpheme standing alone is read as "Take it in the morning." What remains is exactly as §5.3 judged. That sunrise and sunset differ only in direction does not change when the cell grows, and that side is carried over to the field evaluation in §5.10.</w:t>
            </w:r>
          </w:p>
          <w:p>
            <w:pPr>
              <w:spacing w:after="80" w:line="276" w:lineRule="auto"/>
              <w:jc w:val="both"/>
            </w:pPr>
            <w:r>
              <w:rPr>
                <w:rFonts w:ascii="Times New Roman" w:hAnsi="Times New Roman" w:eastAsia="바탕"/>
                <w:sz w:val="20"/>
              </w:rPr>
              <w:t xml:space="preserve">There were inversions in the speech as well. </w:t>
            </w:r>
            <w:r>
              <w:rPr>
                <w:rFonts w:ascii="Consolas" w:hAnsi="Consolas" w:eastAsia="Consolas"/>
                <w:sz w:val="19"/>
              </w:rPr>
              <w:t>say.ts</w:t>
            </w:r>
            <w:r>
              <w:rPr>
                <w:rFonts w:ascii="Times New Roman" w:hAnsi="Times New Roman" w:eastAsia="바탕"/>
                <w:sz w:val="20"/>
              </w:rPr>
              <w:t xml:space="preserve"> had no tests at all. A pictogram at least looks odd when it is wrong, but speech cannot be seen, so it flows out wrong and the listener has no way of knowing. Adding 12 tests caught one. Having split the administration verb by dosage form (§2.3), this file was still ending every closing sentence with "Take as prescribed." Sending out "Put 2 drops in the eye" and "Take as prescribed." together for one eye drop collapses, in that last sentence, the reason the verbs were split.</w:t>
            </w:r>
          </w:p>
          <w:p>
            <w:pPr>
              <w:spacing w:after="80" w:line="276" w:lineRule="auto"/>
              <w:jc w:val="both"/>
            </w:pPr>
            <w:r>
              <w:rPr>
                <w:rFonts w:ascii="Times New Roman" w:hAnsi="Times New Roman" w:eastAsia="바탕"/>
                <w:sz w:val="20"/>
              </w:rPr>
              <w:t xml:space="preserve">The same kind appeared in the storage instruction. The positive check was looking only for </w:t>
            </w:r>
            <w:r>
              <w:rPr>
                <w:rFonts w:ascii="Consolas" w:hAnsi="Consolas" w:eastAsia="Consolas"/>
                <w:sz w:val="19"/>
              </w:rPr>
              <w:t>refrigerat</w:t>
            </w:r>
            <w:r>
              <w:rPr>
                <w:rFonts w:ascii="Times New Roman" w:hAnsi="Times New Roman" w:eastAsia="바탕"/>
                <w:sz w:val="20"/>
              </w:rPr>
              <w:t>, so "Do not refrigerate" was read as refrigerated. A medicine to be kept at room temperature reads as refrigerated, and that inversion goes out through both the picture and the speech. This came to light while fixing the clinical error in the sample prescription that Sheron Sir Loon Goh, Pharmacy Lecturer, identified. The corrected wording happened to be "Do not refrigerate".</w:t>
            </w:r>
          </w:p>
          <w:p>
            <w:pPr>
              <w:spacing w:after="80" w:line="276" w:lineRule="auto"/>
              <w:jc w:val="both"/>
            </w:pPr>
            <w:r>
              <w:rPr>
                <w:rFonts w:ascii="Times New Roman" w:hAnsi="Times New Roman" w:eastAsia="바탕"/>
                <w:sz w:val="20"/>
              </w:rPr>
              <w:t xml:space="preserve">Two morphemes were redrawn. </w:t>
            </w:r>
            <w:r>
              <w:rPr>
                <w:rFonts w:ascii="Consolas" w:hAnsi="Consolas" w:eastAsia="Consolas"/>
                <w:sz w:val="19"/>
              </w:rPr>
              <w:t>allergen_egg</w:t>
            </w:r>
            <w:r>
              <w:rPr>
                <w:rFonts w:ascii="Times New Roman" w:hAnsi="Times New Roman" w:eastAsia="바탕"/>
                <w:sz w:val="20"/>
              </w:rPr>
              <w:t xml:space="preserve"> followed the point made by Professor Namsoo Park of Hyupsung University. A fried egg seen from above loses its white in the silhouette because the white is white, leaving a single yolk circle that reads like a target or a button. In a set drawn as filled silhouettes, a picture whose meaning is carried by the white part never stood up in the first place, so it was changed to a cracked egg. That </w:t>
            </w:r>
            <w:r>
              <w:rPr>
                <w:rFonts w:ascii="Consolas" w:hAnsi="Consolas" w:eastAsia="Consolas"/>
                <w:sz w:val="19"/>
              </w:rPr>
              <w:t>allergen_tree_nut</w:t>
            </w:r>
            <w:r>
              <w:rPr>
                <w:rFonts w:ascii="Times New Roman" w:hAnsi="Times New Roman" w:eastAsia="바탕"/>
                <w:sz w:val="20"/>
              </w:rPr>
              <w:t xml:space="preserve"> was read as "cracked egg" in §5.2 is the evidence that this form reads as an egg. </w:t>
            </w:r>
            <w:r>
              <w:rPr>
                <w:rFonts w:ascii="Consolas" w:hAnsi="Consolas" w:eastAsia="Consolas"/>
                <w:sz w:val="19"/>
              </w:rPr>
              <w:t>hand_wash</w:t>
            </w:r>
            <w:r>
              <w:rPr>
                <w:rFonts w:ascii="Times New Roman" w:hAnsi="Times New Roman" w:eastAsia="바탕"/>
                <w:sz w:val="20"/>
              </w:rPr>
              <w:t xml:space="preserve"> followed the instruction given by Yonghan Lee, Senior Manager at the Korea Craft and Design Foundation, exactly: a hand under a running tap.</w:t>
            </w:r>
          </w:p>
          <w:p>
            <w:pPr>
              <w:spacing w:after="80" w:line="276" w:lineRule="auto"/>
              <w:jc w:val="both"/>
            </w:pPr>
            <w:r>
              <w:rPr>
                <w:rFonts w:ascii="Times New Roman" w:hAnsi="Times New Roman" w:eastAsia="바탕"/>
                <w:sz w:val="20"/>
              </w:rPr>
              <w:t>We went through the accessibility criteria. Checking WCAG 2.2 item by item, as E. A. Draffan, retired speech and language therapist and visiting accessibility researcher, had asked, found all five verdict colours below the contrast criterion and the target size of secondary controls between 16 and 20 pixels. The colours looked perfectly fine on screen, and that is in fact how they survived this long. They are values the eye cannot hold, so they were locked with a test, and the numbers and the judgement are carried as Table 21 in §3.7. What should be recorded here is that we would not have done this without the survey. In §3.7 we had five channels standing in for colour and had not measured whether the colour itself could be read.</w:t>
            </w:r>
          </w:p>
          <w:p>
            <w:pPr>
              <w:spacing w:after="80" w:line="276" w:lineRule="auto"/>
              <w:jc w:val="both"/>
            </w:pPr>
            <w:r>
              <w:rPr>
                <w:rFonts w:ascii="Times New Roman" w:hAnsi="Times New Roman" w:eastAsia="바탕"/>
                <w:sz w:val="20"/>
              </w:rPr>
              <w:t xml:space="preserve">The speech was given the languages of six countries. Professor Kyogu Lee of Seoul National University proposed multilingual expansion, and the target user does not speak English in the first place. Only the spoken side was translated. The screen text stays in English, because the channels that reach the target user are the pictures and the sound, and the screen text is for the carer and the reviewer standing beside them. The languages were chosen from where the respondents work: Urdu (Pakistan), Hausa (Nigeria), Indonesian, Bengali (Bangladesh), Romanian (Moldova) and Korean, 72 morpheme sentences × 6 = 432 entries. Swapping words alone does not make a sentence, so each bundle carries its own word order, and doing that revealed that the storage instruction is a separate act rather than a modifier, so the sentence was split; the English improved with it. </w:t>
            </w:r>
            <w:r>
              <w:rPr>
                <w:rFonts w:ascii="Times New Roman" w:hAnsi="Times New Roman" w:eastAsia="바탕"/>
                <w:b/>
                <w:sz w:val="20"/>
              </w:rPr>
              <w:t>No native-speaker clinical review has been done</w:t>
            </w:r>
            <w:r>
              <w:rPr>
                <w:rFonts w:ascii="Times New Roman" w:hAnsi="Times New Roman" w:eastAsia="바탕"/>
                <w:sz w:val="20"/>
              </w:rPr>
              <w:t>, and that fact is recorded in both the code and on screen. The wording that goes out on screen, carried over as written:</w:t>
            </w:r>
          </w:p>
          <w:p>
            <w:pPr>
              <w:spacing w:after="40" w:line="276" w:lineRule="auto"/>
              <w:ind w:left="403"/>
            </w:pPr>
            <w:r>
              <w:rPr>
                <w:rFonts w:ascii="Times New Roman" w:hAnsi="Times New Roman" w:eastAsia="바탕"/>
                <w:i/>
                <w:color w:val="606068"/>
                <w:sz w:val="19"/>
              </w:rPr>
              <w:t>"The screen stays in English. Only the voice changes. These translations have not yet been checked by a clinician who speaks the language — English included."</w:t>
            </w:r>
          </w:p>
          <w:p>
            <w:pPr>
              <w:spacing w:after="180" w:line="276" w:lineRule="auto"/>
              <w:ind w:left="403"/>
            </w:pPr>
            <w:r>
              <w:rPr>
                <w:rFonts w:ascii="Times New Roman" w:hAnsi="Times New Roman" w:eastAsia="바탕"/>
                <w:i w:val="0"/>
                <w:color w:val="606068"/>
                <w:sz w:val="19"/>
              </w:rPr>
              <w:t>(Settings screen, below the language picker)</w:t>
            </w:r>
          </w:p>
          <w:p>
            <w:pPr>
              <w:spacing w:after="80" w:line="276" w:lineRule="auto"/>
              <w:jc w:val="both"/>
            </w:pPr>
            <w:r>
              <w:rPr>
                <w:rFonts w:ascii="Times New Roman" w:hAnsi="Times New Roman" w:eastAsia="바탕"/>
                <w:sz w:val="20"/>
              </w:rPr>
              <w:t>Including English is the point. It is not only the translations that are unreviewed; the source sentences are unreviewed too, and that is not hidden behind a note about translation. A mistranslated dosing instruction causes exactly the harm this app exists to prevent. Seven languages appear in Settings; English is the source, so six were translated.</w:t>
            </w:r>
          </w:p>
          <w:p>
            <w:pPr>
              <w:spacing w:before="160" w:after="60"/>
              <w:jc w:val="center"/>
            </w:pPr>
            <w:r>
              <w:drawing>
                <wp:inline xmlns:a="http://schemas.openxmlformats.org/drawingml/2006/main" xmlns:pic="http://schemas.openxmlformats.org/drawingml/2006/picture">
                  <wp:extent cx="1171537" cy="4754880"/>
                  <wp:docPr id="46" name="Picture 46"/>
                  <wp:cNvGraphicFramePr>
                    <a:graphicFrameLocks noChangeAspect="1"/>
                  </wp:cNvGraphicFramePr>
                  <a:graphic>
                    <a:graphicData uri="http://schemas.openxmlformats.org/drawingml/2006/picture">
                      <pic:pic>
                        <pic:nvPicPr>
                          <pic:cNvPr id="0" name="fig14_language.png"/>
                          <pic:cNvPicPr/>
                        </pic:nvPicPr>
                        <pic:blipFill>
                          <a:blip r:embed="rId63"/>
                          <a:stretch>
                            <a:fillRect/>
                          </a:stretch>
                        </pic:blipFill>
                        <pic:spPr>
                          <a:xfrm>
                            <a:off x="0" y="0"/>
                            <a:ext cx="1171537"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46]</w:t>
            </w:r>
            <w:r>
              <w:rPr>
                <w:rFonts w:ascii="Times New Roman" w:hAnsi="Times New Roman" w:eastAsia="바탕"/>
                <w:color w:val="606068"/>
                <w:sz w:val="18"/>
              </w:rPr>
              <w:t>) as it stands. The note underneath is the point of this screen: the display stays in English and only the voice changes, and the translations have not been checked by a clinician who speaks the language, English included. That is to say it is not only the translations that are unreviewed; the source sentences are not either.</w:t>
            </w:r>
            <w:r>
              <w:rPr>
                <w:rFonts w:ascii="Times New Roman" w:hAnsi="Times New Roman" w:eastAsia="바탕"/>
                <w:color w:val="606068"/>
                <w:sz w:val="18"/>
              </w:rPr>
              <w:t xml:space="preserve"> The language picker in Settings, captured from the deployment (</w:t>
            </w:r>
            <w:hyperlink r:id="rId16">
              <w:r>
                <w:rPr>
                  <w:rPr>
                    <w:rFonts w:ascii="Times New Roman" w:hAnsi="Times New Roman" w:eastAsia="바탕"/>
                    <w:sz w:val="18"/>
                  </w:rPr>
                  <w:color w:val="0563C1"/>
                  <w:u w:val="single"/>
                </w:rPr>
                <w:t xml:space="preserve">https://snapcare.fly.dev</w:t>
              </w:r>
            </w:hyperlink>
          </w:p>
          <w:p>
            <w:pPr>
              <w:spacing w:after="80" w:line="276" w:lineRule="auto"/>
              <w:jc w:val="both"/>
            </w:pPr>
            <w:r>
              <w:rPr>
                <w:rFonts w:ascii="Times New Roman" w:hAnsi="Times New Roman" w:eastAsia="바탕"/>
                <w:sz w:val="20"/>
              </w:rPr>
              <w:t>Urdu and Hausa can be seen dimmed and carrying "no voice on this phone" with a mute mark. These are the marks §5.7 describes, and this figure confirms that description.</w:t>
            </w:r>
          </w:p>
          <w:p>
            <w:pPr>
              <w:spacing w:after="80" w:line="276" w:lineRule="auto"/>
              <w:jc w:val="both"/>
            </w:pPr>
            <w:r>
              <w:rPr>
                <w:rFonts w:ascii="Times New Roman" w:hAnsi="Times New Roman" w:eastAsia="바탕"/>
                <w:sz w:val="20"/>
              </w:rPr>
              <w:t xml:space="preserve">Getting this figure took one failure. The earlier capture did not carry those marks, and we had a paragraph in the body excusing it: the browser was headless, its voice list empty, so the marks did not appear. The cause was not the browser but our capture procedure. The voice list is filled asynchronously by </w:t>
            </w:r>
            <w:r>
              <w:rPr>
                <w:rFonts w:ascii="Consolas" w:hAnsi="Consolas" w:eastAsia="Consolas"/>
                <w:sz w:val="19"/>
              </w:rPr>
              <w:t>speechSynthesis</w:t>
            </w:r>
            <w:r>
              <w:rPr>
                <w:rFonts w:ascii="Times New Roman" w:hAnsi="Times New Roman" w:eastAsia="바탕"/>
                <w:sz w:val="20"/>
              </w:rPr>
              <w:t>, and we waited only for the heading of the list before taking the shot, so the shot was taken before the marks were attached. It now waits for the marks themselves to appear on screen.</w:t>
            </w:r>
          </w:p>
          <w:p>
            <w:pPr>
              <w:spacing w:after="80" w:line="276" w:lineRule="auto"/>
              <w:jc w:val="both"/>
            </w:pPr>
            <w:r>
              <w:rPr>
                <w:rFonts w:ascii="Times New Roman" w:hAnsi="Times New Roman" w:eastAsia="바탕"/>
                <w:sz w:val="20"/>
              </w:rPr>
              <w:t>One more thing should be read from it. The disclosure sits below the red line, which is to say it is reached only by scrolling. Putting a disclosure on the screen and the user seeing it are different things, and this screen currently satisfies only the first. Someone choosing a language stops when they find their own in the list and has no reason to go further down. Whether the disclosure should move above the list is left as an item to settle with people present, in the field evaluation of §5.10.</w:t>
            </w:r>
          </w:p>
          <w:p>
            <w:pPr>
              <w:spacing w:after="80" w:line="276" w:lineRule="auto"/>
              <w:jc w:val="both"/>
            </w:pPr>
            <w:r>
              <w:rPr>
                <w:rFonts w:ascii="Times New Roman" w:hAnsi="Times New Roman" w:eastAsia="바탕"/>
                <w:sz w:val="20"/>
              </w:rPr>
              <w:t>The dispenser now calls the phone when it presents a dose. The same respondent proposed dosing-time notifications. The release button is visible only while the app is open, so without a place that calls, this feature works only for whoever happens to have the app open. It does not call while you are watching, it does not disappear until touched, and permission is asked right after pairing the box: to someone who has just claimed the box, "shall we tell you when a dose is ready" is a continuation, whereas a dialogue at first launch gets refused before its purpose is known.</w:t>
            </w:r>
          </w:p>
          <w:p>
            <w:pPr>
              <w:spacing w:after="80" w:line="276" w:lineRule="auto"/>
              <w:jc w:val="both"/>
            </w:pPr>
            <w:r>
              <w:rPr>
                <w:rFonts w:ascii="Times New Roman" w:hAnsi="Times New Roman" w:eastAsia="바탕"/>
                <w:sz w:val="20"/>
              </w:rPr>
              <w:t>A checking step was built. It responds to the absence of teach-back raised by Foued Maaoui, researcher at the Pasteur Institute of Tunis, and its design and rationale are in §3.8. What should be recorded here is that this step is a screen that did not exist at all before the survey. If the earlier fixes corrected things that were already there, this is something the survey created.</w:t>
            </w:r>
          </w:p>
          <w:p>
            <w:pPr>
              <w:spacing w:after="80" w:line="276" w:lineRule="auto"/>
              <w:jc w:val="both"/>
            </w:pPr>
            <w:r>
              <w:rPr>
                <w:rFonts w:ascii="Times New Roman" w:hAnsi="Times New Roman" w:eastAsia="바탕"/>
                <w:sz w:val="20"/>
              </w:rPr>
              <w:t>The web app test count went from 231 before the survey to 589 (Table 31).</w:t>
            </w:r>
          </w:p>
          <w:p>
            <w:pPr>
              <w:spacing w:before="120" w:after="20"/>
            </w:pPr>
            <w:r>
              <w:rPr>
                <w:rFonts w:ascii="Times New Roman" w:hAnsi="Times New Roman" w:eastAsia="바탕"/>
                <w:b/>
                <w:sz w:val="21"/>
              </w:rPr>
              <w:t>5.7.14 Limits of this survey</w:t>
            </w:r>
          </w:p>
          <w:p>
            <w:pPr>
              <w:spacing w:after="80" w:line="276" w:lineRule="auto"/>
              <w:jc w:val="both"/>
            </w:pPr>
            <w:r>
              <w:rPr>
                <w:rFonts w:ascii="Times New Roman" w:hAnsi="Times New Roman" w:eastAsia="바탕"/>
                <w:sz w:val="20"/>
              </w:rPr>
              <w:t>The sample is self-selected. Thirty-nine of 1,103 answered, and those who answered are people with an interest in the subject. The judgement of the 1,068 who did not answer is unknown.</w:t>
            </w:r>
          </w:p>
          <w:p>
            <w:pPr>
              <w:spacing w:after="80" w:line="276" w:lineRule="auto"/>
              <w:jc w:val="both"/>
            </w:pPr>
            <w:r>
              <w:rPr>
                <w:rFonts w:ascii="Times New Roman" w:hAnsi="Times New Roman" w:eastAsia="바탕"/>
                <w:sz w:val="20"/>
              </w:rPr>
              <w:t>The denominators are small. The largest segment, pharmacy, is 12 people. Written as a percentage, one person moves 8 percentage points, so this section records numerator and denominator together.</w:t>
            </w:r>
          </w:p>
          <w:p>
            <w:pPr>
              <w:spacing w:after="80" w:line="276" w:lineRule="auto"/>
              <w:jc w:val="both"/>
            </w:pPr>
            <w:r>
              <w:rPr>
                <w:rFonts w:ascii="Times New Roman" w:hAnsi="Times New Roman" w:eastAsia="바탕"/>
                <w:b/>
                <w:sz w:val="20"/>
              </w:rPr>
              <w:t>There was no response from the 41 chosen by hand.</w:t>
            </w:r>
            <w:r>
              <w:rPr>
                <w:rFonts w:ascii="Times New Roman" w:hAnsi="Times New Roman" w:eastAsia="바탕"/>
                <w:sz w:val="20"/>
              </w:rPr>
              <w:t xml:space="preserve"> The 41 with the clearest selection basis were put at the front of the sending order and all received it within seven minutes, and the response count is zero. This result cannot be used as "the judgement of the 41 we considered most important."</w:t>
            </w:r>
          </w:p>
          <w:p>
            <w:pPr>
              <w:spacing w:after="80" w:line="276" w:lineRule="auto"/>
              <w:jc w:val="both"/>
            </w:pPr>
            <w:r>
              <w:rPr>
                <w:rFonts w:ascii="Times New Roman" w:hAnsi="Times New Roman" w:eastAsia="바탕"/>
                <w:sz w:val="20"/>
              </w:rPr>
              <w:t>Three respondents told us the survey instrument itself was flawed. Professor Atif Usman of The Islamia University of Bahawalpur asked that multiple responses be allowed in every segment, and Associate Professor Hangil Lee of Ewha Womans University wrote that only one option could be selected so he chose contraindications, though side effects and dose adjustment belong in the same place. Professor Namsoo Park of Hyupsung University said the same thing: asked where an older patient living alone fails first, he answered that operating the screen, managing the device and trust arrive together.</w:t>
            </w:r>
          </w:p>
          <w:p>
            <w:pPr>
              <w:spacing w:after="80" w:line="276" w:lineRule="auto"/>
              <w:jc w:val="both"/>
            </w:pPr>
            <w:r>
              <w:rPr>
                <w:rFonts w:ascii="Times New Roman" w:hAnsi="Times New Roman" w:eastAsia="바탕"/>
                <w:sz w:val="20"/>
              </w:rPr>
              <w:t>The distributions for single-choice questions in this section therefore do not hold everything the respondents wanted to choose. That has to be read alongside the figures in Table 48, and it is why this section presents the free text next to the multiple choice.</w:t>
            </w:r>
          </w:p>
          <w:p>
            <w:pPr>
              <w:spacing w:after="80" w:line="276" w:lineRule="auto"/>
              <w:jc w:val="both"/>
            </w:pPr>
            <w:r>
              <w:rPr>
                <w:rFonts w:ascii="Times New Roman" w:hAnsi="Times New Roman" w:eastAsia="바탕"/>
                <w:sz w:val="20"/>
              </w:rPr>
              <w:t>A heavier flaw surfaced as the fourth wave of responses came in. What the demonstration attached to the survey shows is a prescription photograph and the pictograms and speech produced from it; the app's own screens are not in it. Youngchan Kim of Kyung Hee Cyber University gave the same answer to three questions:</w:t>
            </w:r>
          </w:p>
          <w:p>
            <w:pPr>
              <w:spacing w:after="40" w:line="276" w:lineRule="auto"/>
              <w:ind w:left="403"/>
            </w:pPr>
            <w:r>
              <w:rPr>
                <w:rFonts w:ascii="Times New Roman" w:hAnsi="Times New Roman" w:eastAsia="바탕"/>
                <w:i/>
                <w:color w:val="606068"/>
                <w:sz w:val="19"/>
              </w:rPr>
              <w:t>"I have neither seen nor used the system. (There is no system in the email.)"</w:t>
            </w:r>
          </w:p>
          <w:p>
            <w:pPr>
              <w:spacing w:after="180" w:line="276" w:lineRule="auto"/>
              <w:ind w:left="403"/>
            </w:pPr>
            <w:r>
              <w:rPr>
                <w:rFonts w:ascii="Times New Roman" w:hAnsi="Times New Roman" w:eastAsia="바탕"/>
                <w:i w:val="0"/>
                <w:color w:val="606068"/>
                <w:sz w:val="19"/>
              </w:rPr>
              <w:t>(Youngchan Kim, Kyung Hee Cyber University)</w:t>
            </w:r>
          </w:p>
          <w:p>
            <w:pPr>
              <w:spacing w:after="80" w:line="276" w:lineRule="auto"/>
              <w:jc w:val="both"/>
            </w:pPr>
            <w:r>
              <w:rPr>
                <w:rFonts w:ascii="Times New Roman" w:hAnsi="Times New Roman" w:eastAsia="바탕"/>
                <w:sz w:val="20"/>
              </w:rPr>
              <w:t>Seunghoon Jung of the Korea Institute of Design Promotion stopped at the same place.</w:t>
            </w:r>
          </w:p>
          <w:p>
            <w:pPr>
              <w:spacing w:after="40" w:line="276" w:lineRule="auto"/>
              <w:ind w:left="403"/>
            </w:pPr>
            <w:r>
              <w:rPr>
                <w:rFonts w:ascii="Times New Roman" w:hAnsi="Times New Roman" w:eastAsia="바탕"/>
                <w:i/>
                <w:color w:val="606068"/>
                <w:sz w:val="19"/>
              </w:rPr>
              <w:t>"There is no material at all to judge from (no working screens of SnapCare, for instance), so I cannot judge."</w:t>
            </w:r>
          </w:p>
          <w:p>
            <w:pPr>
              <w:spacing w:after="180" w:line="276" w:lineRule="auto"/>
              <w:ind w:left="403"/>
            </w:pPr>
            <w:r>
              <w:rPr>
                <w:rFonts w:ascii="Times New Roman" w:hAnsi="Times New Roman" w:eastAsia="바탕"/>
                <w:i w:val="0"/>
                <w:color w:val="606068"/>
                <w:sz w:val="19"/>
              </w:rPr>
              <w:t>(Seunghoon Jung, Korea Institute of Design Promotion)</w:t>
            </w:r>
          </w:p>
          <w:p>
            <w:pPr>
              <w:spacing w:after="80" w:line="276" w:lineRule="auto"/>
              <w:jc w:val="both"/>
            </w:pPr>
            <w:r>
              <w:rPr>
                <w:rFonts w:ascii="Times New Roman" w:hAnsi="Times New Roman" w:eastAsia="바탕"/>
                <w:sz w:val="20"/>
              </w:rPr>
              <w:t>Both are in the HCI and design segment. We asked people whose work is judging screens to judge without showing them a screen, and this is a flaw not in the questions but in what we chose to show. We put in only the pictograms, judging them the core of this work, and that decision made one segment's answers unusable. It differs in kind from the judgement question going to only five segments: that was a filter on qualification, this was withholding the material from people who were qualified.</w:t>
            </w:r>
          </w:p>
          <w:p>
            <w:pPr>
              <w:spacing w:after="80" w:line="276" w:lineRule="auto"/>
              <w:jc w:val="both"/>
            </w:pPr>
            <w:r>
              <w:rPr>
                <w:rFonts w:ascii="Times New Roman" w:hAnsi="Times New Roman" w:eastAsia="바탕"/>
                <w:sz w:val="20"/>
              </w:rPr>
              <w:t>E. A. Draffan, retired speech and language therapist and visiting accessibility researcher at Global Symbols, told us of another flaw: they only realised at the end that there was a button back to the screen showing the 78 morphemes. How many responses were given without being able to look at the morphemes again, we do not know. The same respondent suggested putting a link back to the morphemes inside the questions.</w:t>
            </w:r>
          </w:p>
          <w:p>
            <w:pPr>
              <w:spacing w:after="80" w:line="276" w:lineRule="auto"/>
              <w:jc w:val="both"/>
            </w:pPr>
            <w:r>
              <w:rPr>
                <w:rFonts w:ascii="Times New Roman" w:hAnsi="Times New Roman" w:eastAsia="바탕"/>
                <w:sz w:val="20"/>
              </w:rPr>
              <w:t>There are groups the link does not reach. The Korea Institute for Health and Social Affairs replied that as a public institution it cannot open an unverified URL and asked us to send the questions by email. The list contains 91 international organisations alone, and running a survey through a single link structurally fails to reach this group. A version with the same questions written in the body of the email should have been prepared alongside.</w:t>
            </w:r>
          </w:p>
          <w:p>
            <w:pPr>
              <w:spacing w:after="80" w:line="276" w:lineRule="auto"/>
              <w:jc w:val="both"/>
            </w:pPr>
            <w:r>
              <w:rPr>
                <w:rFonts w:ascii="Times New Roman" w:hAnsi="Times New Roman" w:eastAsia="바탕"/>
                <w:sz w:val="20"/>
              </w:rPr>
              <w:t>The screen respondents saw is not the screen our users will see. Of the 39, 30 answered on a desktop, 3 on mobile and 2 on a tablet, and for 4 no record remains. This app is built on the premise of use on a handheld device (§1.6), so a judgement formed on a large screen may come out more generous than the real condition. That the point about icons being small and needing magnification came from a desktop respondent rather than a mobile one should be read alongside this.</w:t>
            </w:r>
          </w:p>
          <w:p>
            <w:pPr>
              <w:spacing w:after="80" w:line="276" w:lineRule="auto"/>
              <w:jc w:val="both"/>
            </w:pPr>
            <w:r>
              <w:rPr>
                <w:rFonts w:ascii="Times New Roman" w:hAnsi="Times New Roman" w:eastAsia="바탕"/>
                <w:sz w:val="20"/>
              </w:rPr>
              <w:t xml:space="preserve">We do not know how many people heard the audio. Whether the speaker in the demonstration was pressed was being recorded, but the instrumentation failed to account for the speaker rendering as </w:t>
            </w:r>
            <w:r>
              <w:rPr>
                <w:rFonts w:ascii="Consolas" w:hAnsi="Consolas" w:eastAsia="Consolas"/>
                <w:sz w:val="19"/>
              </w:rPr>
              <w:t>&lt;span role="button"&gt;</w:t>
            </w:r>
            <w:r>
              <w:rPr>
                <w:rFonts w:ascii="Times New Roman" w:hAnsi="Times New Roman" w:eastAsia="바탕"/>
                <w:sz w:val="20"/>
              </w:rPr>
              <w:t xml:space="preserve"> rather than </w:t>
            </w:r>
            <w:r>
              <w:rPr>
                <w:rFonts w:ascii="Consolas" w:hAnsi="Consolas" w:eastAsia="Consolas"/>
                <w:sz w:val="19"/>
              </w:rPr>
              <w:t>&lt;button&gt;</w:t>
            </w:r>
            <w:r>
              <w:rPr>
                <w:rFonts w:ascii="Times New Roman" w:hAnsi="Times New Roman" w:eastAsia="바탕"/>
                <w:sz w:val="20"/>
              </w:rPr>
              <w:t>, so the first 34 were all recorded as not pressed. It was fixed during the survey, so only later responses are valid. In other words, of the responses to the judgement question in this section, how many were answered after hearing the audio cannot be known.</w:t>
            </w:r>
          </w:p>
          <w:p>
            <w:pPr>
              <w:spacing w:before="180" w:after="40"/>
            </w:pPr>
            <w:r>
              <w:rPr>
                <w:rFonts w:ascii="Times New Roman" w:hAnsi="Times New Roman" w:eastAsia="바탕"/>
                <w:b/>
                <w:sz w:val="23"/>
              </w:rPr>
              <w:t>5.8 Contribution to SDG 3</w:t>
            </w:r>
          </w:p>
          <w:p>
            <w:pPr>
              <w:spacing w:after="80" w:line="276" w:lineRule="auto"/>
              <w:jc w:val="both"/>
            </w:pPr>
            <w:r>
              <w:rPr>
                <w:rFonts w:ascii="Times New Roman" w:hAnsi="Times New Roman" w:eastAsia="바탕"/>
                <w:sz w:val="20"/>
              </w:rPr>
              <w:t>The point at which SnapCare intervenes is the last step described in §1.4. The health system takes care of consultation and dispensing, but from the moment the patient opens the medicine packet at home it is left to their own ability to read.</w:t>
            </w:r>
          </w:p>
          <w:p>
            <w:pPr>
              <w:spacing w:after="80" w:line="276" w:lineRule="auto"/>
              <w:jc w:val="both"/>
            </w:pPr>
            <w:r>
              <w:rPr>
                <w:rFonts w:ascii="Times New Roman" w:hAnsi="Times New Roman" w:eastAsia="바탕"/>
                <w:sz w:val="20"/>
              </w:rPr>
              <w:t>[Table 49] Correspondence with SDG 3 targets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Target</w:t>
                  </w:r>
                </w:p>
              </w:tc>
              <w:tc>
                <w:tcPr>
                  <w:tcW w:type="dxa" w:w="4857"/>
                  <w:shd w:val="clear" w:fill="F2F2F2"/>
                </w:tcPr>
                <w:p>
                  <w:r>
                    <w:rPr>
                      <w:rFonts w:ascii="Times New Roman" w:hAnsi="Times New Roman" w:eastAsia="바탕"/>
                      <w:b/>
                      <w:sz w:val="18"/>
                    </w:rPr>
                    <w:t>SnapCare's contribution</w:t>
                  </w:r>
                </w:p>
              </w:tc>
            </w:tr>
            <w:tr>
              <w:tc>
                <w:tcPr>
                  <w:tcW w:type="dxa" w:w="4857"/>
                </w:tcPr>
                <w:p>
                  <w:r>
                    <w:rPr>
                      <w:rFonts w:ascii="Times New Roman" w:hAnsi="Times New Roman" w:eastAsia="바탕"/>
                      <w:b/>
                      <w:sz w:val="18"/>
                    </w:rPr>
                    <w:t>3.4</w:t>
                  </w:r>
                  <w:r>
                    <w:rPr>
                      <w:rFonts w:ascii="Times New Roman" w:hAnsi="Times New Roman" w:eastAsia="바탕"/>
                      <w:sz w:val="18"/>
                    </w:rPr>
                    <w:t xml:space="preserve"> Prevention and treatment of noncommunicable diseases</w:t>
                  </w:r>
                </w:p>
              </w:tc>
              <w:tc>
                <w:tcPr>
                  <w:tcW w:type="dxa" w:w="4857"/>
                </w:tcPr>
                <w:p>
                  <w:r>
                    <w:rPr>
                      <w:rFonts w:ascii="Times New Roman" w:hAnsi="Times New Roman" w:eastAsia="바탕"/>
                      <w:sz w:val="18"/>
                    </w:rPr>
                    <w:t>WHO nutrition recommendations are derived from the individual's energy requirement to produce a verdict. Diabetes and hypertension conditions narrow the thresholds</w:t>
                  </w:r>
                </w:p>
              </w:tc>
            </w:tr>
            <w:tr>
              <w:tc>
                <w:tcPr>
                  <w:tcW w:type="dxa" w:w="4857"/>
                </w:tcPr>
                <w:p>
                  <w:r>
                    <w:rPr>
                      <w:rFonts w:ascii="Times New Roman" w:hAnsi="Times New Roman" w:eastAsia="바탕"/>
                      <w:b/>
                      <w:sz w:val="18"/>
                    </w:rPr>
                    <w:t>3.8</w:t>
                  </w:r>
                  <w:r>
                    <w:rPr>
                      <w:rFonts w:ascii="Times New Roman" w:hAnsi="Times New Roman" w:eastAsia="바탕"/>
                      <w:sz w:val="18"/>
                    </w:rPr>
                    <w:t xml:space="preserve"> Universal health coverage</w:t>
                  </w:r>
                </w:p>
              </w:tc>
              <w:tc>
                <w:tcPr>
                  <w:tcW w:type="dxa" w:w="4857"/>
                </w:tcPr>
                <w:p>
                  <w:r>
                    <w:rPr>
                      <w:rFonts w:ascii="Times New Roman" w:hAnsi="Times New Roman" w:eastAsia="바탕"/>
                      <w:sz w:val="18"/>
                    </w:rPr>
                    <w:t>Reduces the literacy-driven gap at the self-management stage after care</w:t>
                  </w:r>
                </w:p>
              </w:tc>
            </w:tr>
            <w:tr>
              <w:tc>
                <w:tcPr>
                  <w:tcW w:type="dxa" w:w="4857"/>
                </w:tcPr>
                <w:p>
                  <w:r>
                    <w:rPr>
                      <w:rFonts w:ascii="Times New Roman" w:hAnsi="Times New Roman" w:eastAsia="바탕"/>
                      <w:b/>
                      <w:sz w:val="18"/>
                    </w:rPr>
                    <w:t>3.9</w:t>
                  </w:r>
                  <w:r>
                    <w:rPr>
                      <w:rFonts w:ascii="Times New Roman" w:hAnsi="Times New Roman" w:eastAsia="바탕"/>
                      <w:sz w:val="18"/>
                    </w:rPr>
                    <w:t xml:space="preserve"> Reduce deaths and illnesses from hazardous substances</w:t>
                  </w:r>
                </w:p>
              </w:tc>
              <w:tc>
                <w:tcPr>
                  <w:tcW w:type="dxa" w:w="4857"/>
                </w:tcPr>
                <w:p>
                  <w:r>
                    <w:rPr>
                      <w:rFonts w:ascii="Times New Roman" w:hAnsi="Times New Roman" w:eastAsia="바탕"/>
                      <w:sz w:val="18"/>
                    </w:rPr>
                    <w:t>Dose and dose time are conveyed by picture, which reduces wrong amounts, and a paired box keeps the medicine inside and releases it only within a dose window. We have measured nothing against this target, however</w:t>
                  </w:r>
                </w:p>
              </w:tc>
            </w:tr>
            <w:tr>
              <w:tc>
                <w:tcPr>
                  <w:tcW w:type="dxa" w:w="4857"/>
                </w:tcPr>
                <w:p>
                  <w:r>
                    <w:rPr>
                      <w:rFonts w:ascii="Times New Roman" w:hAnsi="Times New Roman" w:eastAsia="바탕"/>
                      <w:b/>
                      <w:sz w:val="18"/>
                    </w:rPr>
                    <w:t>3.d</w:t>
                  </w:r>
                  <w:r>
                    <w:rPr>
                      <w:rFonts w:ascii="Times New Roman" w:hAnsi="Times New Roman" w:eastAsia="바탕"/>
                      <w:sz w:val="18"/>
                    </w:rPr>
                    <w:t xml:space="preserve"> Health risk management</w:t>
                  </w:r>
                </w:p>
              </w:tc>
              <w:tc>
                <w:tcPr>
                  <w:tcW w:type="dxa" w:w="4857"/>
                </w:tcPr>
                <w:p>
                  <w:r>
                    <w:rPr>
                      <w:rFonts w:ascii="Times New Roman" w:hAnsi="Times New Roman" w:eastAsia="바탕"/>
                      <w:sz w:val="18"/>
                    </w:rPr>
                    <w:t>Conveys completion of an antibiotic course in pictures, intervening in the human factor behind resistance</w:t>
                  </w:r>
                </w:p>
              </w:tc>
            </w:tr>
          </w:tbl>
          <w:p/>
          <w:p>
            <w:pPr>
              <w:spacing w:after="120"/>
            </w:pPr>
          </w:p>
          <w:p>
            <w:pPr>
              <w:spacing w:after="80" w:line="276" w:lineRule="auto"/>
              <w:jc w:val="both"/>
            </w:pPr>
            <w:r>
              <w:rPr>
                <w:rFonts w:ascii="Times New Roman" w:hAnsi="Times New Roman" w:eastAsia="바탕"/>
                <w:sz w:val="20"/>
              </w:rPr>
              <w:t>Only 3.9 in that table is of a different character, so it is dealt with first. Indicator 3.9.3 of that target is the mortality rate attributed to unintentional poisoning, and overdosing on medicines falls within it. There are two routes by which this app reaches that place, and both are indirect. One is that the single dose and the dose time are conveyed as pictures rather than letters, which reduces wrong amounts (§2.2). The other is that a paired box keeps the medicine inside and releases it only within a dose window (§4.3). What we did not do belongs here as well. No child lock was built, and there is no morpheme in the set meaning keep out of reach of children. And for this target there is no measured figure of the kind §5.1 produced. This row states a direction of contribution rather than a measured one.</w:t>
            </w:r>
          </w:p>
          <w:p>
            <w:pPr>
              <w:spacing w:after="80" w:line="276" w:lineRule="auto"/>
              <w:jc w:val="both"/>
            </w:pPr>
            <w:r>
              <w:rPr>
                <w:rFonts w:ascii="Times New Roman" w:hAnsi="Times New Roman" w:eastAsia="바탕"/>
                <w:sz w:val="20"/>
              </w:rPr>
              <w:t>The link to 3.4 runs through the undiagnosed population described in §1.5. Of 589 million adults with diabetes worldwide, 43% do not know they have it, and they select "no" on the screen that asks about conditions. SnapCare asking about conditions along three branches (§2.5) is the response to this. Someone who does not know the diagnostic name can still answer what they have experienced, and the thresholds are narrowed from that answer. Given that the management of noncommunicable diseases happens over daily meals rather than in the consulting room, not requiring a diagnostic name is itself a way of widening who can be reached.</w:t>
            </w:r>
          </w:p>
          <w:p>
            <w:pPr>
              <w:spacing w:after="80" w:line="276" w:lineRule="auto"/>
              <w:jc w:val="both"/>
            </w:pPr>
            <w:r>
              <w:rPr>
                <w:rFonts w:ascii="Times New Roman" w:hAnsi="Times New Roman" w:eastAsia="바탕"/>
                <w:sz w:val="20"/>
              </w:rPr>
              <w:t>The link to 3.8 comes from the workforce gap. As cited in §1.4, physician density varies more than thirteenfold by region, and when consultation time shortens the first thing cut is the explanation of how to take the medicine. Universal health coverage is generally measured by whether care and medicines are within reach, but if the instructions cannot be read once the medicine is in hand, coverage stops there. The 50% adherence figure cited in §1.4 is the size of that stopping point. Half disappears after the medicine has been prescribed, dispensed and handed over, so however much is invested in the earlier stages, leaving this one untouched lets that much leak away. What SnapCare sets out to reduce is this gap remaining after care, and it is a gap that divides along literacy.</w:t>
            </w:r>
          </w:p>
          <w:p>
            <w:pPr>
              <w:spacing w:after="80" w:line="276" w:lineRule="auto"/>
              <w:jc w:val="both"/>
            </w:pPr>
            <w:r>
              <w:rPr>
                <w:rFonts w:ascii="Times New Roman" w:hAnsi="Times New Roman" w:eastAsia="바탕"/>
                <w:sz w:val="20"/>
              </w:rPr>
              <w:t xml:space="preserve">The link to 3.d is the most direct. An analysis of more than 23 million laboratory-confirmed infections reported from 104 countries found that in 2023 one in six bacterial infections showed resistance to antibiotics. Between 2018 and 2023 resistance rose in more than 40% of the monitored pathogen and antibiotic combinations, at an annual rate of 5% to 15% (World Health Organization, </w:t>
            </w:r>
            <w:r>
              <w:rPr>
                <w:rFonts w:ascii="Times New Roman" w:hAnsi="Times New Roman" w:eastAsia="바탕"/>
                <w:i/>
                <w:sz w:val="20"/>
              </w:rPr>
              <w:t>Global antibiotic resistance surveillance report 2025 (GLASS)</w:t>
            </w:r>
            <w:r>
              <w:rPr>
                <w:rFonts w:ascii="Times New Roman" w:hAnsi="Times New Roman" w:eastAsia="바탕"/>
                <w:sz w:val="20"/>
              </w:rPr>
              <w:t xml:space="preserve">, 2025). In 2019, deaths directly attributable to bacterial resistance numbered 1.27 million, more than HIV/AIDS or malaria (Murray, C. J. L. et al. (Antimicrobial Resistance Collaborators), "Global burden of bacterial antimicrobial resistance in 2019: a systematic analysis," </w:t>
            </w:r>
            <w:r>
              <w:rPr>
                <w:rFonts w:ascii="Times New Roman" w:hAnsi="Times New Roman" w:eastAsia="바탕"/>
                <w:i/>
                <w:sz w:val="20"/>
              </w:rPr>
              <w:t>The Lancet</w:t>
            </w:r>
            <w:r>
              <w:rPr>
                <w:rFonts w:ascii="Times New Roman" w:hAnsi="Times New Roman" w:eastAsia="바탕"/>
                <w:sz w:val="20"/>
              </w:rPr>
              <w:t xml:space="preserve">, 399(10325):629–655, 2022). Stopping an antibiotic once symptoms subside is the principal human route to resistance. And it is not the behaviour of a minority. A survey of 9,772 people across 12 countries found </w:t>
            </w:r>
            <w:r>
              <w:rPr>
                <w:rFonts w:ascii="Times New Roman" w:hAnsi="Times New Roman" w:eastAsia="바탕"/>
                <w:b/>
                <w:sz w:val="20"/>
              </w:rPr>
              <w:t>32% believed it was acceptable to stop antibiotics once they felt better</w:t>
            </w:r>
            <w:r>
              <w:rPr>
                <w:rFonts w:ascii="Times New Roman" w:hAnsi="Times New Roman" w:eastAsia="바탕"/>
                <w:sz w:val="20"/>
              </w:rPr>
              <w:t xml:space="preserve">, and 64% believed antibiotics work on colds and flu (World Health Organization, </w:t>
            </w:r>
            <w:r>
              <w:rPr>
                <w:rFonts w:ascii="Times New Roman" w:hAnsi="Times New Roman" w:eastAsia="바탕"/>
                <w:i/>
                <w:sz w:val="20"/>
              </w:rPr>
              <w:t>WHO multi-country survey reveals widespread public misunderstanding about antibiotic resistance</w:t>
            </w:r>
            <w:r>
              <w:rPr>
                <w:rFonts w:ascii="Times New Roman" w:hAnsi="Times New Roman" w:eastAsia="바탕"/>
                <w:sz w:val="20"/>
              </w:rPr>
              <w:t>, 2015).</w:t>
            </w:r>
          </w:p>
          <w:p>
            <w:pPr>
              <w:spacing w:after="80" w:line="276" w:lineRule="auto"/>
              <w:jc w:val="both"/>
            </w:pPr>
            <w:r>
              <w:rPr>
                <w:rFonts w:ascii="Times New Roman" w:hAnsi="Times New Roman" w:eastAsia="바탕"/>
                <w:sz w:val="20"/>
              </w:rPr>
              <w:t xml:space="preserve">Broken down by region, this problem too is concentrated where we are aimed. In South-East Asia and the Eastern Mediterranean one in three reported infections showed resistance, in Africa one in five and in the Americas one in seven (World Health Organization, </w:t>
            </w:r>
            <w:r>
              <w:rPr>
                <w:rFonts w:ascii="Times New Roman" w:hAnsi="Times New Roman" w:eastAsia="바탕"/>
                <w:i/>
                <w:sz w:val="20"/>
              </w:rPr>
              <w:t>Global antibiotic resistance surveillance report 2025 (GLASS)</w:t>
            </w:r>
            <w:r>
              <w:rPr>
                <w:rFonts w:ascii="Times New Roman" w:hAnsi="Times New Roman" w:eastAsia="바탕"/>
                <w:sz w:val="20"/>
              </w:rPr>
              <w:t>, 2025). The regions with the lowest literacy in §1.1 appear here again.</w:t>
            </w:r>
          </w:p>
          <w:p>
            <w:pPr>
              <w:spacing w:before="160" w:after="60"/>
              <w:jc w:val="center"/>
            </w:pPr>
            <w:r>
              <w:drawing>
                <wp:inline xmlns:a="http://schemas.openxmlformats.org/drawingml/2006/main" xmlns:pic="http://schemas.openxmlformats.org/drawingml/2006/picture">
                  <wp:extent cx="5486400" cy="2377440"/>
                  <wp:docPr id="47" name="Picture 47"/>
                  <wp:cNvGraphicFramePr>
                    <a:graphicFrameLocks noChangeAspect="1"/>
                  </wp:cNvGraphicFramePr>
                  <a:graphic>
                    <a:graphicData uri="http://schemas.openxmlformats.org/drawingml/2006/picture">
                      <pic:pic>
                        <pic:nvPicPr>
                          <pic:cNvPr id="0" name="chart14_amr_region.png"/>
                          <pic:cNvPicPr/>
                        </pic:nvPicPr>
                        <pic:blipFill>
                          <a:blip r:embed="rId64"/>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47]</w:t>
            </w:r>
            <w:r>
              <w:rPr>
                <w:rFonts w:ascii="Times New Roman" w:hAnsi="Times New Roman" w:eastAsia="바탕"/>
                <w:color w:val="606068"/>
                <w:sz w:val="18"/>
              </w:rPr>
              <w:t xml:space="preserve"> Share of reported bacterial infections showing antibiotic resistance (World Health Organization, </w:t>
            </w:r>
            <w:r>
              <w:rPr>
                <w:rFonts w:ascii="Times New Roman" w:hAnsi="Times New Roman" w:eastAsia="바탕"/>
                <w:i/>
                <w:color w:val="606068"/>
                <w:sz w:val="18"/>
              </w:rPr>
              <w:t>Global antibiotic resistance surveillance report 2025 (GLASS)</w:t>
            </w:r>
            <w:r>
              <w:rPr>
                <w:rFonts w:ascii="Times New Roman" w:hAnsi="Times New Roman" w:eastAsia="바탕"/>
                <w:color w:val="606068"/>
                <w:sz w:val="18"/>
              </w:rPr>
              <w:t xml:space="preserve">, 2025). The world average is one in six; in South-East Asia and the Eastern Mediterranean it is one in three. The low-literacy countries of Table 1 are in those two regions. That is the place the </w:t>
            </w:r>
            <w:r>
              <w:rPr>
                <w:rFonts w:ascii="Consolas" w:hAnsi="Consolas" w:eastAsia="Consolas"/>
                <w:color w:val="606068"/>
                <w:sz w:val="17"/>
              </w:rPr>
              <w:t>finish_course</w:t>
            </w:r>
            <w:r>
              <w:rPr>
                <w:rFonts w:ascii="Times New Roman" w:hAnsi="Times New Roman" w:eastAsia="바탕"/>
                <w:color w:val="606068"/>
                <w:sz w:val="18"/>
              </w:rPr>
              <w:t xml:space="preserve"> morpheme aims at.</w:t>
            </w:r>
          </w:p>
          <w:p>
            <w:pPr>
              <w:spacing w:after="80" w:line="276" w:lineRule="auto"/>
              <w:jc w:val="both"/>
            </w:pPr>
            <w:r>
              <w:rPr>
                <w:rFonts w:ascii="Times New Roman" w:hAnsi="Times New Roman" w:eastAsia="바탕"/>
                <w:sz w:val="20"/>
              </w:rPr>
              <w:t xml:space="preserve">If one person in three believes that, the course length written on the prescription is not unread but read and not followed. On top of this come the people who cannot read it. If a duration written in text is never delivered in the first place, that instruction may as well not exist, and this is the point SnapCare's </w:t>
            </w:r>
            <w:r>
              <w:rPr>
                <w:rFonts w:ascii="Consolas" w:hAnsi="Consolas" w:eastAsia="Consolas"/>
                <w:sz w:val="19"/>
              </w:rPr>
              <w:t>finish_course</w:t>
            </w:r>
            <w:r>
              <w:rPr>
                <w:rFonts w:ascii="Times New Roman" w:hAnsi="Times New Roman" w:eastAsia="바탕"/>
                <w:sz w:val="20"/>
              </w:rPr>
              <w:t xml:space="preserve"> morpheme is aimed at. A picture alone does not change a belief, however, and what this morpheme does extends only as far as making the duration arrive.</w:t>
            </w:r>
          </w:p>
          <w:p>
            <w:pPr>
              <w:spacing w:before="180" w:after="40"/>
            </w:pPr>
            <w:r>
              <w:rPr>
                <w:rFonts w:ascii="Times New Roman" w:hAnsi="Times New Roman" w:eastAsia="바탕"/>
                <w:b/>
                <w:sz w:val="23"/>
              </w:rPr>
              <w:t>5.9 Unverified items</w:t>
            </w:r>
          </w:p>
          <w:p>
            <w:pPr>
              <w:spacing w:after="80" w:line="276" w:lineRule="auto"/>
              <w:jc w:val="both"/>
            </w:pPr>
            <w:r>
              <w:rPr>
                <w:rFonts w:ascii="Times New Roman" w:hAnsi="Times New Roman" w:eastAsia="바탕"/>
                <w:sz w:val="20"/>
              </w:rPr>
              <w:t>We state what this proposal does not claim.</w:t>
            </w:r>
          </w:p>
          <w:p>
            <w:pPr>
              <w:spacing w:after="80" w:line="276" w:lineRule="auto"/>
              <w:jc w:val="both"/>
            </w:pPr>
            <w:r>
              <w:rPr>
                <w:rFonts w:ascii="Times New Roman" w:hAnsi="Times New Roman" w:eastAsia="바탕"/>
                <w:sz w:val="20"/>
              </w:rPr>
              <w:t xml:space="preserve">First, no comprehension testing with people was carried out. The expert survey in §5.7 is not that test: it asked people who deal with such patients daily, whereas a comprehension test has to ask the patients. The measurement in §5.2 concerns a machine, and whether the 67% criterion required by ISO 9186 is met has to be confirmed with people. Further, because misreading a dosing instruction leads directly to harm, we judge it appropriate to also apply the </w:t>
            </w:r>
            <w:r>
              <w:rPr>
                <w:rFonts w:ascii="Times New Roman" w:hAnsi="Times New Roman" w:eastAsia="바탕"/>
                <w:b/>
                <w:sz w:val="20"/>
              </w:rPr>
              <w:t>critical confusion of 5% or less</w:t>
            </w:r>
            <w:r>
              <w:rPr>
                <w:rFonts w:ascii="Times New Roman" w:hAnsi="Times New Roman" w:eastAsia="바탕"/>
                <w:sz w:val="20"/>
              </w:rPr>
              <w:t xml:space="preserve"> required by ANSI Z535.3. The field evaluation plans to tally wrong answers separately as ordinary errors and as opposite-meaning errors.</w:t>
            </w:r>
          </w:p>
          <w:p>
            <w:pPr>
              <w:spacing w:after="80" w:line="276" w:lineRule="auto"/>
              <w:jc w:val="both"/>
            </w:pPr>
            <w:r>
              <w:rPr>
                <w:rFonts w:ascii="Times New Roman" w:hAnsi="Times New Roman" w:eastAsia="바탕"/>
                <w:sz w:val="20"/>
              </w:rPr>
              <w:t>We did not write that item ourselves. The survey gave us the same thing in one sentence. Answering "could a patient who cannot read take their medicine correctly, alone, with only these screens", Associate Professor Rahul Malhotra of the Duke-NUS Medical School wrote:</w:t>
            </w:r>
          </w:p>
          <w:p>
            <w:pPr>
              <w:spacing w:after="40" w:line="276" w:lineRule="auto"/>
              <w:ind w:left="403"/>
            </w:pPr>
            <w:r>
              <w:rPr>
                <w:rFonts w:ascii="Times New Roman" w:hAnsi="Times New Roman" w:eastAsia="바탕"/>
                <w:i/>
                <w:color w:val="606068"/>
                <w:sz w:val="19"/>
              </w:rPr>
              <w:t>"Pictograms need to validated for understanding before use"</w:t>
            </w:r>
          </w:p>
          <w:p>
            <w:pPr>
              <w:spacing w:after="180" w:line="276" w:lineRule="auto"/>
              <w:ind w:left="403"/>
            </w:pPr>
            <w:r>
              <w:rPr>
                <w:rFonts w:ascii="Times New Roman" w:hAnsi="Times New Roman" w:eastAsia="바탕"/>
                <w:i w:val="0"/>
                <w:color w:val="606068"/>
                <w:sz w:val="19"/>
              </w:rPr>
              <w:t>(Associate Professor Rahul Malhotra, Duke-NUS Medical School)</w:t>
            </w:r>
          </w:p>
          <w:p>
            <w:pPr>
              <w:spacing w:after="80" w:line="276" w:lineRule="auto"/>
              <w:jc w:val="both"/>
            </w:pPr>
            <w:r>
              <w:rPr>
                <w:rFonts w:ascii="Times New Roman" w:hAnsi="Times New Roman" w:eastAsia="바탕"/>
                <w:sz w:val="20"/>
              </w:rPr>
              <w:t>Eight words, saying what the first item of this section says. Between what we measured by machine in §5.2 and what that sentence requires, the people are missing, and which of us named the gap first does not matter. That we pointed at the same place does.</w:t>
            </w:r>
          </w:p>
          <w:p>
            <w:pPr>
              <w:spacing w:after="80" w:line="276" w:lineRule="auto"/>
              <w:jc w:val="both"/>
            </w:pPr>
            <w:r>
              <w:rPr>
                <w:rFonts w:ascii="Times New Roman" w:hAnsi="Times New Roman" w:eastAsia="바탕"/>
                <w:sz w:val="20"/>
              </w:rPr>
              <w:t xml:space="preserve">Second, cultural adaptation has not been verified. In the controlled comparison showing two sets to the same 46 people, 20 of 23 locally made pictograms passed the ANSI criterion while USP-DI managed 11 of 23 (Dowse, R. &amp; Ehlers, M. S., "The evaluation of pharmaceutical pictograms in a low-literate South African population," </w:t>
            </w:r>
            <w:r>
              <w:rPr>
                <w:rFonts w:ascii="Times New Roman" w:hAnsi="Times New Roman" w:eastAsia="바탕"/>
                <w:i/>
                <w:sz w:val="20"/>
              </w:rPr>
              <w:t>Patient Education and Counseling</w:t>
            </w:r>
            <w:r>
              <w:rPr>
                <w:rFonts w:ascii="Times New Roman" w:hAnsi="Times New Roman" w:eastAsia="바탕"/>
                <w:sz w:val="20"/>
              </w:rPr>
              <w:t>, 45(2):87–99, 2001). Pictogram comprehension therefore varies by culture. This set was designed in Korea and needs verification with Moldovan users.</w:t>
            </w:r>
          </w:p>
          <w:p>
            <w:pPr>
              <w:spacing w:after="80" w:line="276" w:lineRule="auto"/>
              <w:jc w:val="both"/>
            </w:pPr>
            <w:r>
              <w:rPr>
                <w:rFonts w:ascii="Times New Roman" w:hAnsi="Times New Roman" w:eastAsia="바탕"/>
                <w:sz w:val="20"/>
              </w:rPr>
              <w:t>Third, no claim is made about clinical outcomes. Ownby et al. (2024), cited in §1.4, makes this item heavier. Three hundred and fifteen people with low health literacy were given an app with lowered reading difficulty and audio, and medication adherence did not move. We hold that changing the medium is different, but whether that holds can only be known by measuring, and we have not measured it. This work measured the arrival of information and did not measure improvement in adherence or health outcomes.</w:t>
            </w:r>
          </w:p>
          <w:p>
            <w:pPr>
              <w:spacing w:after="80" w:line="276" w:lineRule="auto"/>
              <w:jc w:val="both"/>
            </w:pPr>
            <w:r>
              <w:rPr>
                <w:rFonts w:ascii="Times New Roman" w:hAnsi="Times New Roman" w:eastAsia="바탕"/>
                <w:sz w:val="20"/>
              </w:rPr>
              <w:t>Fourth, the recovery path after a misclassification was not measured. Because the design does not have the user choose what they photographed (§3.3), if the app mistakes food for medicine there is nothing on screen for the user to correct it with and taking another photograph is the only option. This design made the user bear misclassification in exchange for removing the selection step, and how often that misclassification actually occurs was not measured. Nor was it confirmed whether users can notice that something has been read wrongly.</w:t>
            </w:r>
          </w:p>
          <w:p>
            <w:pPr>
              <w:spacing w:after="80" w:line="276" w:lineRule="auto"/>
              <w:jc w:val="both"/>
            </w:pPr>
            <w:r>
              <w:rPr>
                <w:rFonts w:ascii="Times New Roman" w:hAnsi="Times New Roman" w:eastAsia="바탕"/>
                <w:sz w:val="20"/>
              </w:rPr>
              <w:t xml:space="preserve">Fifth, behaviour on a slow connection was not measured. The check in §5.6 was made with the connection cut entirely. Having no connection and having a slow one fail differently, and in the latter the request does not fail but hangs for a long time. </w:t>
            </w:r>
            <w:r>
              <w:rPr>
                <w:rFonts w:ascii="Consolas" w:hAnsi="Consolas" w:eastAsia="Consolas"/>
                <w:sz w:val="19"/>
              </w:rPr>
              <w:t>Estimating…</w:t>
            </w:r>
            <w:r>
              <w:rPr>
                <w:rFonts w:ascii="Times New Roman" w:hAnsi="Times New Roman" w:eastAsia="바탕"/>
                <w:sz w:val="20"/>
              </w:rPr>
              <w:t xml:space="preserve"> stays on screen throughout, and how long to wait before giving up and offering another route has not been settled. Given the connectivity of the target regions, this is likely a more common condition than a complete outage.</w:t>
            </w:r>
          </w:p>
          <w:p>
            <w:pPr>
              <w:spacing w:after="80" w:line="276" w:lineRule="auto"/>
              <w:jc w:val="both"/>
            </w:pPr>
            <w:r>
              <w:rPr>
                <w:rFonts w:ascii="Times New Roman" w:hAnsi="Times New Roman" w:eastAsia="바탕"/>
                <w:sz w:val="20"/>
              </w:rPr>
              <w:t>Sixth, the site of administration is empty for two dosage forms. As Table 10 showed, for injections and suppositories the spoken verb cannot carry the site and yet the site is neither spoken nor drawn. In the other seven forms either the verb carries the place (Take, Breathe in) or the site is attached separately (Put in the eye, Apply on the skin); these two are neither. Choosing a site to draw for an injection would be inventing something the prescription does not contain, so we did not, and a suppository could not be stood up because the 78 morphemes cannot draw the orientation of a human body. We have not measured what share these two forms hold in real prescriptions, nor how a user receives an instruction that goes out without a site.</w:t>
            </w:r>
          </w:p>
          <w:p>
            <w:pPr>
              <w:spacing w:after="80" w:line="276" w:lineRule="auto"/>
              <w:jc w:val="both"/>
            </w:pPr>
            <w:r>
              <w:rPr>
                <w:rFonts w:ascii="Times New Roman" w:hAnsi="Times New Roman" w:eastAsia="바탕"/>
                <w:sz w:val="20"/>
              </w:rPr>
              <w:t>Seventh, the sample prescriptions have not been reviewed by a pharmacist. The four samples used in this document and in the survey of §5.7 were made by us from public sources; no pharmacist or doctor reviewed them. Five clinical errors came to light after the fact. One storage condition was raised by a respondent, and four warning lines we found ourselves while re-checking after that. All four were problems with the example rather than with the engine, but that example was where the heaviest finding of §5.7 stood. We have no grounds for saying there are no more. The wording as corrected now was corrected against public sources, not reviewed.</w:t>
            </w:r>
          </w:p>
          <w:p>
            <w:pPr>
              <w:spacing w:after="80" w:line="276" w:lineRule="auto"/>
              <w:jc w:val="both"/>
            </w:pPr>
            <w:r>
              <w:rPr>
                <w:rFonts w:ascii="Times New Roman" w:hAnsi="Times New Roman" w:eastAsia="바탕"/>
                <w:sz w:val="20"/>
              </w:rPr>
              <w:t>Eighth, users with intellectual disability were not addressed. Raisa Kravchenko, Deputy Director of the All Ukrainian NGO Coalition for Persons with Intellectual Disabilities in Ukraine, wrote that the sounds are good but the pictograms should be improved and tested with people with intellectual disability. This app was designed for low literacy, and intellectual disability is a different condition. The checking step of §3.8 is the feature closest to that direction, but it was not designed for that group.</w:t>
            </w:r>
          </w:p>
          <w:p>
            <w:pPr>
              <w:spacing w:after="80" w:line="276" w:lineRule="auto"/>
              <w:jc w:val="both"/>
            </w:pPr>
            <w:r>
              <w:rPr>
                <w:rFonts w:ascii="Times New Roman" w:hAnsi="Times New Roman" w:eastAsia="바탕"/>
                <w:sz w:val="20"/>
              </w:rPr>
              <w:t>Ninth, cross-cultural misreading was not measured. Professor Afonso Cavaco of the Universidade de Lisboa wrote that the design needs robust testing and that interpretation errors may happen, especially in cross-cultural practice. Table 6 and Figure 10 in §1.8 already show this, and our set was designed in Korea and has not yet been tested anywhere. It sits in the same place as the second item in this section, but where that item states the absence of cultural adaptation, this one states that we have not measured in which direction misreading occurs before adaptation.</w:t>
            </w:r>
          </w:p>
          <w:p>
            <w:pPr>
              <w:spacing w:after="80" w:line="276" w:lineRule="auto"/>
              <w:jc w:val="both"/>
            </w:pPr>
            <w:r>
              <w:rPr>
                <w:rFonts w:ascii="Times New Roman" w:hAnsi="Times New Roman" w:eastAsia="바탕"/>
                <w:sz w:val="20"/>
              </w:rPr>
              <w:t>Tenth, the spoken translations in six languages have had no native-speaker clinical review. The 72 morpheme sentences were carried into six languages by us and a machine, not by anyone who has counselled patients in those languages. A mistranslated dosing instruction causes exactly the harm this app exists to prevent, so until reviewed these translations hold the same status as the sample prescriptions of §5.7: plausible, and unconfirmed.</w:t>
            </w:r>
          </w:p>
          <w:p>
            <w:pPr>
              <w:spacing w:after="80" w:line="276" w:lineRule="auto"/>
              <w:jc w:val="both"/>
            </w:pPr>
            <w:r>
              <w:rPr>
                <w:rFonts w:ascii="Times New Roman" w:hAnsi="Times New Roman" w:eastAsia="바탕"/>
                <w:sz w:val="20"/>
              </w:rPr>
              <w:t>Eleventh, whether people keep using it was not measured. The formative evaluation of §5.1 covers a single capture, and whether the same person opens this app again a few days later was not measured. What the industry-practice respondent in §5.7 chose as the first thing to break in operation is that point.</w:t>
            </w:r>
          </w:p>
          <w:p>
            <w:pPr>
              <w:spacing w:after="80" w:line="276" w:lineRule="auto"/>
              <w:jc w:val="both"/>
            </w:pPr>
            <w:r>
              <w:rPr>
                <w:rFonts w:ascii="Times New Roman" w:hAnsi="Times New Roman" w:eastAsia="바탕"/>
                <w:sz w:val="20"/>
              </w:rPr>
              <w:t>Twelfth, whether taking the photograph is possible was assumed and not measured. This app begins with one photograph, and we assumed that taking it is possible for anyone. It is the point Yonghan Lee, Senior Manager at the Korea Craft and Design Foundation, raised in §1.5: that blind people may be the largest group among those who cannot read, and that for them the act of photographing is itself a barrier. This app did not take blind users as its target, so it is out of scope rather than a failure. But unless the scope is written down, the "three layers overlaid" of §2.1 reads as though it required no sight. How far a screen reader and assisted capture can be joined to this is left to §5.10.</w:t>
            </w:r>
          </w:p>
          <w:p>
            <w:pPr>
              <w:spacing w:after="80" w:line="276" w:lineRule="auto"/>
              <w:jc w:val="both"/>
            </w:pPr>
            <w:r>
              <w:rPr>
                <w:rFonts w:ascii="Times New Roman" w:hAnsi="Times New Roman" w:eastAsia="바탕"/>
                <w:sz w:val="20"/>
              </w:rPr>
              <w:t>Thirteenth, nothing was measured under the widened conditions. §1.13 sets out eleven conditions as the target of this app, and four of them rest on a shared mechanism alone: dyslexia, Alzheimer's disease and memory disorders, autism and intellectual disability, and misuse by children. We have never had a person with those conditions use this app, and the expert survey of §5.7 asked about the single condition taken as the design standard. A shared mechanism speaks to the possibility that the same screen works, not to its having worked. What makes this different in kind from the twelve items above is that it is not something we failed to measure but the scope we have newly claimed. The claim widened, so what has to be measured widened with it, and it has not been measured yet.</w:t>
            </w:r>
          </w:p>
          <w:p>
            <w:pPr>
              <w:spacing w:before="180" w:after="40"/>
            </w:pPr>
            <w:r>
              <w:rPr>
                <w:rFonts w:ascii="Times New Roman" w:hAnsi="Times New Roman" w:eastAsia="바탕"/>
                <w:b/>
                <w:sz w:val="23"/>
              </w:rPr>
              <w:t>5.10 Future plans</w:t>
            </w:r>
          </w:p>
          <w:p>
            <w:pPr>
              <w:spacing w:after="80" w:line="276" w:lineRule="auto"/>
              <w:jc w:val="both"/>
            </w:pPr>
            <w:r>
              <w:rPr>
                <w:rFonts w:ascii="Times New Roman" w:hAnsi="Times New Roman" w:eastAsia="바탕"/>
                <w:sz w:val="20"/>
              </w:rPr>
              <w:t>The plans were not drawn up among ourselves. Points from the last box of the survey went into the table, and one of them is a single line from Professor Sung-il Cho of Seoul National University.</w:t>
            </w:r>
          </w:p>
          <w:p>
            <w:pPr>
              <w:spacing w:after="40" w:line="276" w:lineRule="auto"/>
              <w:ind w:left="403"/>
            </w:pPr>
            <w:r>
              <w:rPr>
                <w:rFonts w:ascii="Times New Roman" w:hAnsi="Times New Roman" w:eastAsia="바탕"/>
                <w:i/>
                <w:color w:val="606068"/>
                <w:sz w:val="19"/>
              </w:rPr>
              <w:t>"A plan is needed to reflect the fact that circumstances differ by country."</w:t>
            </w:r>
          </w:p>
          <w:p>
            <w:pPr>
              <w:spacing w:after="180" w:line="276" w:lineRule="auto"/>
              <w:ind w:left="403"/>
            </w:pPr>
            <w:r>
              <w:rPr>
                <w:rFonts w:ascii="Times New Roman" w:hAnsi="Times New Roman" w:eastAsia="바탕"/>
                <w:i w:val="0"/>
                <w:color w:val="606068"/>
                <w:sz w:val="19"/>
              </w:rPr>
              <w:t>(Professor Sung-il Cho, Seoul National University)</w:t>
            </w:r>
          </w:p>
          <w:p>
            <w:pPr>
              <w:spacing w:after="80" w:line="276" w:lineRule="auto"/>
              <w:jc w:val="both"/>
            </w:pPr>
            <w:r>
              <w:rPr>
                <w:rFonts w:ascii="Times New Roman" w:hAnsi="Times New Roman" w:eastAsia="바탕"/>
                <w:sz w:val="20"/>
              </w:rPr>
              <w:t>What stage 6 would measure belongs here as well. The direct approach is to compare medication-taking over four weeks with and without this app, and that requires a control group, a period and ethical review, so it is out of our reach. What we can do is give one task and measure whether it was carried through and how long it took: photograph one prescription and say what is to be taken today, at what time and how many, which is the same kind of measurement the studies cited in §1.10 used. What such a measurement measures is whether the screen arrived, not whether the person took the medicine, and that distinction is the same one set down at the head of §5.7.</w:t>
            </w:r>
          </w:p>
          <w:p>
            <w:pPr>
              <w:spacing w:after="80" w:line="276" w:lineRule="auto"/>
              <w:jc w:val="both"/>
            </w:pPr>
            <w:r>
              <w:rPr>
                <w:rFonts w:ascii="Times New Roman" w:hAnsi="Times New Roman" w:eastAsia="바탕"/>
                <w:sz w:val="20"/>
              </w:rPr>
              <w:t>That one line separates stages 3 and 5 of the table below. Running the field evaluation of stage 3 in one country yields that country's answer only, and Figure 10 in §1.8 has already shown the same internationally standardised symbol going from 94% in one country to 8% in another. Table 6 in the same section likewise shows the highest pass rate belonging to a set made locally and tested on local people. So the evaluation is split by country, and building culturally adapted versions of the morphemes was set as stage 5. That the 39 respondents work in 22 countries is itself the first data for that plan.</w:t>
            </w:r>
          </w:p>
          <w:p>
            <w:pPr>
              <w:spacing w:after="80" w:line="276" w:lineRule="auto"/>
              <w:jc w:val="both"/>
            </w:pPr>
            <w:r>
              <w:rPr>
                <w:rFonts w:ascii="Times New Roman" w:hAnsi="Times New Roman" w:eastAsia="바탕"/>
                <w:sz w:val="20"/>
              </w:rPr>
              <w:t>[Table 50] Plans after the contest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Stage</w:t>
                  </w:r>
                </w:p>
              </w:tc>
              <w:tc>
                <w:tcPr>
                  <w:tcW w:type="dxa" w:w="3238"/>
                  <w:shd w:val="clear" w:fill="F2F2F2"/>
                </w:tcPr>
                <w:p>
                  <w:r>
                    <w:rPr>
                      <w:rFonts w:ascii="Times New Roman" w:hAnsi="Times New Roman" w:eastAsia="바탕"/>
                      <w:b/>
                      <w:sz w:val="18"/>
                    </w:rPr>
                    <w:t>Content</w:t>
                  </w:r>
                </w:p>
              </w:tc>
              <w:tc>
                <w:tcPr>
                  <w:tcW w:type="dxa" w:w="3238"/>
                  <w:shd w:val="clear" w:fill="F2F2F2"/>
                </w:tcPr>
                <w:p>
                  <w:r>
                    <w:rPr>
                      <w:rFonts w:ascii="Times New Roman" w:hAnsi="Times New Roman" w:eastAsia="바탕"/>
                      <w:b/>
                      <w:sz w:val="18"/>
                    </w:rPr>
                    <w:t>Rationale</w:t>
                  </w:r>
                </w:p>
              </w:tc>
            </w:tr>
            <w:tr>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Expert opinion survey (</w:t>
                  </w:r>
                  <w:r>
                    <w:rPr>
                      <w:rFonts w:ascii="Times New Roman" w:hAnsi="Times New Roman" w:eastAsia="바탕"/>
                      <w:b/>
                      <w:sz w:val="18"/>
                    </w:rPr>
                    <w:t>complete</w:t>
                  </w:r>
                  <w:r>
                    <w:rPr>
                      <w:rFonts w:ascii="Times New Roman" w:hAnsi="Times New Roman" w:eastAsia="바탕"/>
                      <w:sz w:val="18"/>
                    </w:rPr>
                    <w:t>, §5.7)</w:t>
                  </w:r>
                </w:p>
              </w:tc>
              <w:tc>
                <w:tcPr>
                  <w:tcW w:type="dxa" w:w="3238"/>
                </w:tcPr>
                <w:p>
                  <w:r>
                    <w:rPr>
                      <w:rFonts w:ascii="Times New Roman" w:hAnsi="Times New Roman" w:eastAsia="바탕"/>
                      <w:sz w:val="18"/>
                    </w:rPr>
                    <w:t>Sent to 1,103 people, answered by 39. The defects raised pass to stages 3 and 4 below</w:t>
                  </w:r>
                </w:p>
              </w:tc>
            </w:tr>
            <w:tr>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In-person evaluation with older Moldovan users</w:t>
                  </w:r>
                </w:p>
              </w:tc>
              <w:tc>
                <w:tcPr>
                  <w:tcW w:type="dxa" w:w="3238"/>
                </w:tcPr>
                <w:p>
                  <w:r>
                    <w:rPr>
                      <w:rFonts w:ascii="Times New Roman" w:hAnsi="Times New Roman" w:eastAsia="바탕"/>
                      <w:sz w:val="18"/>
                    </w:rPr>
                    <w:t>Addresses the first and second limitations in §5.9</w:t>
                  </w:r>
                </w:p>
              </w:tc>
            </w:tr>
            <w:tr>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Redesign morphemes confirmed as misread</w:t>
                  </w:r>
                </w:p>
              </w:tc>
              <w:tc>
                <w:tcPr>
                  <w:tcW w:type="dxa" w:w="3238"/>
                </w:tcPr>
                <w:p>
                  <w:r>
                    <w:rPr>
                      <w:rFonts w:ascii="Times New Roman" w:hAnsi="Times New Roman" w:eastAsia="바탕"/>
                      <w:sz w:val="18"/>
                    </w:rPr>
                    <w:t>The five in §5.3 need the concept itself reconsidered</w:t>
                  </w:r>
                </w:p>
              </w:tc>
            </w:tr>
            <w:tr>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Fix the defects raised in §5.7 (partly complete)</w:t>
                  </w:r>
                </w:p>
              </w:tc>
              <w:tc>
                <w:tcPr>
                  <w:tcW w:type="dxa" w:w="3238"/>
                </w:tcPr>
                <w:p>
                  <w:r>
                    <w:rPr>
                      <w:rFonts w:ascii="Times New Roman" w:hAnsi="Times New Roman" w:eastAsia="바탕"/>
                      <w:sz w:val="18"/>
                    </w:rPr>
                    <w:t xml:space="preserve">The contraindication marking, </w:t>
                  </w:r>
                  <w:r>
                    <w:rPr>
                      <w:rFonts w:ascii="Consolas" w:hAnsi="Consolas" w:eastAsia="Consolas"/>
                      <w:sz w:val="17"/>
                    </w:rPr>
                    <w:t>finish_course</w:t>
                  </w:r>
                  <w:r>
                    <w:rPr>
                      <w:rFonts w:ascii="Times New Roman" w:hAnsi="Times New Roman" w:eastAsia="바탕"/>
                      <w:sz w:val="18"/>
                    </w:rPr>
                    <w:t xml:space="preserve"> and the checking step (§3.8) are built. The ceiling on elements per image will be set after the field evaluation</w:t>
                  </w:r>
                </w:p>
              </w:tc>
            </w:tr>
            <w:tr>
              <w:tc>
                <w:tcPr>
                  <w:tcW w:type="dxa" w:w="3238"/>
                </w:tcPr>
                <w:p>
                  <w:r>
                    <w:rPr>
                      <w:rFonts w:ascii="Times New Roman" w:hAnsi="Times New Roman" w:eastAsia="바탕"/>
                      <w:sz w:val="18"/>
                    </w:rPr>
                    <w:t>5</w:t>
                  </w:r>
                </w:p>
              </w:tc>
              <w:tc>
                <w:tcPr>
                  <w:tcW w:type="dxa" w:w="3238"/>
                </w:tcPr>
                <w:p>
                  <w:r>
                    <w:rPr>
                      <w:rFonts w:ascii="Times New Roman" w:hAnsi="Times New Roman" w:eastAsia="바탕"/>
                      <w:sz w:val="18"/>
                    </w:rPr>
                    <w:t>Formalise morphemes generated at runtime</w:t>
                  </w:r>
                </w:p>
              </w:tc>
              <w:tc>
                <w:tcPr>
                  <w:tcW w:type="dxa" w:w="3238"/>
                </w:tcPr>
                <w:p>
                  <w:r>
                    <w:rPr>
                      <w:rFonts w:ascii="Times New Roman" w:hAnsi="Times New Roman" w:eastAsia="바탕"/>
                      <w:sz w:val="18"/>
                    </w:rPr>
                    <w:t>Expand the set on the basis of the gap log the app leaves</w:t>
                  </w:r>
                </w:p>
              </w:tc>
            </w:tr>
            <w:tr>
              <w:tc>
                <w:tcPr>
                  <w:tcW w:type="dxa" w:w="3238"/>
                </w:tcPr>
                <w:p>
                  <w:r>
                    <w:rPr>
                      <w:rFonts w:ascii="Times New Roman" w:hAnsi="Times New Roman" w:eastAsia="바탕"/>
                      <w:sz w:val="18"/>
                    </w:rPr>
                    <w:t>6</w:t>
                  </w:r>
                </w:p>
              </w:tc>
              <w:tc>
                <w:tcPr>
                  <w:tcW w:type="dxa" w:w="3238"/>
                </w:tcPr>
                <w:p>
                  <w:r>
                    <w:rPr>
                      <w:rFonts w:ascii="Times New Roman" w:hAnsi="Times New Roman" w:eastAsia="바탕"/>
                      <w:sz w:val="18"/>
                    </w:rPr>
                    <w:t>Use testing under the widened conditions</w:t>
                  </w:r>
                </w:p>
              </w:tc>
              <w:tc>
                <w:tcPr>
                  <w:tcW w:type="dxa" w:w="3238"/>
                </w:tcPr>
                <w:p>
                  <w:r>
                    <w:rPr>
                      <w:rFonts w:ascii="Times New Roman" w:hAnsi="Times New Roman" w:eastAsia="바탕"/>
                      <w:sz w:val="18"/>
                    </w:rPr>
                    <w:t>Answers the four conditions in Table 7 of §1.13 and the thirteenth item of §5.9. The first question is whether the routine screen of §3.9 in fact works for users carrying a load on executive function</w:t>
                  </w:r>
                </w:p>
              </w:tc>
            </w:tr>
          </w:tbl>
          <w:p/>
          <w:p>
            <w:pPr>
              <w:spacing w:after="120"/>
            </w:pPr>
          </w:p>
          <w:p>
            <w:pPr>
              <w:spacing w:after="80" w:line="276" w:lineRule="auto"/>
              <w:jc w:val="both"/>
            </w:pPr>
            <w:r>
              <w:rPr>
                <w:rFonts w:ascii="Times New Roman" w:hAnsi="Times New Roman" w:eastAsia="바탕"/>
                <w:sz w:val="20"/>
              </w:rPr>
              <w:t>Stage 2 matters most. Every measurement in this work confirmed whether information reaches the screen, and whether it is read by a person can only be learned by asking people.</w:t>
            </w:r>
          </w:p>
          <w:p>
            <w:pPr>
              <w:spacing w:after="80" w:line="276" w:lineRule="auto"/>
              <w:jc w:val="both"/>
            </w:pPr>
            <w:r>
              <w:rPr>
                <w:rFonts w:ascii="Times New Roman" w:hAnsi="Times New Roman" w:eastAsia="바탕"/>
                <w:sz w:val="20"/>
              </w:rPr>
              <w:t>How that evaluation will be run is already settled. The method follows ISO 9186-1. One picture is shown with no options given, the person says what it looks like, and whether the answer matches the intent is judged separately. That this is the same form of question as the mechanical check in §5.2 is not a coincidence. The mechanical check was built in that form precisely to measure the same thing a test with people measures.</w:t>
            </w:r>
          </w:p>
          <w:p>
            <w:pPr>
              <w:spacing w:after="80" w:line="276" w:lineRule="auto"/>
              <w:jc w:val="both"/>
            </w:pPr>
            <w:r>
              <w:rPr>
                <w:rFonts w:ascii="Times New Roman" w:hAnsi="Times New Roman" w:eastAsia="바탕"/>
                <w:sz w:val="20"/>
              </w:rPr>
              <w:t xml:space="preserve">The tally is split two ways. Ordinary wrong answers and opposite-meaning wrong answers are counted separately. ANSI Z535.3 requiring critical confusion of 5% or less alongside an 85% correct-response rate comes from the same judgement. For dosing instructions the latter matters more. Reading a picture wrapped in </w:t>
            </w:r>
            <w:r>
              <w:rPr>
                <w:rFonts w:ascii="Consolas" w:hAnsi="Consolas" w:eastAsia="Consolas"/>
                <w:sz w:val="19"/>
              </w:rPr>
              <w:t>no{}</w:t>
            </w:r>
            <w:r>
              <w:rPr>
                <w:rFonts w:ascii="Times New Roman" w:hAnsi="Times New Roman" w:eastAsia="바탕"/>
                <w:sz w:val="20"/>
              </w:rPr>
              <w:t xml:space="preserve"> as "take this" is worse than having no picture.</w:t>
            </w:r>
          </w:p>
          <w:p>
            <w:pPr>
              <w:spacing w:after="80" w:line="276" w:lineRule="auto"/>
              <w:jc w:val="both"/>
            </w:pPr>
            <w:r>
              <w:rPr>
                <w:rFonts w:ascii="Times New Roman" w:hAnsi="Times New Roman" w:eastAsia="바탕"/>
                <w:sz w:val="20"/>
              </w:rPr>
              <w:t>The sample will be older Moldovan users, with the aim, as Table 6 showed, of measuring before and after cultural adaptation separately. The way Dowse &amp; Ehlers showed two sets to the same 46 people is exactly the design we need. Testing the current set as it stands, redrawing locally the morphemes confirmed as misread, and asking the same people again would give us a figure for our own set corresponding to their 87% against 48%.</w:t>
            </w:r>
          </w:p>
          <w:p>
            <w:pPr>
              <w:spacing w:after="80" w:line="276" w:lineRule="auto"/>
              <w:jc w:val="both"/>
            </w:pPr>
            <w:r>
              <w:rPr>
                <w:rFonts w:ascii="Times New Roman" w:hAnsi="Times New Roman" w:eastAsia="바탕"/>
                <w:sz w:val="20"/>
              </w:rPr>
              <w:t>It should also be recorded that we may not obtain it. That the pass rates in Table 6 spread from 15.7% to 87% means the comprehensibility of any one set is not predictable in advance in this field. What this work offers is not a claim to have a good set but a procedure for measuring a set before release, and whatever that procedure says about our set is the result.</w:t>
            </w:r>
          </w:p>
          <w:p>
            <w:pPr>
              <w:spacing w:before="180" w:after="40"/>
            </w:pPr>
            <w:r>
              <w:rPr>
                <w:rFonts w:ascii="Times New Roman" w:hAnsi="Times New Roman" w:eastAsia="바탕"/>
                <w:b/>
                <w:sz w:val="23"/>
              </w:rPr>
              <w:t>5.11 Appendix. Every free-text response</w:t>
            </w:r>
          </w:p>
          <w:p>
            <w:pPr>
              <w:spacing w:after="80" w:line="276" w:lineRule="auto"/>
              <w:jc w:val="both"/>
            </w:pPr>
            <w:r>
              <w:rPr>
                <w:rFonts w:ascii="Times New Roman" w:hAnsi="Times New Roman" w:eastAsia="바탕"/>
                <w:sz w:val="20"/>
              </w:rPr>
              <w:t>§5.7 quotes only the responses we selected. Selecting can tilt towards what favours us, so all 124 free-text responses received are set down here in full, by question. Only line breaks were removed; nothing else was touched. Short answers ("N/A", "Yes.") are left in rather than being dropped and reinstated. Responses written in Korean are given here in our own translation; the originals stand unaltered in the Korean version of this document. Positions and affiliations are likewise as the respondent wrote them. Table 43 uses what we confirmed against the institution's own faculty listing when the list was built, so it is sometimes more specific: respondent Hangil Lee is "Professor · Ewha Womans University" here and "Associate Professor · College of Pharmacy, Ewha Womans University" there.</w:t>
            </w:r>
          </w:p>
          <w:p>
            <w:pPr>
              <w:spacing w:after="80" w:line="276" w:lineRule="auto"/>
              <w:jc w:val="both"/>
            </w:pPr>
            <w:r>
              <w:rPr>
                <w:rFonts w:ascii="Times New Roman" w:hAnsi="Times New Roman" w:eastAsia="바탕"/>
                <w:b/>
                <w:sz w:val="20"/>
              </w:rPr>
              <w:t>Anything you would add that we did not ask</w:t>
            </w:r>
            <w:r>
              <w:rPr>
                <w:rFonts w:ascii="Times New Roman" w:hAnsi="Times New Roman" w:eastAsia="바탕"/>
                <w:sz w:val="20"/>
              </w:rPr>
              <w:t xml:space="preserve"> (14)</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Kyogu Lee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Seoul National University</w:t>
                  </w:r>
                </w:p>
              </w:tc>
              <w:tc>
                <w:tcPr>
                  <w:tcW w:type="dxa" w:w="2429"/>
                </w:tcPr>
                <w:p>
                  <w:r>
                    <w:rPr>
                      <w:rFonts w:ascii="Times New Roman" w:hAnsi="Times New Roman" w:eastAsia="바탕"/>
                      <w:sz w:val="18"/>
                    </w:rPr>
                    <w:t>).</w:t>
                  </w:r>
                  <w:r>
                    <w:rPr>
                      <w:rFonts w:ascii="Times New Roman" w:hAnsi="Times New Roman" w:eastAsia="바탕"/>
                      <w:sz w:val="18"/>
                    </w:rPr>
                    <w:t>- The pictograms define 78 "words"; even with recombination, can they really cover the very wide range of medicines and regimens? - Hearing the audio alongside helps with understanding the pictograms, but some of them look less than intuitive. - Where the instruction is negative, it would be good for the pictogram to carry a "/" or "X" as well (some do, but alcohol, pregnancy and so on do not). - Linking it to push notifications so that dosing times are announced and read aloud would help a great deal more. - Using Supertonic TTS would make multilingual expansion easy (</w:t>
                  </w:r>
                  <w:hyperlink r:id="rId65">
                    <w:r>
                      <w:rPr>
                        <w:rPr>
                          <w:rFonts w:ascii="Times New Roman" w:hAnsi="Times New Roman" w:eastAsia="바탕"/>
                          <w:sz w:val="18"/>
                        </w:rPr>
                        <w:color w:val="0563C1"/>
                        <w:u w:val="single"/>
                      </w:rPr>
                      <w:t xml:space="preserve">https://huggingface.co/spaces/Supertone/supertonic-3</w:t>
                    </w:r>
                  </w:hyperlink>
                </w:p>
              </w:tc>
            </w:tr>
            <w:tr>
              <w:tc>
                <w:tcPr>
                  <w:tcW w:type="dxa" w:w="2429"/>
                </w:tcPr>
                <w:p>
                  <w:r>
                    <w:rPr>
                      <w:rFonts w:ascii="Times New Roman" w:hAnsi="Times New Roman" w:eastAsia="바탕"/>
                      <w:sz w:val="18"/>
                    </w:rPr>
                    <w:t>(name withheld)</w:t>
                  </w:r>
                </w:p>
              </w:tc>
              <w:tc>
                <w:tcPr>
                  <w:tcW w:type="dxa" w:w="2429"/>
                </w:tcPr>
                <w:p>
                  <w:r>
                    <w:rPr>
                      <w:rFonts w:ascii="Times New Roman" w:hAnsi="Times New Roman" w:eastAsia="바탕"/>
                      <w:sz w:val="18"/>
                    </w:rPr>
                    <w:t>Team Leader</w:t>
                  </w:r>
                </w:p>
              </w:tc>
              <w:tc>
                <w:tcPr>
                  <w:tcW w:type="dxa" w:w="2429"/>
                </w:tcPr>
                <w:p>
                  <w:r>
                    <w:rPr>
                      <w:rFonts w:ascii="Times New Roman" w:hAnsi="Times New Roman" w:eastAsia="바탕"/>
                      <w:sz w:val="18"/>
                    </w:rPr>
                    <w:t>GC Medi-AI, Uisarang Service Centre</w:t>
                  </w:r>
                </w:p>
              </w:tc>
              <w:tc>
                <w:tcPr>
                  <w:tcW w:type="dxa" w:w="2429"/>
                </w:tcPr>
                <w:p>
                  <w:r>
                    <w:rPr>
                      <w:rFonts w:ascii="Times New Roman" w:hAnsi="Times New Roman" w:eastAsia="바탕"/>
                      <w:sz w:val="18"/>
                    </w:rPr>
                    <w:t>1. Korean prescriptions carry a barcode, and only the barcode needs reading, so scanning the whole sheet is inefficient. 2. Apps that read the barcode and can guide people with disabilities already exist. 3. Medication counselling is the duty of the pharmacist, and of the doctor for in-hospital prescribing, and there are already many solutions for it. 4. For a business model aimed at people who cannot read, the market is too small relative to the investment. 5. Electronic prescriptions are already being prepared. Once they are electronic this is useless.</w:t>
                  </w:r>
                </w:p>
              </w:tc>
            </w:tr>
            <w:tr>
              <w:tc>
                <w:tcPr>
                  <w:tcW w:type="dxa" w:w="2429"/>
                </w:tcPr>
                <w:p>
                  <w:r>
                    <w:rPr>
                      <w:rFonts w:ascii="Times New Roman" w:hAnsi="Times New Roman" w:eastAsia="바탕"/>
                      <w:sz w:val="18"/>
                    </w:rPr>
                    <w:t>Kyungseo Park</w:t>
                  </w:r>
                </w:p>
              </w:tc>
              <w:tc>
                <w:tcPr>
                  <w:tcW w:type="dxa" w:w="2429"/>
                </w:tcPr>
                <w:p>
                  <w:r>
                    <w:rPr>
                      <w:rFonts w:ascii="Times New Roman" w:hAnsi="Times New Roman" w:eastAsia="바탕"/>
                      <w:sz w:val="18"/>
                    </w:rPr>
                    <w:t>Assistant Manager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Being in a position of not being able to read comes from a range of individual circumstances: old age, childhood, blindness, low vision. It is certainly needed, and our own institute has run projects such as typeface development for legibility.</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From this survey alone it is clear that you may be thinking about this far harder than people currently in the field, and since that thinking and effort is towards making a better world, you have my support.</w:t>
                  </w:r>
                </w:p>
              </w:tc>
            </w:tr>
            <w:tr>
              <w:tc>
                <w:tcPr>
                  <w:tcW w:type="dxa" w:w="2429"/>
                </w:tcPr>
                <w:p>
                  <w:r>
                    <w:rPr>
                      <w:rFonts w:ascii="Times New Roman" w:hAnsi="Times New Roman" w:eastAsia="바탕"/>
                      <w:sz w:val="18"/>
                    </w:rPr>
                    <w:t>Heejung Seo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Dong-eui University</w:t>
                  </w:r>
                </w:p>
              </w:tc>
              <w:tc>
                <w:tcPr>
                  <w:tcW w:type="dxa" w:w="2429"/>
                </w:tcPr>
                <w:p>
                  <w:r>
                    <w:rPr>
                      <w:rFonts w:ascii="Times New Roman" w:hAnsi="Times New Roman" w:eastAsia="바탕"/>
                      <w:sz w:val="18"/>
                    </w:rPr>
                    <w:t>I think this is a practical idea that can help with the difficulties people who cannot read may feel. I do not know much about implementing algorithms from an engineering standpoint so I have no technical advice, but I have some thoughts from the position of the non-literate user. Pictograms are a good medium for conveying information intuitively, but to a non-literate person these too can feel like letters. As the saying goes, 'the black is the writing and the white is the paper,' so it would be good to implement this with a design and colouring that can be perceived from a non-literate person's point of view. The same applies to the spoken explanation. It would be good if the information and explanation were accurate and pitched at their level of perception, so that a well-built function can actually be used by them.</w:t>
                  </w:r>
                </w:p>
              </w:tc>
            </w:tr>
            <w:tr>
              <w:tc>
                <w:tcPr>
                  <w:tcW w:type="dxa" w:w="2429"/>
                </w:tcPr>
                <w:p>
                  <w:r>
                    <w:rPr>
                      <w:rFonts w:ascii="Times New Roman" w:hAnsi="Times New Roman" w:eastAsia="바탕"/>
                      <w:sz w:val="18"/>
                    </w:rPr>
                    <w:t>Kyunghwa Lee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Soongsil University</w:t>
                  </w:r>
                </w:p>
              </w:tc>
              <w:tc>
                <w:tcPr>
                  <w:tcW w:type="dxa" w:w="2429"/>
                </w:tcPr>
                <w:p>
                  <w:r>
                    <w:rPr>
                      <w:rFonts w:ascii="Times New Roman" w:hAnsi="Times New Roman" w:eastAsia="바탕"/>
                      <w:sz w:val="18"/>
                    </w:rPr>
                    <w:t>It is systematically put together. The level of the target group ought to be considered as well, though. Whether the pictures will be fully understood depends on whether this is simply a literacy problem or also involves age and the level of information comprehension, and I am a little concerned about that. If the prescription is not merely at the level of eye drops but for a condition requiring more expertise, it would need more consideration.</w:t>
                  </w:r>
                </w:p>
              </w:tc>
            </w:tr>
            <w:tr>
              <w:tc>
                <w:tcPr>
                  <w:tcW w:type="dxa" w:w="2429"/>
                </w:tcPr>
                <w:p>
                  <w:r>
                    <w:rPr>
                      <w:rFonts w:ascii="Times New Roman" w:hAnsi="Times New Roman" w:eastAsia="바탕"/>
                      <w:sz w:val="18"/>
                    </w:rPr>
                    <w:t>Sung-il Cho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Seoul National University</w:t>
                  </w:r>
                </w:p>
              </w:tc>
              <w:tc>
                <w:tcPr>
                  <w:tcW w:type="dxa" w:w="2429"/>
                </w:tcPr>
                <w:p>
                  <w:r>
                    <w:rPr>
                      <w:rFonts w:ascii="Times New Roman" w:hAnsi="Times New Roman" w:eastAsia="바탕"/>
                      <w:sz w:val="18"/>
                    </w:rPr>
                    <w:t>A plan is needed to reflect the fact that circumstances differ by country.</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PhD, pharmacist</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There is not much patient who can not read without visual impairment (children, adults); i see more patients with visual impairment (therefore thay cant read). It is important for them to tell each medicine apart. It would be hard for them to take picture</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Kindly allow multiple responses in all the sections. Also, refer to USP pictograms instead of developing a new set. You can definitely develop your own when and if these are not available elsewhere to suit your local context.</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Universidade de Lisboa</w:t>
                  </w:r>
                </w:p>
              </w:tc>
              <w:tc>
                <w:tcPr>
                  <w:tcW w:type="dxa" w:w="2429"/>
                </w:tcPr>
                <w:p>
                  <w:r>
                    <w:rPr>
                      <w:rFonts w:ascii="Times New Roman" w:hAnsi="Times New Roman" w:eastAsia="바탕"/>
                      <w:sz w:val="18"/>
                    </w:rPr>
                    <w:t>Nothing. Good look!</w:t>
                  </w:r>
                </w:p>
              </w:tc>
            </w:tr>
            <w:tr>
              <w:tc>
                <w:tcPr>
                  <w:tcW w:type="dxa" w:w="2429"/>
                </w:tcPr>
                <w:p>
                  <w:r>
                    <w:rPr>
                      <w:rFonts w:ascii="Times New Roman" w:hAnsi="Times New Roman" w:eastAsia="바탕"/>
                      <w:sz w:val="18"/>
                    </w:rPr>
                    <w:t>Mustapha Taibi</w:t>
                  </w:r>
                </w:p>
              </w:tc>
              <w:tc>
                <w:tcPr>
                  <w:tcW w:type="dxa" w:w="2429"/>
                </w:tcPr>
                <w:p>
                  <w:r>
                    <w:rPr>
                      <w:rFonts w:ascii="Times New Roman" w:hAnsi="Times New Roman" w:eastAsia="바탕"/>
                      <w:sz w:val="18"/>
                    </w:rPr>
                    <w:t>Professor of Translation and Interpreting</w:t>
                  </w:r>
                </w:p>
              </w:tc>
              <w:tc>
                <w:tcPr>
                  <w:tcW w:type="dxa" w:w="2429"/>
                </w:tcPr>
                <w:p>
                  <w:r>
                    <w:rPr>
                      <w:rFonts w:ascii="Times New Roman" w:hAnsi="Times New Roman" w:eastAsia="바탕"/>
                      <w:sz w:val="18"/>
                    </w:rPr>
                    <w:t>Western Sydney University</w:t>
                  </w:r>
                </w:p>
              </w:tc>
              <w:tc>
                <w:tcPr>
                  <w:tcW w:type="dxa" w:w="2429"/>
                </w:tcPr>
                <w:p>
                  <w:r>
                    <w:rPr>
                      <w:rFonts w:ascii="Times New Roman" w:hAnsi="Times New Roman" w:eastAsia="바탕"/>
                      <w:sz w:val="18"/>
                    </w:rPr>
                    <w:t>N/A</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was interrupted during this survey so the time it took should not be taken as being the actual time taken.  I did not realise there was a back button to look at the 78 symbols until I got to the bottom of the page!  I think the idea of this app is good but may suit many people and not just AAC or those with literacy difficulties but it is hard to judge how easy it would be to actually use the app with a some of the complex disabilities that arise due to brain damage such as stroke even though it sounds ideal - taking photos of smally prescription notes is not that physically easy</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Pharmacy Lecturer</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 xml:space="preserve"> 2) amoxicillin capsule we normally keep at room temperature 25 celcius. No need to keep refrigerated at 2-8 celcius</w:t>
                  </w:r>
                  <w:r>
                    <w:rPr>
                      <w:rFonts w:ascii="Times New Roman" w:hAnsi="Times New Roman" w:eastAsia="바탕"/>
                      <w:sz w:val="18"/>
                    </w:rPr>
                    <w:t xml:space="preserve">1) you can add symbols for special instructions:  like 1) shake the medication before use. 2) Please keep it away from children. Examples of special instruction: </w:t>
                  </w:r>
                  <w:hyperlink r:id="rId66">
                    <w:r>
                      <w:rPr>
                        <w:rPr>
                          <w:rFonts w:ascii="Times New Roman" w:hAnsi="Times New Roman" w:eastAsia="바탕"/>
                          <w:sz w:val="18"/>
                        </w:rPr>
                        <w:color w:val="0563C1"/>
                        <w:u w:val="single"/>
                      </w:rPr>
                      <w:t xml:space="preserve">https://wisconsinliteracy.org/health-literacy/programs/health-literacy-programs/lets-talk-about-medicines/lets-talk-about-medicines-workbooks/special-instructions.html</w:t>
                    </w:r>
                  </w:hyperlink>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I hope the idea is developed well and that the result comes to be used meaningfully in the field.</w:t>
                  </w:r>
                </w:p>
              </w:tc>
            </w:tr>
          </w:tbl>
          <w:p/>
          <w:p>
            <w:pPr>
              <w:spacing w:after="120"/>
            </w:pPr>
          </w:p>
          <w:p>
            <w:pPr>
              <w:spacing w:after="80" w:line="276" w:lineRule="auto"/>
              <w:jc w:val="both"/>
            </w:pPr>
            <w:r>
              <w:rPr>
                <w:rFonts w:ascii="Times New Roman" w:hAnsi="Times New Roman" w:eastAsia="바탕"/>
                <w:b/>
                <w:sz w:val="20"/>
              </w:rPr>
              <w:t>Could they take it alone, and why</w:t>
            </w:r>
            <w:r>
              <w:rPr>
                <w:rFonts w:ascii="Times New Roman" w:hAnsi="Times New Roman" w:eastAsia="바탕"/>
                <w:sz w:val="20"/>
              </w:rPr>
              <w:t xml:space="preserve"> (13)</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As noted above, there are several types of people who cannot read, and in fact the largest group is likely to be blind people rather than the 'illiterate'. I do not know whether blind users were considered from the outset, but if you want to include them, for a blind person the very act of taking a photograph can be a barrier. Smartphone use by blind people is not impossible today, so it would be good to consider connecting to that as well.</w:t>
                  </w:r>
                </w:p>
              </w:tc>
            </w:tr>
            <w:tr>
              <w:tc>
                <w:tcPr>
                  <w:tcW w:type="dxa" w:w="2429"/>
                </w:tcPr>
                <w:p>
                  <w:r>
                    <w:rPr>
                      <w:rFonts w:ascii="Times New Roman" w:hAnsi="Times New Roman" w:eastAsia="바탕"/>
                      <w:sz w:val="18"/>
                    </w:rPr>
                    <w:t>Rahul Malhotra</w:t>
                  </w:r>
                </w:p>
              </w:tc>
              <w:tc>
                <w:tcPr>
                  <w:tcW w:type="dxa" w:w="2429"/>
                </w:tcPr>
                <w:p>
                  <w:r>
                    <w:rPr>
                      <w:rFonts w:ascii="Times New Roman" w:hAnsi="Times New Roman" w:eastAsia="바탕"/>
                      <w:sz w:val="18"/>
                    </w:rPr>
                    <w:t>Associate Professor</w:t>
                  </w:r>
                </w:p>
              </w:tc>
              <w:tc>
                <w:tcPr>
                  <w:tcW w:type="dxa" w:w="2429"/>
                </w:tcPr>
                <w:p>
                  <w:r>
                    <w:rPr>
                      <w:rFonts w:ascii="Times New Roman" w:hAnsi="Times New Roman" w:eastAsia="바탕"/>
                      <w:sz w:val="18"/>
                    </w:rPr>
                    <w:t>Duke-NUS Medical School</w:t>
                  </w:r>
                </w:p>
              </w:tc>
              <w:tc>
                <w:tcPr>
                  <w:tcW w:type="dxa" w:w="2429"/>
                </w:tcPr>
                <w:p>
                  <w:r>
                    <w:rPr>
                      <w:rFonts w:ascii="Times New Roman" w:hAnsi="Times New Roman" w:eastAsia="바탕"/>
                      <w:sz w:val="18"/>
                    </w:rPr>
                    <w:t>Pictograms need to validated for understanding before use</w:t>
                  </w:r>
                </w:p>
              </w:tc>
            </w:tr>
            <w:tr>
              <w:tc>
                <w:tcPr>
                  <w:tcW w:type="dxa" w:w="2429"/>
                </w:tcPr>
                <w:p>
                  <w:r>
                    <w:rPr>
                      <w:rFonts w:ascii="Times New Roman" w:hAnsi="Times New Roman" w:eastAsia="바탕"/>
                      <w:sz w:val="18"/>
                    </w:rPr>
                    <w:t>Sung-il Cho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Seoul National University</w:t>
                  </w:r>
                </w:p>
              </w:tc>
              <w:tc>
                <w:tcPr>
                  <w:tcW w:type="dxa" w:w="2429"/>
                </w:tcPr>
                <w:p>
                  <w:r>
                    <w:rPr>
                      <w:rFonts w:ascii="Times New Roman" w:hAnsi="Times New Roman" w:eastAsia="바탕"/>
                      <w:sz w:val="18"/>
                    </w:rPr>
                    <w:t>They may not know what the picture means, or may interpret it wrongly.</w:t>
                  </w:r>
                </w:p>
              </w:tc>
            </w:tr>
            <w:tr>
              <w:tc>
                <w:tcPr>
                  <w:tcW w:type="dxa" w:w="2429"/>
                </w:tcPr>
                <w:p>
                  <w:r>
                    <w:rPr>
                      <w:rFonts w:ascii="Times New Roman" w:hAnsi="Times New Roman" w:eastAsia="바탕"/>
                      <w:sz w:val="18"/>
                    </w:rPr>
                    <w:t>So-Young Lee</w:t>
                  </w:r>
                </w:p>
              </w:tc>
              <w:tc>
                <w:tcPr>
                  <w:tcW w:type="dxa" w:w="2429"/>
                </w:tcPr>
                <w:p>
                  <w:r>
                    <w:rPr>
                      <w:rFonts w:ascii="Times New Roman" w:hAnsi="Times New Roman" w:eastAsia="바탕"/>
                      <w:sz w:val="18"/>
                    </w:rPr>
                    <w:t>Professor and pharmacist</w:t>
                  </w:r>
                </w:p>
              </w:tc>
              <w:tc>
                <w:tcPr>
                  <w:tcW w:type="dxa" w:w="2429"/>
                </w:tcPr>
                <w:p>
                  <w:r>
                    <w:rPr>
                      <w:rFonts w:ascii="Times New Roman" w:hAnsi="Times New Roman" w:eastAsia="바탕"/>
                      <w:sz w:val="18"/>
                    </w:rPr>
                    <w:t>Chungnam National University</w:t>
                  </w:r>
                </w:p>
              </w:tc>
              <w:tc>
                <w:tcPr>
                  <w:tcW w:type="dxa" w:w="2429"/>
                </w:tcPr>
                <w:p>
                  <w:r>
                    <w:rPr>
                      <w:rFonts w:ascii="Times New Roman" w:hAnsi="Times New Roman" w:eastAsia="바탕"/>
                      <w:sz w:val="18"/>
                    </w:rPr>
                    <w:t>For someone who cannot read and is also elderly, even pressing to hear the audio may be difficult. In that case it would be good to refine the pictures further so that the meaning shows from the picture alone.</w:t>
                  </w:r>
                </w:p>
              </w:tc>
            </w:tr>
            <w:tr>
              <w:tc>
                <w:tcPr>
                  <w:tcW w:type="dxa" w:w="2429"/>
                </w:tcPr>
                <w:p>
                  <w:r>
                    <w:rPr>
                      <w:rFonts w:ascii="Times New Roman" w:hAnsi="Times New Roman" w:eastAsia="바탕"/>
                      <w:sz w:val="18"/>
                    </w:rPr>
                    <w:t>Myojung Choi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Presenting information on a multi-channel cognitive basis, combining pictogram and sound, seems the right direction. Where one pictogram contains a lot of information, however, clarity of perception can fall, so it needs simplifying around the core information.</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It is clear and concise</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Although the demonstration screens are visually clear, several critical limitations remain. Many individual pictograms are highly abstract, including symbols representing treatment completion, dosage quantity, administration timing, and warning or prohibition messages. Without prior training or accompanying text, patients may misinterpret the prescribed dose, the timing of medication in relation to meals, or the intended meaning of specific warning icons. The project itself acknowledges that the pictograms have not yet undergone formal comprehension testing. In addition, the speech component is currently available only in English. While the rewritten audio represents a significant improvement over conventional text-to-speech, patients who cannot read the accompanying text and do not understand spoken English must rely exclusively on pictograms. Furthermore, clinically important information may still be lost or inaccurately conveyed through a purely visual and limited audio approach. Distinctions such as "30 minutes after meals" versus "with food," "wash hands before use" as a required sequence of actions, "contraindicated during pregnancy" versus "use with caution while breastfeeding," or whether refrigeration is mandatory or merely recommended are essential for safe medication use but are not guaranteed to be communicated accurately by pictograms alone. The system lacks a teach-back or confirmation mechanism that would allow patients to verify that they have correctly understood the instructions. From a patient safety perspective, the absence of such a feedback loop represents a significant risk, particularly for individuals with limited literacy.</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In second example, the prescription read not to use the eyedrops in pregnancy while the pictogram showed a pregnant woman making the patient assume it is safe to use in pregnancy.</w:t>
                  </w:r>
                </w:p>
              </w:tc>
            </w:tr>
            <w:tr>
              <w:tc>
                <w:tcPr>
                  <w:tcW w:type="dxa" w:w="2429"/>
                </w:tcPr>
                <w:p>
                  <w:r>
                    <w:rPr>
                      <w:rFonts w:ascii="Times New Roman" w:hAnsi="Times New Roman" w:eastAsia="바탕"/>
                      <w:sz w:val="18"/>
                    </w:rPr>
                    <w:t>Srikanth Malavalli Siddalingegwod</w:t>
                  </w:r>
                </w:p>
              </w:tc>
              <w:tc>
                <w:tcPr>
                  <w:tcW w:type="dxa" w:w="2429"/>
                </w:tcPr>
                <w:p>
                  <w:r>
                    <w:rPr>
                      <w:rFonts w:ascii="Times New Roman" w:hAnsi="Times New Roman" w:eastAsia="바탕"/>
                      <w:sz w:val="18"/>
                    </w:rPr>
                    <w:t>Assistant Professor</w:t>
                  </w:r>
                </w:p>
              </w:tc>
              <w:tc>
                <w:tcPr>
                  <w:tcW w:type="dxa" w:w="2429"/>
                </w:tcPr>
                <w:p>
                  <w:r>
                    <w:rPr>
                      <w:rFonts w:ascii="Times New Roman" w:hAnsi="Times New Roman" w:eastAsia="바탕"/>
                      <w:sz w:val="18"/>
                    </w:rPr>
                    <w:t>JSS College of Pharmacy</w:t>
                  </w:r>
                </w:p>
              </w:tc>
              <w:tc>
                <w:tcPr>
                  <w:tcW w:type="dxa" w:w="2429"/>
                </w:tcPr>
                <w:p>
                  <w:r>
                    <w:rPr>
                      <w:rFonts w:ascii="Times New Roman" w:hAnsi="Times New Roman" w:eastAsia="바탕"/>
                      <w:sz w:val="18"/>
                    </w:rPr>
                    <w:t>it will be a so much helpful lot of patient with disabilities and illiterate.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r>
                  <w:r>
                    <w:rPr>
                      <w:rFonts w:ascii="Times New Roman" w:hAnsi="Times New Roman" w:eastAsia="바탕"/>
                      <w:sz w:val="18"/>
                    </w:rPr>
                    <w:t xml:space="preserve">I am assuming you are expecting the person to use this on a tablet /phone, however the user's communication aid may have a very different interface so your app may not be totally accessible to them - make sure you have checked all W3C WCAG 2.2. criteria for mobile devices </w:t>
                  </w:r>
                  <w:hyperlink r:id="rId67">
                    <w:r>
                      <w:rPr>
                        <w:rPr>
                          <w:rFonts w:ascii="Times New Roman" w:hAnsi="Times New Roman" w:eastAsia="바탕"/>
                          <w:sz w:val="18"/>
                        </w:rPr>
                        <w:color w:val="0563C1"/>
                        <w:u w:val="single"/>
                      </w:rPr>
                      <w:t xml:space="preserve">https://www.w3.org/TR/wcag2mobile-22/</w:t>
                    </w:r>
                  </w:hyperlink>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Based on what I have just seen, I think that the provided information are sufficient/detailed enough so the patient can that the medicine correctly.</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Pharmacy Lecturer</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Some symbols need to be improvise to make it self explanatory. Once a day dose, I dont see the relationship by just looking at the capsule symbol with 1 dot means once a day without hearing the audio for explanation. Putting a pregnant mother symbol does not explains that it is not safe for pregnant mother to consume the meds. Perhaps you will need to add a "X" symbol somewhere in the picture</w:t>
                  </w:r>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Differences between individuals are likely to arise from health literacy, digital literacy and variation in individual health status.</w:t>
                  </w:r>
                </w:p>
              </w:tc>
            </w:tr>
          </w:tbl>
          <w:p/>
          <w:p>
            <w:pPr>
              <w:spacing w:after="120"/>
            </w:pPr>
          </w:p>
          <w:p>
            <w:pPr>
              <w:spacing w:after="80" w:line="276" w:lineRule="auto"/>
              <w:jc w:val="both"/>
            </w:pPr>
            <w:r>
              <w:rPr>
                <w:rFonts w:ascii="Times New Roman" w:hAnsi="Times New Roman" w:eastAsia="바탕"/>
                <w:b/>
                <w:sz w:val="20"/>
              </w:rPr>
              <w:t>Places likely to be misread</w:t>
            </w:r>
            <w:r>
              <w:rPr>
                <w:rFonts w:ascii="Times New Roman" w:hAnsi="Times New Roman" w:eastAsia="바탕"/>
                <w:sz w:val="20"/>
              </w:rPr>
              <w:t xml:space="preserve"> (9)</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Eun-Kyoung Kim</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Kongju National University</w:t>
                  </w:r>
                </w:p>
              </w:tc>
              <w:tc>
                <w:tcPr>
                  <w:tcW w:type="dxa" w:w="2429"/>
                </w:tcPr>
                <w:p>
                  <w:r>
                    <w:rPr>
                      <w:rFonts w:ascii="Times New Roman" w:hAnsi="Times New Roman" w:eastAsia="바탕"/>
                      <w:sz w:val="18"/>
                    </w:rPr>
                    <w:t>The markings for 'you must do this' and 'you must not' do not seem properly distinguished. The 'must not' in particular ought to be emphasised, I think.</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Going deeper, an image database for every medicine would probably be needed. It is rare to be prescribed a single tablet alone, and when several medicines are prescribed the instructions for each may differ, so you may have to start from telling the medicines apart. The images clearly reflect a lot of thought, but they need to land more intuitively. The image for washing your hands before taking it, for instance, is not intuitive. A hand under a running tap would come across far better. In fact many pictograms of this kind have already been developed, so it would be good to consult and borrow from them. If the meaning is conveyed to some degree by the picture before any spoken explanation, the meaning of the prescription would come across far more easily.</w:t>
                  </w:r>
                </w:p>
              </w:tc>
            </w:tr>
            <w:tr>
              <w:tc>
                <w:tcPr>
                  <w:tcW w:type="dxa" w:w="2429"/>
                </w:tcPr>
                <w:p>
                  <w:r>
                    <w:rPr>
                      <w:rFonts w:ascii="Times New Roman" w:hAnsi="Times New Roman" w:eastAsia="바탕"/>
                      <w:sz w:val="18"/>
                    </w:rPr>
                    <w:t>Myojung Choi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If additional information is presented as small images inside the eye-drop bottle pictogram, the information overlaps and legibility can fall. Presenting 'eye drops' or 'tablet' early and separating details such as morning and evening use or two drops per dose from the bottle image would be clearer.</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The picture is more aligned to people who cannot read without under estimating their intelligence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think the size of the icons with dawn, midday and sun down may be a problem so you may want to offer magnification if possible.  Also the complexity of some may require some learning which can be hard for those with lower IQ and comprehension or even audio or visual perceptual difficulties.</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fridge vs at mid-day Maybe at least two colours would be beneficial to some patients - black + red (warnings), black+yellow (for day); ...</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Pharmacy Lecturer</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Yes.</w:t>
                  </w:r>
                </w:p>
              </w:tc>
            </w:tr>
            <w:tr>
              <w:tc>
                <w:tcPr>
                  <w:tcW w:type="dxa" w:w="2429"/>
                </w:tcPr>
                <w:p>
                  <w:r>
                    <w:rPr>
                      <w:rFonts w:ascii="Times New Roman" w:hAnsi="Times New Roman" w:eastAsia="바탕"/>
                      <w:sz w:val="18"/>
                    </w:rPr>
                    <w:t>Myoungsoon You</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Seoul National University</w:t>
                  </w:r>
                </w:p>
              </w:tc>
              <w:tc>
                <w:tcPr>
                  <w:tcW w:type="dxa" w:w="2429"/>
                </w:tcPr>
                <w:p>
                  <w:r>
                    <w:rPr>
                      <w:rFonts w:ascii="Times New Roman" w:hAnsi="Times New Roman" w:eastAsia="바탕"/>
                      <w:sz w:val="18"/>
                    </w:rPr>
                    <w:t>The half picture.</w:t>
                  </w:r>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For the black icons: when the egg allergy marking is presented in black and white only, it is hard to tell clearly that it is an egg. Icons need to be drawn as images matching the real thing.</w:t>
                  </w:r>
                </w:p>
              </w:tc>
            </w:tr>
          </w:tbl>
          <w:p/>
          <w:p>
            <w:pPr>
              <w:spacing w:after="120"/>
            </w:pPr>
          </w:p>
          <w:p>
            <w:pPr>
              <w:spacing w:after="80" w:line="276" w:lineRule="auto"/>
              <w:jc w:val="both"/>
            </w:pPr>
            <w:r>
              <w:rPr>
                <w:rFonts w:ascii="Times New Roman" w:hAnsi="Times New Roman" w:eastAsia="바탕"/>
                <w:b/>
                <w:sz w:val="20"/>
              </w:rPr>
              <w:t>What you consider to be wrong with it</w:t>
            </w:r>
            <w:r>
              <w:rPr>
                <w:rFonts w:ascii="Times New Roman" w:hAnsi="Times New Roman" w:eastAsia="바탕"/>
                <w:sz w:val="20"/>
              </w:rPr>
              <w:t xml:space="preserve"> (3)</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Raisa Kravchenko</w:t>
                  </w:r>
                </w:p>
              </w:tc>
              <w:tc>
                <w:tcPr>
                  <w:tcW w:type="dxa" w:w="2429"/>
                </w:tcPr>
                <w:p>
                  <w:r>
                    <w:rPr>
                      <w:rFonts w:ascii="Times New Roman" w:hAnsi="Times New Roman" w:eastAsia="바탕"/>
                      <w:sz w:val="18"/>
                    </w:rPr>
                    <w:t>Deputy Director</w:t>
                  </w:r>
                </w:p>
              </w:tc>
              <w:tc>
                <w:tcPr>
                  <w:tcW w:type="dxa" w:w="2429"/>
                </w:tcPr>
                <w:p>
                  <w:r>
                    <w:rPr>
                      <w:rFonts w:ascii="Times New Roman" w:hAnsi="Times New Roman" w:eastAsia="바탕"/>
                      <w:sz w:val="18"/>
                    </w:rPr>
                    <w:t>All Ukrainian NGO Coalition</w:t>
                  </w:r>
                </w:p>
              </w:tc>
              <w:tc>
                <w:tcPr>
                  <w:tcW w:type="dxa" w:w="2429"/>
                </w:tcPr>
                <w:p>
                  <w:r>
                    <w:rPr>
                      <w:rFonts w:ascii="Times New Roman" w:hAnsi="Times New Roman" w:eastAsia="바탕"/>
                      <w:sz w:val="18"/>
                    </w:rPr>
                    <w:t>The soulds are perfect. But the way the pictogram are depicted should be improved and tested with persons with intellectual disfunctions</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Universidade de Lisboa</w:t>
                  </w:r>
                </w:p>
              </w:tc>
              <w:tc>
                <w:tcPr>
                  <w:tcW w:type="dxa" w:w="2429"/>
                </w:tcPr>
                <w:p>
                  <w:r>
                    <w:rPr>
                      <w:rFonts w:ascii="Times New Roman" w:hAnsi="Times New Roman" w:eastAsia="바탕"/>
                      <w:sz w:val="18"/>
                    </w:rPr>
                    <w:t>The design needs robust testing. It looks to me that interpretation errors may happen, especially in cross-cultural practice.</w:t>
                  </w:r>
                </w:p>
              </w:tc>
            </w:tr>
            <w:tr>
              <w:tc>
                <w:tcPr>
                  <w:tcW w:type="dxa" w:w="2429"/>
                </w:tcPr>
                <w:p>
                  <w:r>
                    <w:rPr>
                      <w:rFonts w:ascii="Times New Roman" w:hAnsi="Times New Roman" w:eastAsia="바탕"/>
                      <w:sz w:val="18"/>
                    </w:rPr>
                    <w:t>Mustapha Taibi</w:t>
                  </w:r>
                </w:p>
              </w:tc>
              <w:tc>
                <w:tcPr>
                  <w:tcW w:type="dxa" w:w="2429"/>
                </w:tcPr>
                <w:p>
                  <w:r>
                    <w:rPr>
                      <w:rFonts w:ascii="Times New Roman" w:hAnsi="Times New Roman" w:eastAsia="바탕"/>
                      <w:sz w:val="18"/>
                    </w:rPr>
                    <w:t>Professor of Translation and Interpreting</w:t>
                  </w:r>
                </w:p>
              </w:tc>
              <w:tc>
                <w:tcPr>
                  <w:tcW w:type="dxa" w:w="2429"/>
                </w:tcPr>
                <w:p>
                  <w:r>
                    <w:rPr>
                      <w:rFonts w:ascii="Times New Roman" w:hAnsi="Times New Roman" w:eastAsia="바탕"/>
                      <w:sz w:val="18"/>
                    </w:rPr>
                    <w:t>Western Sydney University</w:t>
                  </w:r>
                </w:p>
              </w:tc>
              <w:tc>
                <w:tcPr>
                  <w:tcW w:type="dxa" w:w="2429"/>
                </w:tcPr>
                <w:p>
                  <w:r>
                    <w:rPr>
                      <w:rFonts w:ascii="Times New Roman" w:hAnsi="Times New Roman" w:eastAsia="바탕"/>
                      <w:sz w:val="18"/>
                    </w:rPr>
                    <w:t>N/A</w:t>
                  </w:r>
                </w:p>
              </w:tc>
            </w:tr>
          </w:tbl>
          <w:p/>
          <w:p>
            <w:pPr>
              <w:spacing w:after="120"/>
            </w:pPr>
          </w:p>
          <w:p>
            <w:pPr>
              <w:spacing w:after="80" w:line="276" w:lineRule="auto"/>
              <w:jc w:val="both"/>
            </w:pPr>
            <w:r>
              <w:rPr>
                <w:rFonts w:ascii="Times New Roman" w:hAnsi="Times New Roman" w:eastAsia="바탕"/>
                <w:b/>
                <w:sz w:val="20"/>
              </w:rPr>
              <w:t>How you see the project as a whole</w:t>
            </w:r>
            <w:r>
              <w:rPr>
                <w:rFonts w:ascii="Times New Roman" w:hAnsi="Times New Roman" w:eastAsia="바탕"/>
                <w:sz w:val="20"/>
              </w:rPr>
              <w:t xml:space="preserve"> (3)</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Raisa Kravchenko</w:t>
                  </w:r>
                </w:p>
              </w:tc>
              <w:tc>
                <w:tcPr>
                  <w:tcW w:type="dxa" w:w="2429"/>
                </w:tcPr>
                <w:p>
                  <w:r>
                    <w:rPr>
                      <w:rFonts w:ascii="Times New Roman" w:hAnsi="Times New Roman" w:eastAsia="바탕"/>
                      <w:sz w:val="18"/>
                    </w:rPr>
                    <w:t>Deputy Director</w:t>
                  </w:r>
                </w:p>
              </w:tc>
              <w:tc>
                <w:tcPr>
                  <w:tcW w:type="dxa" w:w="2429"/>
                </w:tcPr>
                <w:p>
                  <w:r>
                    <w:rPr>
                      <w:rFonts w:ascii="Times New Roman" w:hAnsi="Times New Roman" w:eastAsia="바탕"/>
                      <w:sz w:val="18"/>
                    </w:rPr>
                    <w:t>All Ukrainian NGO Coalition</w:t>
                  </w:r>
                </w:p>
              </w:tc>
              <w:tc>
                <w:tcPr>
                  <w:tcW w:type="dxa" w:w="2429"/>
                </w:tcPr>
                <w:p>
                  <w:r>
                    <w:rPr>
                      <w:rFonts w:ascii="Times New Roman" w:hAnsi="Times New Roman" w:eastAsia="바탕"/>
                      <w:sz w:val="18"/>
                    </w:rPr>
                    <w:t>It is OK with problem framing and 2 ways of presentation of the medicine intake solutions.</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Universidade de Lisboa</w:t>
                  </w:r>
                </w:p>
              </w:tc>
              <w:tc>
                <w:tcPr>
                  <w:tcW w:type="dxa" w:w="2429"/>
                </w:tcPr>
                <w:p>
                  <w:r>
                    <w:rPr>
                      <w:rFonts w:ascii="Times New Roman" w:hAnsi="Times New Roman" w:eastAsia="바탕"/>
                      <w:sz w:val="18"/>
                    </w:rPr>
                    <w:t>The pictograms need to be tested in the real world to ascertain their utility in patient information and medication use.</w:t>
                  </w:r>
                </w:p>
              </w:tc>
            </w:tr>
            <w:tr>
              <w:tc>
                <w:tcPr>
                  <w:tcW w:type="dxa" w:w="2429"/>
                </w:tcPr>
                <w:p>
                  <w:r>
                    <w:rPr>
                      <w:rFonts w:ascii="Times New Roman" w:hAnsi="Times New Roman" w:eastAsia="바탕"/>
                      <w:sz w:val="18"/>
                    </w:rPr>
                    <w:t>Mustapha Taibi</w:t>
                  </w:r>
                </w:p>
              </w:tc>
              <w:tc>
                <w:tcPr>
                  <w:tcW w:type="dxa" w:w="2429"/>
                </w:tcPr>
                <w:p>
                  <w:r>
                    <w:rPr>
                      <w:rFonts w:ascii="Times New Roman" w:hAnsi="Times New Roman" w:eastAsia="바탕"/>
                      <w:sz w:val="18"/>
                    </w:rPr>
                    <w:t>Professor of Translation and Interpreting</w:t>
                  </w:r>
                </w:p>
              </w:tc>
              <w:tc>
                <w:tcPr>
                  <w:tcW w:type="dxa" w:w="2429"/>
                </w:tcPr>
                <w:p>
                  <w:r>
                    <w:rPr>
                      <w:rFonts w:ascii="Times New Roman" w:hAnsi="Times New Roman" w:eastAsia="바탕"/>
                      <w:sz w:val="18"/>
                    </w:rPr>
                    <w:t>Western Sydney University</w:t>
                  </w:r>
                </w:p>
              </w:tc>
              <w:tc>
                <w:tcPr>
                  <w:tcW w:type="dxa" w:w="2429"/>
                </w:tcPr>
                <w:p>
                  <w:r>
                    <w:rPr>
                      <w:rFonts w:ascii="Times New Roman" w:hAnsi="Times New Roman" w:eastAsia="바탕"/>
                      <w:sz w:val="18"/>
                    </w:rPr>
                    <w:t>The project is likely to solve an issue for people who are unable to read healthcare information. From my perspective, it looks straightforward and effective, but feedback needs to be sought from potential users.</w:t>
                  </w:r>
                </w:p>
              </w:tc>
            </w:tr>
          </w:tbl>
          <w:p/>
          <w:p>
            <w:pPr>
              <w:spacing w:after="120"/>
            </w:pPr>
          </w:p>
          <w:p>
            <w:pPr>
              <w:spacing w:after="80" w:line="276" w:lineRule="auto"/>
              <w:jc w:val="both"/>
            </w:pPr>
            <w:r>
              <w:rPr>
                <w:rFonts w:ascii="Times New Roman" w:hAnsi="Times New Roman" w:eastAsia="바탕"/>
                <w:b/>
                <w:sz w:val="20"/>
              </w:rPr>
              <w:t>References worth consulting</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Universidade de Lisboa</w:t>
                  </w:r>
                </w:p>
              </w:tc>
              <w:tc>
                <w:tcPr>
                  <w:tcW w:type="dxa" w:w="2429"/>
                </w:tcPr>
                <w:p>
                  <w:r>
                    <w:rPr>
                      <w:rFonts w:ascii="Times New Roman" w:hAnsi="Times New Roman" w:eastAsia="바탕"/>
                      <w:sz w:val="18"/>
                    </w:rPr>
                    <w:t>.</w:t>
                  </w:r>
                  <w:r>
                    <w:rPr>
                      <w:rFonts w:ascii="Times New Roman" w:hAnsi="Times New Roman" w:eastAsia="바탕"/>
                      <w:sz w:val="18"/>
                    </w:rPr>
                    <w:t xml:space="preserve">Maybe you can consult the "International Organization for Standardization. ISO 9186-1:2014. Graphical symbols – Test methods – Part 1: Method for testing comprehensibility. Geneva: ISO; 2014." Additionally, there is a recent paper: </w:t>
                  </w:r>
                  <w:hyperlink r:id="rId68">
                    <w:r>
                      <w:rPr>
                        <w:rPr>
                          <w:rFonts w:ascii="Times New Roman" w:hAnsi="Times New Roman" w:eastAsia="바탕"/>
                          <w:sz w:val="18"/>
                        </w:rPr>
                        <w:color w:val="0563C1"/>
                        <w:u w:val="single"/>
                      </w:rPr>
                      <w:t xml:space="preserve">https://pubmed.ncbi.nlm.nih.gov/37214531/</w:t>
                    </w:r>
                  </w:hyperlink>
                </w:p>
              </w:tc>
            </w:tr>
          </w:tbl>
          <w:p/>
          <w:p>
            <w:pPr>
              <w:spacing w:after="120"/>
            </w:pPr>
          </w:p>
          <w:p>
            <w:pPr>
              <w:spacing w:after="80" w:line="276" w:lineRule="auto"/>
              <w:jc w:val="both"/>
            </w:pPr>
            <w:r>
              <w:rPr>
                <w:rFonts w:ascii="Times New Roman" w:hAnsi="Times New Roman" w:eastAsia="바탕"/>
                <w:b/>
                <w:sz w:val="20"/>
              </w:rPr>
              <w:t>How you see it as a whole, from a pharmacy standpoint</w:t>
            </w:r>
            <w:r>
              <w:rPr>
                <w:rFonts w:ascii="Times New Roman" w:hAnsi="Times New Roman" w:eastAsia="바탕"/>
                <w:sz w:val="20"/>
              </w:rPr>
              <w:t xml:space="preserve"> (4)</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So-Young Lee</w:t>
                  </w:r>
                </w:p>
              </w:tc>
              <w:tc>
                <w:tcPr>
                  <w:tcW w:type="dxa" w:w="2429"/>
                </w:tcPr>
                <w:p>
                  <w:r>
                    <w:rPr>
                      <w:rFonts w:ascii="Times New Roman" w:hAnsi="Times New Roman" w:eastAsia="바탕"/>
                      <w:sz w:val="18"/>
                    </w:rPr>
                    <w:t>Professor and pharmacist</w:t>
                  </w:r>
                </w:p>
              </w:tc>
              <w:tc>
                <w:tcPr>
                  <w:tcW w:type="dxa" w:w="2429"/>
                </w:tcPr>
                <w:p>
                  <w:r>
                    <w:rPr>
                      <w:rFonts w:ascii="Times New Roman" w:hAnsi="Times New Roman" w:eastAsia="바탕"/>
                      <w:sz w:val="18"/>
                    </w:rPr>
                    <w:t>Chungnam National University</w:t>
                  </w:r>
                </w:p>
              </w:tc>
              <w:tc>
                <w:tcPr>
                  <w:tcW w:type="dxa" w:w="2429"/>
                </w:tcPr>
                <w:p>
                  <w:r>
                    <w:rPr>
                      <w:rFonts w:ascii="Times New Roman" w:hAnsi="Times New Roman" w:eastAsia="바탕"/>
                      <w:sz w:val="18"/>
                    </w:rPr>
                    <w:t>It seems necessary to prevent situations where a patient discontinues medication on their own because of wrong information. For example, even a medicine that carries risk for pregnant women is sometimes prescribed after considering the patient's overall condition, and where the patient checks alone without any clinician's mediation, they may end up not receiving the drug therapy.</w:t>
                  </w:r>
                </w:p>
              </w:tc>
            </w:tr>
            <w:tr>
              <w:tc>
                <w:tcPr>
                  <w:tcW w:type="dxa" w:w="2429"/>
                </w:tcPr>
                <w:p>
                  <w:r>
                    <w:rPr>
                      <w:rFonts w:ascii="Times New Roman" w:hAnsi="Times New Roman" w:eastAsia="바탕"/>
                      <w:sz w:val="18"/>
                    </w:rPr>
                    <w:t>Srikanth Malavalli Siddalingegwod</w:t>
                  </w:r>
                </w:p>
              </w:tc>
              <w:tc>
                <w:tcPr>
                  <w:tcW w:type="dxa" w:w="2429"/>
                </w:tcPr>
                <w:p>
                  <w:r>
                    <w:rPr>
                      <w:rFonts w:ascii="Times New Roman" w:hAnsi="Times New Roman" w:eastAsia="바탕"/>
                      <w:sz w:val="18"/>
                    </w:rPr>
                    <w:t>Assistant Professor</w:t>
                  </w:r>
                </w:p>
              </w:tc>
              <w:tc>
                <w:tcPr>
                  <w:tcW w:type="dxa" w:w="2429"/>
                </w:tcPr>
                <w:p>
                  <w:r>
                    <w:rPr>
                      <w:rFonts w:ascii="Times New Roman" w:hAnsi="Times New Roman" w:eastAsia="바탕"/>
                      <w:sz w:val="18"/>
                    </w:rPr>
                    <w:t>JSS College of Pharmacy</w:t>
                  </w:r>
                </w:p>
              </w:tc>
              <w:tc>
                <w:tcPr>
                  <w:tcW w:type="dxa" w:w="2429"/>
                </w:tcPr>
                <w:p>
                  <w:r>
                    <w:rPr>
                      <w:rFonts w:ascii="Times New Roman" w:hAnsi="Times New Roman" w:eastAsia="바탕"/>
                      <w:sz w:val="18"/>
                    </w:rPr>
                    <w:t>Moreover, it will help to achieve proper medication adherence and to get desired therapeutic outcome</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I believe that the information from App should pass pharmacist during dispensing to ensure that patients do not receive conflicting information.</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Pharmacy Lecturer</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 xml:space="preserve"> Tumkur, A., Ingle, P., Ning, Q. L. S., Bustamin, N. A., Heng, T. K., Leen, C. T., &amp; Hatware, K. (2025). Evaluation of designed pharmaceutical pictograms among the Malaysian population. Clinical Epidemiology and Global Health, 34, 102115.</w:t>
                  </w:r>
                  <w:r>
                    <w:rPr>
                      <w:rFonts w:ascii="Times New Roman" w:hAnsi="Times New Roman" w:eastAsia="바탕"/>
                      <w:sz w:val="18"/>
                    </w:rPr>
                    <w:t xml:space="preserve">The symbols need to be self explanatory even can be use for the deaf and to minimise potential risk for being misinterpreted. Perhaps your team can check out the symbols used from other sources as well. e.g : </w:t>
                  </w:r>
                  <w:hyperlink r:id="rId69">
                    <w:r>
                      <w:rPr>
                        <w:rPr>
                          <w:rFonts w:ascii="Times New Roman" w:hAnsi="Times New Roman" w:eastAsia="바탕"/>
                          <w:sz w:val="18"/>
                        </w:rPr>
                        <w:color w:val="0563C1"/>
                        <w:u w:val="single"/>
                      </w:rPr>
                      <w:t xml:space="preserve">https://www.sciencedirect.com/science/article/pii/S2213398425002040</w:t>
                    </w:r>
                  </w:hyperlink>
                </w:p>
              </w:tc>
            </w:tr>
          </w:tbl>
          <w:p/>
          <w:p>
            <w:pPr>
              <w:spacing w:after="120"/>
            </w:pPr>
          </w:p>
          <w:p>
            <w:pPr>
              <w:spacing w:after="80" w:line="276" w:lineRule="auto"/>
              <w:jc w:val="both"/>
            </w:pPr>
            <w:r>
              <w:rPr>
                <w:rFonts w:ascii="Times New Roman" w:hAnsi="Times New Roman" w:eastAsia="바탕"/>
                <w:b/>
                <w:sz w:val="20"/>
              </w:rPr>
              <w:t>Why pharmacist review is needed</w:t>
            </w:r>
            <w:r>
              <w:rPr>
                <w:rFonts w:ascii="Times New Roman" w:hAnsi="Times New Roman" w:eastAsia="바탕"/>
                <w:sz w:val="20"/>
              </w:rPr>
              <w:t xml:space="preserve"> (3)</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So-Young Lee</w:t>
                  </w:r>
                </w:p>
              </w:tc>
              <w:tc>
                <w:tcPr>
                  <w:tcW w:type="dxa" w:w="2429"/>
                </w:tcPr>
                <w:p>
                  <w:r>
                    <w:rPr>
                      <w:rFonts w:ascii="Times New Roman" w:hAnsi="Times New Roman" w:eastAsia="바탕"/>
                      <w:sz w:val="18"/>
                    </w:rPr>
                    <w:t>Professor and pharmacist</w:t>
                  </w:r>
                </w:p>
              </w:tc>
              <w:tc>
                <w:tcPr>
                  <w:tcW w:type="dxa" w:w="2429"/>
                </w:tcPr>
                <w:p>
                  <w:r>
                    <w:rPr>
                      <w:rFonts w:ascii="Times New Roman" w:hAnsi="Times New Roman" w:eastAsia="바탕"/>
                      <w:sz w:val="18"/>
                    </w:rPr>
                    <w:t>Chungnam National University</w:t>
                  </w:r>
                </w:p>
              </w:tc>
              <w:tc>
                <w:tcPr>
                  <w:tcW w:type="dxa" w:w="2429"/>
                </w:tcPr>
                <w:p>
                  <w:r>
                    <w:rPr>
                      <w:rFonts w:ascii="Times New Roman" w:hAnsi="Times New Roman" w:eastAsia="바탕"/>
                      <w:sz w:val="18"/>
                    </w:rPr>
                    <w:t>There could also be cases of drug therapy being stopped because unnecessary information was given to the patient.</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Because the instructions have to be standardized/ validated for public use.</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The pharmacist is the last healthcare professional to interact with the patient before the medication reaches their hands and therefore has a crucial responsibility to ensure that appropriate and consistent information is provided</w:t>
                  </w:r>
                </w:p>
              </w:tc>
            </w:tr>
          </w:tbl>
          <w:p/>
          <w:p>
            <w:pPr>
              <w:spacing w:after="120"/>
            </w:pPr>
          </w:p>
          <w:p>
            <w:pPr>
              <w:spacing w:after="80" w:line="276" w:lineRule="auto"/>
              <w:jc w:val="both"/>
            </w:pPr>
            <w:r>
              <w:rPr>
                <w:rFonts w:ascii="Times New Roman" w:hAnsi="Times New Roman" w:eastAsia="바탕"/>
                <w:b/>
                <w:sz w:val="20"/>
              </w:rPr>
              <w:t>How this is handled in practice today</w:t>
            </w:r>
            <w:r>
              <w:rPr>
                <w:rFonts w:ascii="Times New Roman" w:hAnsi="Times New Roman" w:eastAsia="바탕"/>
                <w:sz w:val="20"/>
              </w:rPr>
              <w:t xml:space="preserve"> (7)</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Hwi-Yeol Yun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Chungnam National University College of Pharmacy</w:t>
                  </w:r>
                </w:p>
              </w:tc>
              <w:tc>
                <w:tcPr>
                  <w:tcW w:type="dxa" w:w="2429"/>
                </w:tcPr>
                <w:p>
                  <w:r>
                    <w:rPr>
                      <w:rFonts w:ascii="Times New Roman" w:hAnsi="Times New Roman" w:eastAsia="바탕"/>
                      <w:sz w:val="18"/>
                    </w:rPr>
                    <w:t>Among Koreans the rate of not being able to read is close to zero, so it is mainly foreign patients. We therefore explain in English.</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PhD, pharmacist</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Simplify the regimen. Embed something that can be feel by patient with visual impairment, such as  tearing the packages a bit.</w:t>
                  </w:r>
                </w:p>
              </w:tc>
            </w:tr>
            <w:tr>
              <w:tc>
                <w:tcPr>
                  <w:tcW w:type="dxa" w:w="2429"/>
                </w:tcPr>
                <w:p>
                  <w:r>
                    <w:rPr>
                      <w:rFonts w:ascii="Times New Roman" w:hAnsi="Times New Roman" w:eastAsia="바탕"/>
                      <w:sz w:val="18"/>
                    </w:rPr>
                    <w:t>Samirah Abdu-Aguye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Ahmadu Bello University, Zaria</w:t>
                  </w:r>
                </w:p>
              </w:tc>
              <w:tc>
                <w:tcPr>
                  <w:tcW w:type="dxa" w:w="2429"/>
                </w:tcPr>
                <w:p>
                  <w:r>
                    <w:rPr>
                      <w:rFonts w:ascii="Times New Roman" w:hAnsi="Times New Roman" w:eastAsia="바탕"/>
                      <w:sz w:val="18"/>
                    </w:rPr>
                    <w:t>Carefully explain to the patient, and have them repeat after me. Also talk to some other relative/caregiver of the patient</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The patient is thoroughly explained/ counselled about the medication. However, it is only the dose that is written on the label which the patient can refer to when taking the medication.</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Explain verbally, and ensure the patient understands how to use it correctly.</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Pharmacy Lecturer</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Draw pictures. Show them pictures from internet at dispensing counter</w:t>
                  </w:r>
                </w:p>
              </w:tc>
            </w:tr>
            <w:tr>
              <w:tc>
                <w:tcPr>
                  <w:tcW w:type="dxa" w:w="2429"/>
                </w:tcPr>
                <w:p>
                  <w:r>
                    <w:rPr>
                      <w:rFonts w:ascii="Times New Roman" w:hAnsi="Times New Roman" w:eastAsia="바탕"/>
                      <w:sz w:val="18"/>
                    </w:rPr>
                    <w:t>Hangil Lee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Ewha Womans University</w:t>
                  </w:r>
                </w:p>
              </w:tc>
              <w:tc>
                <w:tcPr>
                  <w:tcW w:type="dxa" w:w="2429"/>
                </w:tcPr>
                <w:p>
                  <w:r>
                    <w:rPr>
                      <w:rFonts w:ascii="Times New Roman" w:hAnsi="Times New Roman" w:eastAsia="바탕"/>
                      <w:sz w:val="18"/>
                    </w:rPr>
                    <w:t>Apart from patients with obvious visual impairment, there are cases where it is hard to tell straight away whether someone can read. Being totally blind and therefore unable to see text, having low vision, and having low literacy have to be distinguished. I think pictograms can help in the low-literacy case.</w:t>
                  </w:r>
                </w:p>
              </w:tc>
            </w:tr>
          </w:tbl>
          <w:p/>
          <w:p>
            <w:pPr>
              <w:spacing w:after="120"/>
            </w:pPr>
          </w:p>
          <w:p>
            <w:pPr>
              <w:spacing w:after="80" w:line="276" w:lineRule="auto"/>
              <w:jc w:val="both"/>
            </w:pPr>
            <w:r>
              <w:rPr>
                <w:rFonts w:ascii="Times New Roman" w:hAnsi="Times New Roman" w:eastAsia="바탕"/>
                <w:b/>
                <w:sz w:val="20"/>
              </w:rPr>
              <w:t>What must not be wrong medically</w:t>
            </w:r>
            <w:r>
              <w:rPr>
                <w:rFonts w:ascii="Times New Roman" w:hAnsi="Times New Roman" w:eastAsia="바탕"/>
                <w:sz w:val="20"/>
              </w:rPr>
              <w:t xml:space="preserve"> (4)</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PhD, pharmacist</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To tell the medicines apart (when a patient receive many medicines at the same time). It still hard for the patients to tell which medicine is 3 times a day, which medicine should be stopped when symptoms gone, etc</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Plenty of things. In first example, the amoxicillin capsule is given in three times a day. First pictogram is although correct, but does not depict that patient has to take ONLY ONE capsule three times daily. It is followed by three separate pictograms depicting morning, evening and night. Such confusions shall be dealt beforehand. Similarly, drug disease interactions are also missing. And etc...</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Interactions with other medicines/OTC/dietary supplements/health-care condition that may be clinically significant.</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Pharmacy Lecturer</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The symbol do not show what it means. For me it means I do not need to finish the course as your black dots did not complete the fully. you may want to add a arrow symbol for direction so that its clearer?</w:t>
                  </w:r>
                </w:p>
              </w:tc>
            </w:tr>
          </w:tbl>
          <w:p/>
          <w:p>
            <w:pPr>
              <w:spacing w:after="120"/>
            </w:pPr>
          </w:p>
          <w:p>
            <w:pPr>
              <w:spacing w:after="80" w:line="276" w:lineRule="auto"/>
              <w:jc w:val="both"/>
            </w:pPr>
            <w:r>
              <w:rPr>
                <w:rFonts w:ascii="Times New Roman" w:hAnsi="Times New Roman" w:eastAsia="바탕"/>
                <w:b/>
                <w:sz w:val="20"/>
              </w:rPr>
              <w:t>What must not be conveyed by picture and speech alone</w:t>
            </w:r>
            <w:r>
              <w:rPr>
                <w:rFonts w:ascii="Times New Roman" w:hAnsi="Times New Roman" w:eastAsia="바탕"/>
                <w:sz w:val="20"/>
              </w:rPr>
              <w:t xml:space="preserve"> (5)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PhD, pharmacist</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Instead of 3 times a day, better to say every 8 hours</w:t>
                  </w:r>
                </w:p>
              </w:tc>
            </w:tr>
            <w:tr>
              <w:tc>
                <w:tcPr>
                  <w:tcW w:type="dxa" w:w="2429"/>
                </w:tcPr>
                <w:p>
                  <w:r>
                    <w:rPr>
                      <w:rFonts w:ascii="Times New Roman" w:hAnsi="Times New Roman" w:eastAsia="바탕"/>
                      <w:sz w:val="18"/>
                    </w:rPr>
                    <w:t>So-Young Lee</w:t>
                  </w:r>
                </w:p>
              </w:tc>
              <w:tc>
                <w:tcPr>
                  <w:tcW w:type="dxa" w:w="2429"/>
                </w:tcPr>
                <w:p>
                  <w:r>
                    <w:rPr>
                      <w:rFonts w:ascii="Times New Roman" w:hAnsi="Times New Roman" w:eastAsia="바탕"/>
                      <w:sz w:val="18"/>
                    </w:rPr>
                    <w:t>Professor and pharmacist</w:t>
                  </w:r>
                </w:p>
              </w:tc>
              <w:tc>
                <w:tcPr>
                  <w:tcW w:type="dxa" w:w="2429"/>
                </w:tcPr>
                <w:p>
                  <w:r>
                    <w:rPr>
                      <w:rFonts w:ascii="Times New Roman" w:hAnsi="Times New Roman" w:eastAsia="바탕"/>
                      <w:sz w:val="18"/>
                    </w:rPr>
                    <w:t>Chungnam National University</w:t>
                  </w:r>
                </w:p>
              </w:tc>
              <w:tc>
                <w:tcPr>
                  <w:tcW w:type="dxa" w:w="2429"/>
                </w:tcPr>
                <w:p>
                  <w:r>
                    <w:rPr>
                      <w:rFonts w:ascii="Times New Roman" w:hAnsi="Times New Roman" w:eastAsia="바탕"/>
                      <w:sz w:val="18"/>
                    </w:rPr>
                    <w:t>For drug interactions too, even where the dose of the co-administered drug has been reduced in consideration of it, or the prescription has already been adjusted, seeing such a warning may lead the patient to stop the therapy on their own. In clinical situations a drug is sometimes used for the patient's treatment in full knowledge of an interaction.</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Except first, actually all of the above because the pictograms can be used as a reference by the patient at home to recall the message that was given by the pharmacist.</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Instruction to contact MD or pharmacist.</w:t>
                  </w:r>
                </w:p>
              </w:tc>
            </w:tr>
            <w:tr>
              <w:tc>
                <w:tcPr>
                  <w:tcW w:type="dxa" w:w="2429"/>
                </w:tcPr>
                <w:p>
                  <w:r>
                    <w:rPr>
                      <w:rFonts w:ascii="Times New Roman" w:hAnsi="Times New Roman" w:eastAsia="바탕"/>
                      <w:sz w:val="18"/>
                    </w:rPr>
                    <w:t>Hangil Lee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Ewha Womans University</w:t>
                  </w:r>
                </w:p>
              </w:tc>
              <w:tc>
                <w:tcPr>
                  <w:tcW w:type="dxa" w:w="2429"/>
                </w:tcPr>
                <w:p>
                  <w:r>
                    <w:rPr>
                      <w:rFonts w:ascii="Times New Roman" w:hAnsi="Times New Roman" w:eastAsia="바탕"/>
                      <w:sz w:val="18"/>
                    </w:rPr>
                    <w:t>It is compound content, too much to explain by picture alone. Only one option could be selected so I chose contraindications, but side effects and cases needing dose adjustment are also places where a pharmacist's explanation is needed beyond the picture and the audio.</w:t>
                  </w:r>
                </w:p>
              </w:tc>
            </w:tr>
          </w:tbl>
          <w:p/>
          <w:p>
            <w:pPr>
              <w:spacing w:after="120"/>
            </w:pPr>
          </w:p>
          <w:p>
            <w:pPr>
              <w:spacing w:after="80" w:line="276" w:lineRule="auto"/>
              <w:jc w:val="both"/>
            </w:pPr>
            <w:r>
              <w:rPr>
                <w:rFonts w:ascii="Times New Roman" w:hAnsi="Times New Roman" w:eastAsia="바탕"/>
                <w:b/>
                <w:sz w:val="20"/>
              </w:rPr>
              <w:t>References worth consulting (pharmacy)</w:t>
            </w:r>
            <w:r>
              <w:rPr>
                <w:rFonts w:ascii="Times New Roman" w:hAnsi="Times New Roman" w:eastAsia="바탕"/>
                <w:sz w:val="20"/>
              </w:rPr>
              <w:t xml:space="preserve"> (4)</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Hwi-Yeol Yun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Chungnam National University College of Pharmacy</w:t>
                  </w:r>
                </w:p>
              </w:tc>
              <w:tc>
                <w:tcPr>
                  <w:tcW w:type="dxa" w:w="2429"/>
                </w:tcPr>
                <w:p>
                  <w:r>
                    <w:rPr>
                      <w:rFonts w:ascii="Times New Roman" w:hAnsi="Times New Roman" w:eastAsia="바탕"/>
                      <w:sz w:val="18"/>
                    </w:rPr>
                    <w:t xml:space="preserve"> — pictogram information for pharmacists worldwide can be found here.</w:t>
                  </w:r>
                  <w:hyperlink r:id="rId70">
                    <w:r>
                      <w:rPr>
                        <w:rPr>
                          <w:rFonts w:ascii="Times New Roman" w:hAnsi="Times New Roman" w:eastAsia="바탕"/>
                          <w:sz w:val="18"/>
                        </w:rPr>
                        <w:color w:val="0563C1"/>
                        <w:u w:val="single"/>
                      </w:rPr>
                      <w:t xml:space="preserve">https://health.kr/mediCounsel/pictogram.asp</w:t>
                    </w:r>
                  </w:hyperlink>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Yes, USP pictograms.</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Pharmacy Lecturer</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Tumkur, A., Ingle, P., Ning, Q. L. S., Bustamin, N. A., Heng, T. K., Leen, C. T., &amp; Hatware, K. (2025). Evaluation of designed pharmaceutical pictograms among the Malaysian population. Clinical Epidemiology and Global Health, 34, 102115.</w:t>
                  </w:r>
                </w:p>
              </w:tc>
            </w:tr>
            <w:tr>
              <w:tc>
                <w:tcPr>
                  <w:tcW w:type="dxa" w:w="2429"/>
                </w:tcPr>
                <w:p>
                  <w:r>
                    <w:rPr>
                      <w:rFonts w:ascii="Times New Roman" w:hAnsi="Times New Roman" w:eastAsia="바탕"/>
                      <w:sz w:val="18"/>
                    </w:rPr>
                    <w:t>Hangil Lee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Ewha Womans University</w:t>
                  </w:r>
                </w:p>
              </w:tc>
              <w:tc>
                <w:tcPr>
                  <w:tcW w:type="dxa" w:w="2429"/>
                </w:tcPr>
                <w:p>
                  <w:r>
                    <w:rPr>
                      <w:rFonts w:ascii="Times New Roman" w:hAnsi="Times New Roman" w:eastAsia="바탕"/>
                      <w:sz w:val="18"/>
                    </w:rPr>
                    <w:t>Yakhak Hoeji, a comparative analysis of domestic and international guidelines for braille labelling on medicines; and the Ministry of Food and Drug Safety guideline on braille and voice/sign-language conversion codes for medicines and quasi-drugs.</w:t>
                  </w:r>
                </w:p>
              </w:tc>
            </w:tr>
          </w:tbl>
          <w:p/>
          <w:p>
            <w:pPr>
              <w:spacing w:after="120"/>
            </w:pPr>
          </w:p>
          <w:p>
            <w:pPr>
              <w:spacing w:after="80" w:line="276" w:lineRule="auto"/>
              <w:jc w:val="both"/>
            </w:pPr>
            <w:r>
              <w:rPr>
                <w:rFonts w:ascii="Times New Roman" w:hAnsi="Times New Roman" w:eastAsia="바탕"/>
                <w:b/>
                <w:sz w:val="20"/>
              </w:rPr>
              <w:t>Whether it can fit the pharmacy workflow</w:t>
            </w:r>
            <w:r>
              <w:rPr>
                <w:rFonts w:ascii="Times New Roman" w:hAnsi="Times New Roman" w:eastAsia="바탕"/>
                <w:sz w:val="20"/>
              </w:rPr>
              <w:t xml:space="preserve"> (2)</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Pharmacy Lecturer</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however, please get professional advice especially from your local pharmacists on the appropriateness of the symbols in local contexts before you launch your apps</w:t>
                  </w:r>
                </w:p>
              </w:tc>
            </w:tr>
            <w:tr>
              <w:tc>
                <w:tcPr>
                  <w:tcW w:type="dxa" w:w="2429"/>
                </w:tcPr>
                <w:p>
                  <w:r>
                    <w:rPr>
                      <w:rFonts w:ascii="Times New Roman" w:hAnsi="Times New Roman" w:eastAsia="바탕"/>
                      <w:sz w:val="18"/>
                    </w:rPr>
                    <w:t>Hangil Lee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Ewha Womans University</w:t>
                  </w:r>
                </w:p>
              </w:tc>
              <w:tc>
                <w:tcPr>
                  <w:tcW w:type="dxa" w:w="2429"/>
                </w:tcPr>
                <w:p>
                  <w:r>
                    <w:rPr>
                      <w:rFonts w:ascii="Times New Roman" w:hAnsi="Times New Roman" w:eastAsia="바탕"/>
                      <w:sz w:val="18"/>
                    </w:rPr>
                    <w:t>The accuracy of the app has to be secured before its convenience for it to be usable in practice, and I think it should be used as an auxiliary tool for the pharmacist.</w:t>
                  </w:r>
                </w:p>
              </w:tc>
            </w:tr>
          </w:tbl>
          <w:p/>
          <w:p>
            <w:pPr>
              <w:spacing w:after="120"/>
            </w:pPr>
          </w:p>
          <w:p>
            <w:pPr>
              <w:spacing w:after="80" w:line="276" w:lineRule="auto"/>
              <w:jc w:val="both"/>
            </w:pPr>
            <w:r>
              <w:rPr>
                <w:rFonts w:ascii="Times New Roman" w:hAnsi="Times New Roman" w:eastAsia="바탕"/>
                <w:b/>
                <w:sz w:val="20"/>
              </w:rPr>
              <w:t>Whether it can change health outcomes</w:t>
            </w:r>
            <w:r>
              <w:rPr>
                <w:rFonts w:ascii="Times New Roman" w:hAnsi="Times New Roman" w:eastAsia="바탕"/>
                <w:sz w:val="20"/>
              </w:rPr>
              <w:t xml:space="preserve"> (5)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This will only work for typed text</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The project currently includes a well-defined problem diagnosis, a privacy-preserving technical architecture, a scalable pictogram composition method, and a rewritten speech system that provides conceptually richer communication than conventional text-to-speech approaches. However, many essential components are still missing before it can be considered an evidence-based public health intervention. In particular, the system has not yet demonstrated measured comprehension, quantified error rates, performance in real prescription settings, cultural validation, multilingual clinical accuracy, clearly defined safety boundaries, or any evidence of improving medication adherence or clinical outcomes. A major priority is the cultural, visual, and cognitive validation of the 78-morpheme pictogram set. This validation should involve testing across diverse populations differing in age, educational level, cultural background, and visual abilities to ensure broad interpretability. It is also necessary to verify that abstract pictograms, such as those representing treatment completion, alcohol consumption, or pregnancy, are consistently understood as intended and do not generate potentially harmful misunderstandings. Furthermore, accessibility must be evaluated for individuals with colour blindness, low vision, and cognitive impairments. Such validation is particularly important because pictograms that perform well among young, highly educated participants in Korea may not be equally effective or intuitive for the populations that stand to benefit most from this technology.</w:t>
                  </w:r>
                </w:p>
              </w:tc>
            </w:tr>
            <w:tr>
              <w:tc>
                <w:tcPr>
                  <w:tcW w:type="dxa" w:w="2429"/>
                </w:tcPr>
                <w:p>
                  <w:r>
                    <w:rPr>
                      <w:rFonts w:ascii="Times New Roman" w:hAnsi="Times New Roman" w:eastAsia="바탕"/>
                      <w:sz w:val="18"/>
                    </w:rPr>
                    <w:t>Minsun Song</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Konyang University</w:t>
                  </w:r>
                </w:p>
              </w:tc>
              <w:tc>
                <w:tcPr>
                  <w:tcW w:type="dxa" w:w="2429"/>
                </w:tcPr>
                <w:p>
                  <w:r>
                    <w:rPr>
                      <w:rFonts w:ascii="Times New Roman" w:hAnsi="Times New Roman" w:eastAsia="바탕"/>
                      <w:sz w:val="18"/>
                    </w:rPr>
                    <w:t>For older people with many chronic conditions, health outcomes can change if adherence improves.</w:t>
                  </w:r>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The conditions need to be met from a digital-literacy standpoint. How well people who cannot read understand and use mobile and digital devices has to be examined in advance, and with that in mind the app has to be built so that instructions are conveyed by speech or picture as simply as possible. (There is an instruction reading "select any that apply to you", for instance; if that instruction cannot be read, how is the app to be used well?) A good deal of the time people also fail to understand because the wording of medication instructions is difficult. Instructions conveyed by picture or recording will likewise have to be reconstructed in the plainest possible terms while still covering the medical meaning. Examining, from the same standpoint, whether vulnerable groups such as blind and deaf users can use it without difficulty would give a better project outcome.</w:t>
                  </w:r>
                </w:p>
              </w:tc>
            </w:tr>
            <w:tr>
              <w:tc>
                <w:tcPr>
                  <w:tcW w:type="dxa" w:w="2429"/>
                </w:tcPr>
                <w:p>
                  <w:r>
                    <w:rPr>
                      <w:rFonts w:ascii="Times New Roman" w:hAnsi="Times New Roman" w:eastAsia="바탕"/>
                      <w:sz w:val="18"/>
                    </w:rPr>
                    <w:t>Aliya Naheed</w:t>
                  </w:r>
                </w:p>
              </w:tc>
              <w:tc>
                <w:tcPr>
                  <w:tcW w:type="dxa" w:w="2429"/>
                </w:tcPr>
                <w:p>
                  <w:r>
                    <w:rPr>
                      <w:rFonts w:ascii="Times New Roman" w:hAnsi="Times New Roman" w:eastAsia="바탕"/>
                      <w:sz w:val="18"/>
                    </w:rPr>
                    <w:t>Senior Scientist</w:t>
                  </w:r>
                </w:p>
              </w:tc>
              <w:tc>
                <w:tcPr>
                  <w:tcW w:type="dxa" w:w="2429"/>
                </w:tcPr>
                <w:p>
                  <w:r>
                    <w:rPr>
                      <w:rFonts w:ascii="Times New Roman" w:hAnsi="Times New Roman" w:eastAsia="바탕"/>
                      <w:sz w:val="18"/>
                    </w:rPr>
                    <w:t>icddr,b</w:t>
                  </w:r>
                </w:p>
              </w:tc>
              <w:tc>
                <w:tcPr>
                  <w:tcW w:type="dxa" w:w="2429"/>
                </w:tcPr>
                <w:p>
                  <w:r>
                    <w:rPr>
                      <w:rFonts w:ascii="Times New Roman" w:hAnsi="Times New Roman" w:eastAsia="바탕"/>
                      <w:sz w:val="18"/>
                    </w:rPr>
                    <w:t>Affordability of the patient to purchase the medicines as per prescription for the full course.</w:t>
                  </w:r>
                </w:p>
              </w:tc>
            </w:tr>
          </w:tbl>
          <w:p/>
          <w:p>
            <w:pPr>
              <w:spacing w:after="120"/>
            </w:pPr>
          </w:p>
          <w:p>
            <w:pPr>
              <w:spacing w:after="80" w:line="276" w:lineRule="auto"/>
              <w:jc w:val="both"/>
            </w:pPr>
            <w:r>
              <w:rPr>
                <w:rFonts w:ascii="Times New Roman" w:hAnsi="Times New Roman" w:eastAsia="바탕"/>
                <w:b/>
                <w:sz w:val="20"/>
              </w:rPr>
              <w:t>How the effect should be measured</w:t>
            </w:r>
            <w:r>
              <w:rPr>
                <w:rFonts w:ascii="Times New Roman" w:hAnsi="Times New Roman" w:eastAsia="바탕"/>
                <w:sz w:val="20"/>
              </w:rPr>
              <w:t xml:space="preserve"> (4)</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Sung-il Cho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Seoul National University</w:t>
                  </w:r>
                </w:p>
              </w:tc>
              <w:tc>
                <w:tcPr>
                  <w:tcW w:type="dxa" w:w="2429"/>
                </w:tcPr>
                <w:p>
                  <w:r>
                    <w:rPr>
                      <w:rFonts w:ascii="Times New Roman" w:hAnsi="Times New Roman" w:eastAsia="바탕"/>
                      <w:sz w:val="18"/>
                    </w:rPr>
                    <w:t>All of 1, 2 and 3 above are possible.</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I suggest two instruments should be used the medication adherence and the K-HLAT-*, HLS Family</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Yes, counting dosing errors is the right method, but only under certain conditions. Testing must be done with people who truly have low or no literacy, not with educated volunteers. A pre-defined scoring rubric is required, with blinded raters, and the pictograms alone, the speech alone, and both together must be tested separately. The prescriptions used must be realistic, not just the clean demo examples. Even a low error rate only shows that the information is understood in the moment; it does not prove that the patient will take the medicine correctly over time or that health outcomes will improve. The language of the speech synthesis must match the participant’s language, otherwise the audio channel is effectively unusable.</w:t>
                  </w:r>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I answered health literacy, but since the purpose of this app is for a patient who cannot read to understand the medication instruction properly, what needs measuring is user satisfaction, users' perception of continued use, and the degree of improvement in convenience. An e-health literacy instrument looks like a tool to be used in advance, at the development stage.</w:t>
                  </w:r>
                </w:p>
              </w:tc>
            </w:tr>
          </w:tbl>
          <w:p/>
          <w:p>
            <w:pPr>
              <w:spacing w:after="120"/>
            </w:pPr>
          </w:p>
          <w:p>
            <w:pPr>
              <w:spacing w:after="80" w:line="276" w:lineRule="auto"/>
              <w:jc w:val="both"/>
            </w:pPr>
            <w:r>
              <w:rPr>
                <w:rFonts w:ascii="Times New Roman" w:hAnsi="Times New Roman" w:eastAsia="바탕"/>
                <w:b/>
                <w:sz w:val="20"/>
              </w:rPr>
              <w:t>Where it fails first for an older patient living alone</w:t>
            </w:r>
            <w:r>
              <w:rPr>
                <w:rFonts w:ascii="Times New Roman" w:hAnsi="Times New Roman" w:eastAsia="바탕"/>
                <w:sz w:val="20"/>
              </w:rPr>
              <w:t xml:space="preserve"> (2)</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The app should be introduced and facilitated by human contact first with older adults - i am also feeling if could be used for people who cannot see so well</w:t>
                  </w:r>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Only one answer is allowed, but I think operating the screen, managing the device and trust in the app (given the characteristics of older people) can all be causes.</w:t>
                  </w:r>
                </w:p>
              </w:tc>
            </w:tr>
          </w:tbl>
          <w:p/>
          <w:p>
            <w:pPr>
              <w:spacing w:after="120"/>
            </w:pPr>
          </w:p>
          <w:p>
            <w:pPr>
              <w:spacing w:after="80" w:line="276" w:lineRule="auto"/>
              <w:jc w:val="both"/>
            </w:pPr>
            <w:r>
              <w:rPr>
                <w:rFonts w:ascii="Times New Roman" w:hAnsi="Times New Roman" w:eastAsia="바탕"/>
                <w:b/>
                <w:sz w:val="20"/>
              </w:rPr>
              <w:t>Whether causation can be claimed</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No</w:t>
                  </w:r>
                </w:p>
              </w:tc>
            </w:tr>
          </w:tbl>
          <w:p/>
          <w:p>
            <w:pPr>
              <w:spacing w:after="120"/>
            </w:pPr>
          </w:p>
          <w:p>
            <w:pPr>
              <w:spacing w:after="80" w:line="276" w:lineRule="auto"/>
              <w:jc w:val="both"/>
            </w:pPr>
            <w:r>
              <w:rPr>
                <w:rFonts w:ascii="Times New Roman" w:hAnsi="Times New Roman" w:eastAsia="바탕"/>
                <w:b/>
                <w:sz w:val="20"/>
              </w:rPr>
              <w:t>Whether you have seen patients missing medication information</w:t>
            </w:r>
            <w:r>
              <w:rPr>
                <w:rFonts w:ascii="Times New Roman" w:hAnsi="Times New Roman" w:eastAsia="바탕"/>
                <w:sz w:val="20"/>
              </w:rPr>
              <w:t xml:space="preserve"> (2)</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I am not convinced anybody actually gets proper medication information</w:t>
                  </w:r>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I have not had many such occasions, but there are also many people who, even knowing how to read, are not receiving proper medication guidance.</w:t>
                  </w:r>
                </w:p>
              </w:tc>
            </w:tr>
          </w:tbl>
          <w:p/>
          <w:p>
            <w:pPr>
              <w:spacing w:after="120"/>
            </w:pPr>
          </w:p>
          <w:p>
            <w:pPr>
              <w:spacing w:after="80" w:line="276" w:lineRule="auto"/>
              <w:jc w:val="both"/>
            </w:pPr>
            <w:r>
              <w:rPr>
                <w:rFonts w:ascii="Times New Roman" w:hAnsi="Times New Roman" w:eastAsia="바탕"/>
                <w:b/>
                <w:sz w:val="20"/>
              </w:rPr>
              <w:t>References worth consulting (nursing and public health)</w:t>
            </w:r>
            <w:r>
              <w:rPr>
                <w:rFonts w:ascii="Times New Roman" w:hAnsi="Times New Roman" w:eastAsia="바탕"/>
                <w:sz w:val="20"/>
              </w:rPr>
              <w:t xml:space="preserve"> (2)</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Not that i know off</w:t>
                  </w:r>
                </w:p>
              </w:tc>
            </w:tr>
            <w:tr>
              <w:tc>
                <w:tcPr>
                  <w:tcW w:type="dxa" w:w="2429"/>
                </w:tcPr>
                <w:p>
                  <w:r>
                    <w:rPr>
                      <w:rFonts w:ascii="Times New Roman" w:hAnsi="Times New Roman" w:eastAsia="바탕"/>
                      <w:sz w:val="18"/>
                    </w:rPr>
                    <w:t>Minsun Song</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Konyang University</w:t>
                  </w:r>
                </w:p>
              </w:tc>
              <w:tc>
                <w:tcPr>
                  <w:tcW w:type="dxa" w:w="2429"/>
                </w:tcPr>
                <w:p>
                  <w:r>
                    <w:rPr>
                      <w:rFonts w:ascii="Times New Roman" w:hAnsi="Times New Roman" w:eastAsia="바탕"/>
                      <w:sz w:val="18"/>
                    </w:rPr>
                    <w:t>Consult research on literacy among older adults and on medication adherence in older adults. I would particularly suggest designing with a focus on who exactly the non-reading target group is to be.</w:t>
                  </w:r>
                </w:p>
              </w:tc>
            </w:tr>
          </w:tbl>
          <w:p/>
          <w:p>
            <w:pPr>
              <w:spacing w:after="120"/>
            </w:pPr>
          </w:p>
          <w:p>
            <w:pPr>
              <w:spacing w:after="80" w:line="276" w:lineRule="auto"/>
              <w:jc w:val="both"/>
            </w:pPr>
            <w:r>
              <w:rPr>
                <w:rFonts w:ascii="Times New Roman" w:hAnsi="Times New Roman" w:eastAsia="바탕"/>
                <w:b/>
                <w:sz w:val="20"/>
              </w:rPr>
              <w:t>Whether to design for the patient or the carer</w:t>
            </w:r>
            <w:r>
              <w:rPr>
                <w:rFonts w:ascii="Times New Roman" w:hAnsi="Times New Roman" w:eastAsia="바탕"/>
                <w:sz w:val="20"/>
              </w:rPr>
              <w:t xml:space="preserve"> (4)</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Although i do not feel  separate designs will be required</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The original assumption that the patient will use the app alone does not match common practice, especially among older adults, people with low literacy, cognitive impairment, or complex regimens. In those situations a carer (family member or paid helper) frequently handles the medicines. Designing solely for the patient therefore risks low real-world use. Designing solely for the carer, however, can sideline the patient and reduce their understanding and agency. The practical solution is to support both pathways: a direct patient mode that remains as simple and accessible as possible, and a distinct carer mode that allows the helper to capture the prescription, generate the pictograms and speech, and then share or explain the output with the patient. Without that dual approach the tool will miss a large part of the population it aims to help.</w:t>
                  </w:r>
                </w:p>
              </w:tc>
            </w:tr>
            <w:tr>
              <w:tc>
                <w:tcPr>
                  <w:tcW w:type="dxa" w:w="2429"/>
                </w:tcPr>
                <w:p>
                  <w:r>
                    <w:rPr>
                      <w:rFonts w:ascii="Times New Roman" w:hAnsi="Times New Roman" w:eastAsia="바탕"/>
                      <w:sz w:val="18"/>
                    </w:rPr>
                    <w:t>Minsun Song</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Konyang University</w:t>
                  </w:r>
                </w:p>
              </w:tc>
              <w:tc>
                <w:tcPr>
                  <w:tcW w:type="dxa" w:w="2429"/>
                </w:tcPr>
                <w:p>
                  <w:r>
                    <w:rPr>
                      <w:rFonts w:ascii="Times New Roman" w:hAnsi="Times New Roman" w:eastAsia="바탕"/>
                      <w:sz w:val="18"/>
                    </w:rPr>
                    <w:t>It should be built so that the patient and the carer can both understand it at the same time.</w:t>
                  </w:r>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It may differ according to the age of the app's main target user and the patient's condition.</w:t>
                  </w:r>
                </w:p>
              </w:tc>
            </w:tr>
          </w:tbl>
          <w:p/>
          <w:p>
            <w:pPr>
              <w:spacing w:after="120"/>
            </w:pPr>
          </w:p>
          <w:p>
            <w:pPr>
              <w:spacing w:after="80" w:line="276" w:lineRule="auto"/>
              <w:jc w:val="both"/>
            </w:pPr>
            <w:r>
              <w:rPr>
                <w:rFonts w:ascii="Times New Roman" w:hAnsi="Times New Roman" w:eastAsia="바탕"/>
                <w:b/>
                <w:sz w:val="20"/>
              </w:rPr>
              <w:t>What to resolve first, from an HCI standpoint</w:t>
            </w:r>
            <w:r>
              <w:rPr>
                <w:rFonts w:ascii="Times New Roman" w:hAnsi="Times New Roman" w:eastAsia="바탕"/>
                <w:sz w:val="20"/>
              </w:rPr>
              <w:t xml:space="preserve"> (2)</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An earlier question asked how often one has seen prescriptions for people who genuinely cannot read; taken together with the answer 'almost never', it appears that validation with such people has not been carried out. Validation with real users seems essential, because however much research is done from the user's position, unless you experience the difficulty yourself there are bound to be things omitted or missed. Illiterate people may not be common around you, but you could readily find validation subjects among blind people or people of another nationality (a foreigner receiving a Korean-language prescription, or a Korean receiving one in a foreign language). To add something slightly preachy about that earlier question: you said the question of how many prescriptions for people who cannot read one has seen connects to the premise of the experiment, and most people will probably answer almost none. I hope you will not therefore conclude that this project means little. If even one person can take their medicine properly because of this project, that is a large change for that person, and development for the socially vulnerable fundamentally cannot be explained by the logic of majority benefit.</w:t>
                  </w:r>
                </w:p>
              </w:tc>
            </w:tr>
            <w:tr>
              <w:tc>
                <w:tcPr>
                  <w:tcW w:type="dxa" w:w="2429"/>
                </w:tcPr>
                <w:p>
                  <w:r>
                    <w:rPr>
                      <w:rFonts w:ascii="Times New Roman" w:hAnsi="Times New Roman" w:eastAsia="바탕"/>
                      <w:sz w:val="18"/>
                    </w:rPr>
                    <w:t>Myojung Choi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At present this looks like a draft-presentation stage with user evaluation not yet carried out, but usability evaluation can be reflected throughout the development process and can contribute to the effectiveness of the result.</w:t>
                  </w:r>
                </w:p>
              </w:tc>
            </w:tr>
          </w:tbl>
          <w:p/>
          <w:p>
            <w:pPr>
              <w:spacing w:after="120"/>
            </w:pPr>
          </w:p>
          <w:p>
            <w:pPr>
              <w:spacing w:after="80" w:line="276" w:lineRule="auto"/>
              <w:jc w:val="both"/>
            </w:pPr>
            <w:r>
              <w:rPr>
                <w:rFonts w:ascii="Times New Roman" w:hAnsi="Times New Roman" w:eastAsia="바탕"/>
                <w:b/>
                <w:sz w:val="20"/>
              </w:rPr>
              <w:t>What a small sample can establish</w:t>
            </w:r>
            <w:r>
              <w:rPr>
                <w:rFonts w:ascii="Times New Roman" w:hAnsi="Times New Roman" w:eastAsia="바탕"/>
                <w:sz w:val="20"/>
              </w:rPr>
              <w:t xml:space="preserve"> (2)</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I do not know how small "small" is here, but if the size makes it hard to attach meaning, it matters to make the sample as even as possible across factors such as age, level of schooling and sex. Participants should have no prior knowledge of the pictograms in question, and the survey should proceed either by having them choose the pictogram from a description or by having them describe the meaning of the pictogram (in which case multiple choice looks meaningless).</w:t>
                  </w:r>
                </w:p>
              </w:tc>
            </w:tr>
            <w:tr>
              <w:tc>
                <w:tcPr>
                  <w:tcW w:type="dxa" w:w="2429"/>
                </w:tcPr>
                <w:p>
                  <w:r>
                    <w:rPr>
                      <w:rFonts w:ascii="Times New Roman" w:hAnsi="Times New Roman" w:eastAsia="바탕"/>
                      <w:sz w:val="18"/>
                    </w:rPr>
                    <w:t>Myojung Choi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Prior work such as Nielsen and Landauer (1993) provides grounds that the validity of usability-evaluation results can be secured with a small sample of around 15. A small-sample evaluation also has the advantage over a large survey of allowing user behaviour and reactions to be grasped in detail, so running behavioural analysis during the actual evaluation alongside the survey responses would raise the validity of the findings.</w:t>
                  </w:r>
                </w:p>
              </w:tc>
            </w:tr>
          </w:tbl>
          <w:p/>
          <w:p>
            <w:pPr>
              <w:spacing w:after="120"/>
            </w:pPr>
          </w:p>
          <w:p>
            <w:pPr>
              <w:spacing w:after="80" w:line="276" w:lineRule="auto"/>
              <w:jc w:val="both"/>
            </w:pPr>
            <w:r>
              <w:rPr>
                <w:rFonts w:ascii="Times New Roman" w:hAnsi="Times New Roman" w:eastAsia="바탕"/>
                <w:b/>
                <w:sz w:val="20"/>
              </w:rPr>
              <w:t>Whether machine pre-screening is justified</w:t>
            </w:r>
            <w:r>
              <w:rPr>
                <w:rFonts w:ascii="Times New Roman" w:hAnsi="Times New Roman" w:eastAsia="바탕"/>
                <w:sz w:val="20"/>
              </w:rPr>
              <w:t xml:space="preserve"> (2)</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For pre-screening rather than as a final conclusion, I think it can be used freely. Since it will ultimately be used with people, all that is needed is the resolve to discard the pre-screening result if testing with actual people shows it does not apply.</w:t>
                  </w:r>
                </w:p>
              </w:tc>
            </w:tr>
            <w:tr>
              <w:tc>
                <w:tcPr>
                  <w:tcW w:type="dxa" w:w="2429"/>
                </w:tcPr>
                <w:p>
                  <w:r>
                    <w:rPr>
                      <w:rFonts w:ascii="Times New Roman" w:hAnsi="Times New Roman" w:eastAsia="바탕"/>
                      <w:sz w:val="18"/>
                    </w:rPr>
                    <w:t>Myojung Choi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If, in the process of screening information with a vision-language model, the researcher sets and understands the screening criteria clearly and those criteria can be shown valid on theoretical grounds, procedural justification can be secured.</w:t>
                  </w:r>
                </w:p>
              </w:tc>
            </w:tr>
          </w:tbl>
          <w:p/>
          <w:p>
            <w:pPr>
              <w:spacing w:after="120"/>
            </w:pPr>
          </w:p>
          <w:p>
            <w:pPr>
              <w:spacing w:after="80" w:line="276" w:lineRule="auto"/>
              <w:jc w:val="both"/>
            </w:pPr>
            <w:r>
              <w:rPr>
                <w:rFonts w:ascii="Times New Roman" w:hAnsi="Times New Roman" w:eastAsia="바탕"/>
                <w:b/>
                <w:sz w:val="20"/>
              </w:rPr>
              <w:t>How many elements in one image before it breaks down</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Since these are pictograms for medicines, accurate conveyance of meaning is ultimately what matters most. The more elements, the more information can be held, but where the person interpreting is illiterate, blind or foreign, their interpretive capacity cannot be assumed high. Even for information that could ordinarily be explained at once, it would be good to consider splitting the elements and explaining across two or three pictograms.</w:t>
                  </w:r>
                </w:p>
              </w:tc>
            </w:tr>
          </w:tbl>
          <w:p/>
          <w:p>
            <w:pPr>
              <w:spacing w:after="120"/>
            </w:pPr>
          </w:p>
          <w:p>
            <w:pPr>
              <w:spacing w:after="80" w:line="276" w:lineRule="auto"/>
              <w:jc w:val="both"/>
            </w:pPr>
            <w:r>
              <w:rPr>
                <w:rFonts w:ascii="Times New Roman" w:hAnsi="Times New Roman" w:eastAsia="바탕"/>
                <w:b/>
                <w:sz w:val="20"/>
              </w:rPr>
              <w:t>Where a first run gets stuck</w:t>
            </w:r>
            <w:r>
              <w:rPr>
                <w:rFonts w:ascii="Times New Roman" w:hAnsi="Times New Roman" w:eastAsia="바탕"/>
                <w:sz w:val="20"/>
              </w:rPr>
              <w:t xml:space="preserve"> (2)</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The question is a little hard to answer, in that someone seeking out this app probably comes to it already knowing roughly how it works. If so, a procedure of this length should be perfectly possible with the pictures and spoken explanation alongside.</w:t>
                  </w:r>
                </w:p>
              </w:tc>
            </w:tr>
            <w:tr>
              <w:tc>
                <w:tcPr>
                  <w:tcW w:type="dxa" w:w="2429"/>
                </w:tcPr>
                <w:p>
                  <w:r>
                    <w:rPr>
                      <w:rFonts w:ascii="Times New Roman" w:hAnsi="Times New Roman" w:eastAsia="바탕"/>
                      <w:sz w:val="18"/>
                    </w:rPr>
                    <w:t>Myojung Choi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A user who has difficulty reading may struggle with the subsequent steps if spoken guidance is not provided at the initial permission stage, and their actions may be constrained as a result.</w:t>
                  </w:r>
                </w:p>
              </w:tc>
            </w:tr>
          </w:tbl>
          <w:p/>
          <w:p>
            <w:pPr>
              <w:spacing w:after="120"/>
            </w:pPr>
          </w:p>
          <w:p>
            <w:pPr>
              <w:spacing w:after="80" w:line="276" w:lineRule="auto"/>
              <w:jc w:val="both"/>
            </w:pPr>
            <w:r>
              <w:rPr>
                <w:rFonts w:ascii="Times New Roman" w:hAnsi="Times New Roman" w:eastAsia="바탕"/>
                <w:b/>
                <w:sz w:val="20"/>
              </w:rPr>
              <w:t>How you see it from an adult-literacy standpoint</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Eun-Kyoung Kim</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Kongju National University</w:t>
                  </w:r>
                </w:p>
              </w:tc>
              <w:tc>
                <w:tcPr>
                  <w:tcW w:type="dxa" w:w="2429"/>
                </w:tcPr>
                <w:p>
                  <w:r>
                    <w:rPr>
                      <w:rFonts w:ascii="Times New Roman" w:hAnsi="Times New Roman" w:eastAsia="바탕"/>
                      <w:sz w:val="18"/>
                    </w:rPr>
                    <w:t>Given that the target group is older people, the design needs to be more concrete and should make active use of images they routinely see. Even to me, in my forties, it was hard to grasp at once what the images were saying. I would expect older people unfamiliar with images of this kind to find it harder still.</w:t>
                  </w:r>
                </w:p>
              </w:tc>
            </w:tr>
          </w:tbl>
          <w:p/>
          <w:p>
            <w:pPr>
              <w:spacing w:after="120"/>
            </w:pPr>
          </w:p>
          <w:p>
            <w:pPr>
              <w:spacing w:after="80" w:line="276" w:lineRule="auto"/>
              <w:jc w:val="both"/>
            </w:pPr>
            <w:r>
              <w:rPr>
                <w:rFonts w:ascii="Times New Roman" w:hAnsi="Times New Roman" w:eastAsia="바탕"/>
                <w:b/>
                <w:sz w:val="20"/>
              </w:rPr>
              <w:t>What learners do at present</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Eun-Kyoung Kim</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Kongju National University</w:t>
                  </w:r>
                </w:p>
              </w:tc>
              <w:tc>
                <w:tcPr>
                  <w:tcW w:type="dxa" w:w="2429"/>
                </w:tcPr>
                <w:p>
                  <w:r>
                    <w:rPr>
                      <w:rFonts w:ascii="Times New Roman" w:hAnsi="Times New Roman" w:eastAsia="바탕"/>
                      <w:sz w:val="18"/>
                    </w:rPr>
                    <w:t>This is second-hand. The person concerned relies on the explanation of the pharmacist or of the family member who collected the medicine.</w:t>
                  </w:r>
                </w:p>
              </w:tc>
            </w:tr>
          </w:tbl>
          <w:p/>
          <w:p>
            <w:pPr>
              <w:spacing w:after="120"/>
            </w:pPr>
          </w:p>
          <w:p>
            <w:pPr>
              <w:spacing w:after="80" w:line="276" w:lineRule="auto"/>
              <w:jc w:val="both"/>
            </w:pPr>
            <w:r>
              <w:rPr>
                <w:rFonts w:ascii="Times New Roman" w:hAnsi="Times New Roman" w:eastAsia="바탕"/>
                <w:b/>
                <w:sz w:val="20"/>
              </w:rPr>
              <w:t>Whether it could be trialled in class</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Eun-Kyoung Kim</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Kongju National University</w:t>
                  </w:r>
                </w:p>
              </w:tc>
              <w:tc>
                <w:tcPr>
                  <w:tcW w:type="dxa" w:w="2429"/>
                </w:tcPr>
                <w:p>
                  <w:r>
                    <w:rPr>
                      <w:rFonts w:ascii="Times New Roman" w:hAnsi="Times New Roman" w:eastAsia="바탕"/>
                      <w:sz w:val="18"/>
                    </w:rPr>
                    <w:t>You have to communicate with the institution (and the literacy teacher) first and explain the purpose, the intent and the benefit from the learners' point of view. With their cooperation you could use part of a class period to explain it to learners directly and hear what needs changing.</w:t>
                  </w:r>
                </w:p>
              </w:tc>
            </w:tr>
          </w:tbl>
          <w:p/>
          <w:p>
            <w:pPr>
              <w:spacing w:after="120"/>
            </w:pPr>
          </w:p>
          <w:p>
            <w:pPr>
              <w:spacing w:after="80" w:line="276" w:lineRule="auto"/>
              <w:jc w:val="both"/>
            </w:pPr>
            <w:r>
              <w:rPr>
                <w:rFonts w:ascii="Times New Roman" w:hAnsi="Times New Roman" w:eastAsia="바탕"/>
                <w:b/>
                <w:sz w:val="20"/>
              </w:rPr>
              <w:t>References worth consulting (adult literacy)</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Eun-Kyoung Kim</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Kongju National University</w:t>
                  </w:r>
                </w:p>
              </w:tc>
              <w:tc>
                <w:tcPr>
                  <w:tcW w:type="dxa" w:w="2429"/>
                </w:tcPr>
                <w:p>
                  <w:r>
                    <w:rPr>
                      <w:rFonts w:ascii="Times New Roman" w:hAnsi="Times New Roman" w:eastAsia="바탕"/>
                      <w:sz w:val="18"/>
                    </w:rPr>
                    <w:t>There are adult literacy materials produced by the Ministry of Education. It would also be worth meeting people such as Principal Youngdo Park of Suwon Jeil Lifelong School, who has devoted his life to literacy education and is still active.</w:t>
                  </w:r>
                </w:p>
              </w:tc>
            </w:tr>
          </w:tbl>
          <w:p/>
          <w:p>
            <w:pPr>
              <w:spacing w:after="120"/>
            </w:pPr>
          </w:p>
          <w:p>
            <w:pPr>
              <w:spacing w:after="80" w:line="276" w:lineRule="auto"/>
              <w:jc w:val="both"/>
            </w:pPr>
            <w:r>
              <w:rPr>
                <w:rFonts w:ascii="Times New Roman" w:hAnsi="Times New Roman" w:eastAsia="바탕"/>
                <w:b/>
                <w:sz w:val="20"/>
              </w:rPr>
              <w:t>Whether it reduces the motivation to learn to read</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Eun-Kyoung Kim</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Kongju National University</w:t>
                  </w:r>
                </w:p>
              </w:tc>
              <w:tc>
                <w:tcPr>
                  <w:tcW w:type="dxa" w:w="2429"/>
                </w:tcPr>
                <w:p>
                  <w:r>
                    <w:rPr>
                      <w:rFonts w:ascii="Times New Roman" w:hAnsi="Times New Roman" w:eastAsia="바탕"/>
                      <w:sz w:val="18"/>
                    </w:rPr>
                    <w:t>The motivation to learn to read is more than simply acquiring a skill. I therefore do not think a tool like this would reduce the motivation to learn.</w:t>
                  </w:r>
                </w:p>
              </w:tc>
            </w:tr>
          </w:tbl>
          <w:p/>
          <w:p>
            <w:pPr>
              <w:spacing w:after="120"/>
            </w:pPr>
          </w:p>
          <w:p>
            <w:pPr>
              <w:spacing w:after="80" w:line="276" w:lineRule="auto"/>
              <w:jc w:val="both"/>
            </w:pPr>
            <w:r>
              <w:rPr>
                <w:rFonts w:ascii="Times New Roman" w:hAnsi="Times New Roman" w:eastAsia="바탕"/>
                <w:b/>
                <w:sz w:val="20"/>
              </w:rPr>
              <w:t>How you see it as a whole, from an AAC standpoint</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think there are so many variables involved - many AAC users also have visual difficulties and 'scanning' can make access to all the icons difficult so actually reaching the audio buttons may not be easy.</w:t>
                  </w:r>
                </w:p>
              </w:tc>
            </w:tr>
          </w:tbl>
          <w:p/>
          <w:p>
            <w:pPr>
              <w:spacing w:after="120"/>
            </w:pPr>
          </w:p>
          <w:p>
            <w:pPr>
              <w:spacing w:after="80" w:line="276" w:lineRule="auto"/>
              <w:jc w:val="both"/>
            </w:pPr>
            <w:r>
              <w:rPr>
                <w:rFonts w:ascii="Times New Roman" w:hAnsi="Times New Roman" w:eastAsia="바탕"/>
                <w:b/>
                <w:sz w:val="20"/>
              </w:rPr>
              <w:t>Whether a combinatorial grammar holds up</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See above and also the black and white symbols are different compared to the coloured ones</w:t>
                  </w:r>
                </w:p>
              </w:tc>
            </w:tr>
          </w:tbl>
          <w:p/>
          <w:p>
            <w:pPr>
              <w:spacing w:after="120"/>
            </w:pPr>
          </w:p>
          <w:p>
            <w:pPr>
              <w:spacing w:after="80" w:line="276" w:lineRule="auto"/>
              <w:jc w:val="both"/>
            </w:pPr>
            <w:r>
              <w:rPr>
                <w:rFonts w:ascii="Times New Roman" w:hAnsi="Times New Roman" w:eastAsia="바탕"/>
                <w:b/>
                <w:sz w:val="20"/>
              </w:rPr>
              <w:t>Which morphemes will fail</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cannot go back in this survey  to look at the black and white symbols so I would say the astract symbols. - you need to have a link to the morphemes as a reminder!</w:t>
                  </w:r>
                </w:p>
              </w:tc>
            </w:tr>
          </w:tbl>
          <w:p/>
          <w:p>
            <w:pPr>
              <w:spacing w:after="120"/>
            </w:pPr>
          </w:p>
          <w:p>
            <w:pPr>
              <w:spacing w:after="80" w:line="276" w:lineRule="auto"/>
              <w:jc w:val="both"/>
            </w:pPr>
            <w:r>
              <w:rPr>
                <w:rFonts w:ascii="Times New Roman" w:hAnsi="Times New Roman" w:eastAsia="바탕"/>
                <w:b/>
                <w:sz w:val="20"/>
              </w:rPr>
              <w:t>How to test it with AAC users</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Offer the AAC user a trial as long as they appear capable and willing to take part.  The problem is that you will never know the level at which failure occurs as again too many variables.  It may be an off day, you may offer too many symbols, the person tires easily or they cannot demonstrate their understanding in the way you are presenting the options and gesture and facial expression may show you they understand, but they cannot access the app - think physical difficulties such as athetoid cerebral palsy and switch access where you scan across and down a grid or app.</w:t>
                  </w:r>
                </w:p>
              </w:tc>
            </w:tr>
          </w:tbl>
          <w:p/>
          <w:p>
            <w:pPr>
              <w:spacing w:after="120"/>
            </w:pPr>
          </w:p>
          <w:p>
            <w:pPr>
              <w:spacing w:after="80" w:line="276" w:lineRule="auto"/>
              <w:jc w:val="both"/>
            </w:pPr>
            <w:r>
              <w:rPr>
                <w:rFonts w:ascii="Times New Roman" w:hAnsi="Times New Roman" w:eastAsia="바탕"/>
                <w:b/>
                <w:sz w:val="20"/>
              </w:rPr>
              <w:t>Whether you have seen users of this kind</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have in the past met people who miss medication information through lack of literacy skills but they are not necessarily AAC users so this app could help those who have severe dyslexia or have never learnt to read or require the perscription to be auto translated and the audio in their language of choice.</w:t>
                  </w:r>
                </w:p>
              </w:tc>
            </w:tr>
          </w:tbl>
          <w:p/>
          <w:p>
            <w:pPr>
              <w:spacing w:after="120"/>
            </w:pPr>
          </w:p>
          <w:p>
            <w:pPr>
              <w:spacing w:after="80" w:line="276" w:lineRule="auto"/>
              <w:jc w:val="both"/>
            </w:pPr>
            <w:r>
              <w:rPr>
                <w:rFonts w:ascii="Times New Roman" w:hAnsi="Times New Roman" w:eastAsia="바탕"/>
                <w:b/>
                <w:sz w:val="20"/>
              </w:rPr>
              <w:t>References worth consulting (AAC)</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There are many studies about the need for symbol transparency, but once again it will depend on the user as to which symbol set best suits their needs so perferences will vary hugely. Cultural settings and availability of suitable symbols for this type of interactive app will also need to be considered.</w:t>
                  </w:r>
                </w:p>
              </w:tc>
            </w:tr>
          </w:tbl>
          <w:p/>
          <w:p>
            <w:pPr>
              <w:spacing w:after="120"/>
            </w:pPr>
          </w:p>
          <w:p>
            <w:pPr>
              <w:spacing w:after="80" w:line="276" w:lineRule="auto"/>
              <w:jc w:val="both"/>
            </w:pPr>
            <w:r>
              <w:rPr>
                <w:rFonts w:ascii="Times New Roman" w:hAnsi="Times New Roman" w:eastAsia="바탕"/>
                <w:b/>
                <w:sz w:val="20"/>
              </w:rPr>
              <w:t>Whether learning is required</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Again that depends on the user and their ability to learnt just the symbols or to listen to the audio, but generally being able to navigate the app's features which seemed quite complex.</w:t>
                  </w:r>
                </w:p>
              </w:tc>
            </w:tr>
          </w:tbl>
          <w:p/>
          <w:p>
            <w:pPr>
              <w:spacing w:after="120"/>
            </w:pPr>
          </w:p>
          <w:p>
            <w:pPr>
              <w:spacing w:after="80" w:line="276" w:lineRule="auto"/>
              <w:jc w:val="both"/>
            </w:pPr>
            <w:r>
              <w:rPr>
                <w:rFonts w:ascii="Times New Roman" w:hAnsi="Times New Roman" w:eastAsia="바탕"/>
                <w:b/>
                <w:sz w:val="20"/>
              </w:rPr>
              <w:t>What to resolve first, from an industry standpoint</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Cheolhyeon Park</w:t>
                  </w:r>
                </w:p>
              </w:tc>
              <w:tc>
                <w:tcPr>
                  <w:tcW w:type="dxa" w:w="2429"/>
                </w:tcPr>
                <w:p>
                  <w:r>
                    <w:rPr>
                      <w:rFonts w:ascii="Times New Roman" w:hAnsi="Times New Roman" w:eastAsia="바탕"/>
                      <w:sz w:val="18"/>
                    </w:rPr>
                    <w:t>Team Leader</w:t>
                  </w:r>
                </w:p>
              </w:tc>
              <w:tc>
                <w:tcPr>
                  <w:tcW w:type="dxa" w:w="2429"/>
                </w:tcPr>
                <w:p>
                  <w:r>
                    <w:rPr>
                      <w:rFonts w:ascii="Times New Roman" w:hAnsi="Times New Roman" w:eastAsia="바탕"/>
                      <w:sz w:val="18"/>
                    </w:rPr>
                    <w:t>VOICEYE</w:t>
                  </w:r>
                </w:p>
              </w:tc>
              <w:tc>
                <w:tcPr>
                  <w:tcW w:type="dxa" w:w="2429"/>
                </w:tcPr>
                <w:p>
                  <w:r>
                    <w:rPr>
                      <w:rFonts w:ascii="Times New Roman" w:hAnsi="Times New Roman" w:eastAsia="바탕"/>
                      <w:sz w:val="18"/>
                    </w:rPr>
                    <w:t>If commercialisation is planned, the level of finish needs raising, and beyond that policy, recognition, a proposal to bodies such as the Korean Pharmaceutical Association, whether they would accept it and the price all need settling.</w:t>
                  </w:r>
                </w:p>
              </w:tc>
            </w:tr>
          </w:tbl>
          <w:p/>
          <w:p>
            <w:pPr>
              <w:spacing w:after="120"/>
            </w:pPr>
          </w:p>
          <w:p>
            <w:pPr>
              <w:spacing w:after="80" w:line="276" w:lineRule="auto"/>
              <w:jc w:val="both"/>
            </w:pPr>
            <w:r>
              <w:rPr>
                <w:rFonts w:ascii="Times New Roman" w:hAnsi="Times New Roman" w:eastAsia="바탕"/>
                <w:b/>
                <w:sz w:val="20"/>
              </w:rPr>
              <w:t>Where users drop off</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Cheolhyeon Park</w:t>
                  </w:r>
                </w:p>
              </w:tc>
              <w:tc>
                <w:tcPr>
                  <w:tcW w:type="dxa" w:w="2429"/>
                </w:tcPr>
                <w:p>
                  <w:r>
                    <w:rPr>
                      <w:rFonts w:ascii="Times New Roman" w:hAnsi="Times New Roman" w:eastAsia="바탕"/>
                      <w:sz w:val="18"/>
                    </w:rPr>
                    <w:t>Team Leader</w:t>
                  </w:r>
                </w:p>
              </w:tc>
              <w:tc>
                <w:tcPr>
                  <w:tcW w:type="dxa" w:w="2429"/>
                </w:tcPr>
                <w:p>
                  <w:r>
                    <w:rPr>
                      <w:rFonts w:ascii="Times New Roman" w:hAnsi="Times New Roman" w:eastAsia="바탕"/>
                      <w:sz w:val="18"/>
                    </w:rPr>
                    <w:t>VOICEYE</w:t>
                  </w:r>
                </w:p>
              </w:tc>
              <w:tc>
                <w:tcPr>
                  <w:tcW w:type="dxa" w:w="2429"/>
                </w:tcPr>
                <w:p>
                  <w:r>
                    <w:rPr>
                      <w:rFonts w:ascii="Times New Roman" w:hAnsi="Times New Roman" w:eastAsia="바탕"/>
                      <w:sz w:val="18"/>
                    </w:rPr>
                    <w:t>From a blind user's standpoint, accessibility and convenience are lacking, and there is no particular app or guideline.</w:t>
                  </w:r>
                </w:p>
              </w:tc>
            </w:tr>
          </w:tbl>
          <w:p/>
          <w:p>
            <w:pPr>
              <w:spacing w:after="120"/>
            </w:pPr>
          </w:p>
          <w:p>
            <w:pPr>
              <w:spacing w:after="80" w:line="276" w:lineRule="auto"/>
              <w:jc w:val="both"/>
            </w:pPr>
            <w:r>
              <w:rPr>
                <w:rFonts w:ascii="Times New Roman" w:hAnsi="Times New Roman" w:eastAsia="바탕"/>
                <w:b/>
                <w:sz w:val="20"/>
              </w:rPr>
              <w:t>Conditions for diffusion</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Cheolhyeon Park</w:t>
                  </w:r>
                </w:p>
              </w:tc>
              <w:tc>
                <w:tcPr>
                  <w:tcW w:type="dxa" w:w="2429"/>
                </w:tcPr>
                <w:p>
                  <w:r>
                    <w:rPr>
                      <w:rFonts w:ascii="Times New Roman" w:hAnsi="Times New Roman" w:eastAsia="바탕"/>
                      <w:sz w:val="18"/>
                    </w:rPr>
                    <w:t>Team Leader</w:t>
                  </w:r>
                </w:p>
              </w:tc>
              <w:tc>
                <w:tcPr>
                  <w:tcW w:type="dxa" w:w="2429"/>
                </w:tcPr>
                <w:p>
                  <w:r>
                    <w:rPr>
                      <w:rFonts w:ascii="Times New Roman" w:hAnsi="Times New Roman" w:eastAsia="바탕"/>
                      <w:sz w:val="18"/>
                    </w:rPr>
                    <w:t>VOICEYE</w:t>
                  </w:r>
                </w:p>
              </w:tc>
              <w:tc>
                <w:tcPr>
                  <w:tcW w:type="dxa" w:w="2429"/>
                </w:tcPr>
                <w:p>
                  <w:r>
                    <w:rPr>
                      <w:rFonts w:ascii="Times New Roman" w:hAnsi="Times New Roman" w:eastAsia="바탕"/>
                      <w:sz w:val="18"/>
                    </w:rPr>
                    <w:t>However good a product or piece of software is, without recognition at the client or operator level there is no diffusion. Good development and a good idea need a good sales or proposal partner alongside.</w:t>
                  </w:r>
                </w:p>
              </w:tc>
            </w:tr>
          </w:tbl>
          <w:p/>
          <w:p>
            <w:pPr>
              <w:spacing w:after="120"/>
            </w:pPr>
          </w:p>
          <w:p>
            <w:pPr>
              <w:spacing w:after="80" w:line="276" w:lineRule="auto"/>
              <w:jc w:val="both"/>
            </w:pPr>
            <w:r>
              <w:rPr>
                <w:rFonts w:ascii="Times New Roman" w:hAnsi="Times New Roman" w:eastAsia="바탕"/>
                <w:b/>
                <w:sz w:val="20"/>
              </w:rPr>
              <w:t>A sustainable form of operation</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Cheolhyeon Park</w:t>
                  </w:r>
                </w:p>
              </w:tc>
              <w:tc>
                <w:tcPr>
                  <w:tcW w:type="dxa" w:w="2429"/>
                </w:tcPr>
                <w:p>
                  <w:r>
                    <w:rPr>
                      <w:rFonts w:ascii="Times New Roman" w:hAnsi="Times New Roman" w:eastAsia="바탕"/>
                      <w:sz w:val="18"/>
                    </w:rPr>
                    <w:t>Team Leader</w:t>
                  </w:r>
                </w:p>
              </w:tc>
              <w:tc>
                <w:tcPr>
                  <w:tcW w:type="dxa" w:w="2429"/>
                </w:tcPr>
                <w:p>
                  <w:r>
                    <w:rPr>
                      <w:rFonts w:ascii="Times New Roman" w:hAnsi="Times New Roman" w:eastAsia="바탕"/>
                      <w:sz w:val="18"/>
                    </w:rPr>
                    <w:t>VOICEYE</w:t>
                  </w:r>
                </w:p>
              </w:tc>
              <w:tc>
                <w:tcPr>
                  <w:tcW w:type="dxa" w:w="2429"/>
                </w:tcPr>
                <w:p>
                  <w:r>
                    <w:rPr>
                      <w:rFonts w:ascii="Times New Roman" w:hAnsi="Times New Roman" w:eastAsia="바탕"/>
                      <w:sz w:val="18"/>
                    </w:rPr>
                    <w:t>An operating body and a partnership are essential, though if there is certainty about capital or investment, preparing it as a startup is one direction and one option.</w:t>
                  </w:r>
                </w:p>
              </w:tc>
            </w:tr>
          </w:tbl>
          <w:p/>
          <w:p>
            <w:pPr>
              <w:spacing w:after="120"/>
            </w:pPr>
          </w:p>
          <w:p>
            <w:pPr>
              <w:spacing w:after="80" w:line="276" w:lineRule="auto"/>
              <w:jc w:val="both"/>
            </w:pPr>
            <w:r>
              <w:rPr>
                <w:rFonts w:ascii="Times New Roman" w:hAnsi="Times New Roman" w:eastAsia="바탕"/>
                <w:b/>
                <w:sz w:val="20"/>
              </w:rPr>
              <w:t>a1_notext__why</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Youngchan Kim</w:t>
                  </w:r>
                </w:p>
              </w:tc>
              <w:tc>
                <w:tcPr>
                  <w:tcW w:type="dxa" w:w="2429"/>
                </w:tcPr>
                <w:p/>
              </w:tc>
              <w:tc>
                <w:tcPr>
                  <w:tcW w:type="dxa" w:w="2429"/>
                </w:tcPr>
                <w:p>
                  <w:r>
                    <w:rPr>
                      <w:rFonts w:ascii="Times New Roman" w:hAnsi="Times New Roman" w:eastAsia="바탕"/>
                      <w:sz w:val="18"/>
                    </w:rPr>
                    <w:t>Kyung Hee Cyber University</w:t>
                  </w:r>
                </w:p>
              </w:tc>
              <w:tc>
                <w:tcPr>
                  <w:tcW w:type="dxa" w:w="2429"/>
                </w:tcPr>
                <w:p>
                  <w:r>
                    <w:rPr>
                      <w:rFonts w:ascii="Times New Roman" w:hAnsi="Times New Roman" w:eastAsia="바탕"/>
                      <w:sz w:val="18"/>
                    </w:rPr>
                    <w:t>I have neither seen nor used the system. (There is no system in the email.)</w:t>
                  </w:r>
                </w:p>
              </w:tc>
            </w:tr>
          </w:tbl>
          <w:p/>
          <w:p>
            <w:pPr>
              <w:spacing w:after="120"/>
            </w:pPr>
          </w:p>
          <w:p>
            <w:pPr>
              <w:spacing w:after="80" w:line="276" w:lineRule="auto"/>
              <w:jc w:val="both"/>
            </w:pPr>
            <w:r>
              <w:rPr>
                <w:rFonts w:ascii="Times New Roman" w:hAnsi="Times New Roman" w:eastAsia="바탕"/>
                <w:b/>
                <w:sz w:val="20"/>
              </w:rPr>
              <w:t>a3_voice__why</w:t>
            </w:r>
            <w:r>
              <w:rPr>
                <w:rFonts w:ascii="Times New Roman" w:hAnsi="Times New Roman" w:eastAsia="바탕"/>
                <w:sz w:val="20"/>
              </w:rPr>
              <w:t xml:space="preserve"> (3)</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Youngchan Kim</w:t>
                  </w:r>
                </w:p>
              </w:tc>
              <w:tc>
                <w:tcPr>
                  <w:tcW w:type="dxa" w:w="2429"/>
                </w:tcPr>
                <w:p/>
              </w:tc>
              <w:tc>
                <w:tcPr>
                  <w:tcW w:type="dxa" w:w="2429"/>
                </w:tcPr>
                <w:p>
                  <w:r>
                    <w:rPr>
                      <w:rFonts w:ascii="Times New Roman" w:hAnsi="Times New Roman" w:eastAsia="바탕"/>
                      <w:sz w:val="18"/>
                    </w:rPr>
                    <w:t>Kyung Hee Cyber University</w:t>
                  </w:r>
                </w:p>
              </w:tc>
              <w:tc>
                <w:tcPr>
                  <w:tcW w:type="dxa" w:w="2429"/>
                </w:tcPr>
                <w:p>
                  <w:r>
                    <w:rPr>
                      <w:rFonts w:ascii="Times New Roman" w:hAnsi="Times New Roman" w:eastAsia="바탕"/>
                      <w:sz w:val="18"/>
                    </w:rPr>
                    <w:t>I have neither seen nor used the system. (There is no system in the email.)</w:t>
                  </w:r>
                </w:p>
              </w:tc>
            </w:tr>
            <w:tr>
              <w:tc>
                <w:tcPr>
                  <w:tcW w:type="dxa" w:w="2429"/>
                </w:tcPr>
                <w:p>
                  <w:r>
                    <w:rPr>
                      <w:rFonts w:ascii="Times New Roman" w:hAnsi="Times New Roman" w:eastAsia="바탕"/>
                      <w:sz w:val="18"/>
                    </w:rPr>
                    <w:t>Seunghoon Jung</w:t>
                  </w:r>
                </w:p>
              </w:tc>
              <w:tc>
                <w:tcPr>
                  <w:tcW w:type="dxa" w:w="2429"/>
                </w:tcPr>
                <w:p/>
              </w:tc>
              <w:tc>
                <w:tcPr>
                  <w:tcW w:type="dxa" w:w="2429"/>
                </w:tcPr>
                <w:p>
                  <w:r>
                    <w:rPr>
                      <w:rFonts w:ascii="Times New Roman" w:hAnsi="Times New Roman" w:eastAsia="바탕"/>
                      <w:sz w:val="18"/>
                    </w:rPr>
                    <w:t>Korea Institute of Design Promotion</w:t>
                  </w:r>
                </w:p>
              </w:tc>
              <w:tc>
                <w:tcPr>
                  <w:tcW w:type="dxa" w:w="2429"/>
                </w:tcPr>
                <w:p>
                  <w:r>
                    <w:rPr>
                      <w:rFonts w:ascii="Times New Roman" w:hAnsi="Times New Roman" w:eastAsia="바탕"/>
                      <w:sz w:val="18"/>
                    </w:rPr>
                    <w:t>There is no material at all to judge from (no working screens of SnapCare, for instance), so I cannot judge.</w:t>
                  </w:r>
                </w:p>
              </w:tc>
            </w:tr>
            <w:tr>
              <w:tc>
                <w:tcPr>
                  <w:tcW w:type="dxa" w:w="2429"/>
                </w:tcPr>
                <w:p>
                  <w:r>
                    <w:rPr>
                      <w:rFonts w:ascii="Times New Roman" w:hAnsi="Times New Roman" w:eastAsia="바탕"/>
                      <w:sz w:val="18"/>
                    </w:rPr>
                    <w:t>Barbara Báldy</w:t>
                  </w:r>
                </w:p>
              </w:tc>
              <w:tc>
                <w:tcPr>
                  <w:tcW w:type="dxa" w:w="2429"/>
                </w:tcPr>
                <w:p/>
              </w:tc>
              <w:tc>
                <w:tcPr>
                  <w:tcW w:type="dxa" w:w="2429"/>
                </w:tcPr>
                <w:p>
                  <w:r>
                    <w:rPr>
                      <w:rFonts w:ascii="Times New Roman" w:hAnsi="Times New Roman" w:eastAsia="바탕"/>
                      <w:sz w:val="18"/>
                    </w:rPr>
                    <w:t>Semmelweis University</w:t>
                  </w:r>
                </w:p>
              </w:tc>
              <w:tc>
                <w:tcPr>
                  <w:tcW w:type="dxa" w:w="2429"/>
                </w:tcPr>
                <w:p>
                  <w:r>
                    <w:rPr>
                      <w:rFonts w:ascii="Times New Roman" w:hAnsi="Times New Roman" w:eastAsia="바탕"/>
                      <w:sz w:val="18"/>
                    </w:rPr>
                    <w:t>If a patient can't read the original text (not able to or lost their eyesight), the text format is not necessary. BUT patient safety protocols suggest to use verbal, visual and text instructions.</w:t>
                  </w:r>
                </w:p>
              </w:tc>
            </w:tr>
          </w:tbl>
          <w:p/>
          <w:p>
            <w:pPr>
              <w:spacing w:after="120"/>
            </w:pPr>
          </w:p>
          <w:p>
            <w:pPr>
              <w:spacing w:after="80" w:line="276" w:lineRule="auto"/>
              <w:jc w:val="both"/>
            </w:pPr>
            <w:r>
              <w:rPr>
                <w:rFonts w:ascii="Times New Roman" w:hAnsi="Times New Roman" w:eastAsia="바탕"/>
                <w:b/>
                <w:sz w:val="20"/>
              </w:rPr>
              <w:t>a7_framing__why</w:t>
            </w:r>
            <w:r>
              <w:rPr>
                <w:rFonts w:ascii="Times New Roman" w:hAnsi="Times New Roman" w:eastAsia="바탕"/>
                <w:sz w:val="20"/>
              </w:rPr>
              <w:t xml:space="preserve"> (3)</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Youngchan Kim</w:t>
                  </w:r>
                </w:p>
              </w:tc>
              <w:tc>
                <w:tcPr>
                  <w:tcW w:type="dxa" w:w="2429"/>
                </w:tcPr>
                <w:p/>
              </w:tc>
              <w:tc>
                <w:tcPr>
                  <w:tcW w:type="dxa" w:w="2429"/>
                </w:tcPr>
                <w:p>
                  <w:r>
                    <w:rPr>
                      <w:rFonts w:ascii="Times New Roman" w:hAnsi="Times New Roman" w:eastAsia="바탕"/>
                      <w:sz w:val="18"/>
                    </w:rPr>
                    <w:t>Kyung Hee Cyber University</w:t>
                  </w:r>
                </w:p>
              </w:tc>
              <w:tc>
                <w:tcPr>
                  <w:tcW w:type="dxa" w:w="2429"/>
                </w:tcPr>
                <w:p>
                  <w:r>
                    <w:rPr>
                      <w:rFonts w:ascii="Times New Roman" w:hAnsi="Times New Roman" w:eastAsia="바탕"/>
                      <w:sz w:val="18"/>
                    </w:rPr>
                    <w:t>I have neither seen nor used the system. (There is no system in the email.)</w:t>
                  </w:r>
                </w:p>
              </w:tc>
            </w:tr>
            <w:tr>
              <w:tc>
                <w:tcPr>
                  <w:tcW w:type="dxa" w:w="2429"/>
                </w:tcPr>
                <w:p>
                  <w:r>
                    <w:rPr>
                      <w:rFonts w:ascii="Times New Roman" w:hAnsi="Times New Roman" w:eastAsia="바탕"/>
                      <w:sz w:val="18"/>
                    </w:rPr>
                    <w:t>Seunghoon Jung</w:t>
                  </w:r>
                </w:p>
              </w:tc>
              <w:tc>
                <w:tcPr>
                  <w:tcW w:type="dxa" w:w="2429"/>
                </w:tcPr>
                <w:p/>
              </w:tc>
              <w:tc>
                <w:tcPr>
                  <w:tcW w:type="dxa" w:w="2429"/>
                </w:tcPr>
                <w:p>
                  <w:r>
                    <w:rPr>
                      <w:rFonts w:ascii="Times New Roman" w:hAnsi="Times New Roman" w:eastAsia="바탕"/>
                      <w:sz w:val="18"/>
                    </w:rPr>
                    <w:t>Korea Institute of Design Promotion</w:t>
                  </w:r>
                </w:p>
              </w:tc>
              <w:tc>
                <w:tcPr>
                  <w:tcW w:type="dxa" w:w="2429"/>
                </w:tcPr>
                <w:p>
                  <w:r>
                    <w:rPr>
                      <w:rFonts w:ascii="Times New Roman" w:hAnsi="Times New Roman" w:eastAsia="바탕"/>
                      <w:sz w:val="18"/>
                    </w:rPr>
                    <w:t>In Korea I do not think there are many adults whose literacy is low enough that they cannot understand Hangul.</w:t>
                  </w:r>
                </w:p>
              </w:tc>
            </w:tr>
            <w:tr>
              <w:tc>
                <w:tcPr>
                  <w:tcW w:type="dxa" w:w="2429"/>
                </w:tcPr>
                <w:p>
                  <w:r>
                    <w:rPr>
                      <w:rFonts w:ascii="Times New Roman" w:hAnsi="Times New Roman" w:eastAsia="바탕"/>
                      <w:sz w:val="18"/>
                    </w:rPr>
                    <w:t>Barbara Báldy</w:t>
                  </w:r>
                </w:p>
              </w:tc>
              <w:tc>
                <w:tcPr>
                  <w:tcW w:type="dxa" w:w="2429"/>
                </w:tcPr>
                <w:p/>
              </w:tc>
              <w:tc>
                <w:tcPr>
                  <w:tcW w:type="dxa" w:w="2429"/>
                </w:tcPr>
                <w:p>
                  <w:r>
                    <w:rPr>
                      <w:rFonts w:ascii="Times New Roman" w:hAnsi="Times New Roman" w:eastAsia="바탕"/>
                      <w:sz w:val="18"/>
                    </w:rPr>
                    <w:t>Semmelweis University</w:t>
                  </w:r>
                </w:p>
              </w:tc>
              <w:tc>
                <w:tcPr>
                  <w:tcW w:type="dxa" w:w="2429"/>
                </w:tcPr>
                <w:p>
                  <w:r>
                    <w:rPr>
                      <w:rFonts w:ascii="Times New Roman" w:hAnsi="Times New Roman" w:eastAsia="바탕"/>
                      <w:sz w:val="18"/>
                    </w:rPr>
                    <w:t>It's a huge global problem.</w:t>
                  </w:r>
                </w:p>
              </w:tc>
            </w:tr>
          </w:tbl>
          <w:p/>
          <w:p>
            <w:pPr>
              <w:spacing w:after="120"/>
            </w:pPr>
          </w:p>
          <w:p>
            <w:pPr>
              <w:spacing w:before="180" w:after="40"/>
            </w:pPr>
            <w:r>
              <w:rPr>
                <w:rFonts w:ascii="Times New Roman" w:hAnsi="Times New Roman" w:eastAsia="바탕"/>
                <w:b/>
                <w:sz w:val="23"/>
              </w:rPr>
              <w:t>5.12 Appendix. Every multiple-choice response</w:t>
            </w:r>
          </w:p>
          <w:p>
            <w:pPr>
              <w:spacing w:after="80" w:line="276" w:lineRule="auto"/>
              <w:jc w:val="both"/>
            </w:pPr>
            <w:r>
              <w:rPr>
                <w:rFonts w:ascii="Times New Roman" w:hAnsi="Times New Roman" w:eastAsia="바탕"/>
                <w:sz w:val="20"/>
              </w:rPr>
              <w:t>For the same reason as the free text, every multiple-choice answer is set down as well. The denominator is the number of people who received that question, and since the questions differ by segment the denominator differs from question to question.</w:t>
            </w:r>
          </w:p>
          <w:p>
            <w:pPr>
              <w:spacing w:after="80" w:line="276" w:lineRule="auto"/>
              <w:jc w:val="both"/>
            </w:pPr>
            <w:r>
              <w:rPr>
                <w:rFonts w:ascii="Times New Roman" w:hAnsi="Times New Roman" w:eastAsia="바탕"/>
                <w:b/>
                <w:sz w:val="20"/>
              </w:rPr>
              <w:t>Main field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Pharmacy / medication counselling</w:t>
                  </w:r>
                </w:p>
              </w:tc>
              <w:tc>
                <w:tcPr>
                  <w:tcW w:type="dxa" w:w="3238"/>
                </w:tcPr>
                <w:p>
                  <w:r>
                    <w:rPr>
                      <w:rFonts w:ascii="Times New Roman" w:hAnsi="Times New Roman" w:eastAsia="바탕"/>
                      <w:sz w:val="18"/>
                    </w:rPr>
                    <w:t>13</w:t>
                  </w:r>
                </w:p>
              </w:tc>
              <w:tc>
                <w:tcPr>
                  <w:tcW w:type="dxa" w:w="3238"/>
                </w:tcPr>
                <w:p>
                  <w:r>
                    <w:rPr>
                      <w:rFonts w:ascii="Times New Roman" w:hAnsi="Times New Roman" w:eastAsia="바탕"/>
                      <w:sz w:val="18"/>
                    </w:rPr>
                    <w:t>33%</w:t>
                  </w:r>
                </w:p>
              </w:tc>
            </w:tr>
            <w:tr>
              <w:tc>
                <w:tcPr>
                  <w:tcW w:type="dxa" w:w="3238"/>
                </w:tcPr>
                <w:p>
                  <w:r>
                    <w:rPr>
                      <w:rFonts w:ascii="Times New Roman" w:hAnsi="Times New Roman" w:eastAsia="바탕"/>
                      <w:sz w:val="18"/>
                    </w:rPr>
                    <w:t>Other</w:t>
                  </w:r>
                </w:p>
              </w:tc>
              <w:tc>
                <w:tcPr>
                  <w:tcW w:type="dxa" w:w="3238"/>
                </w:tcPr>
                <w:p>
                  <w:r>
                    <w:rPr>
                      <w:rFonts w:ascii="Times New Roman" w:hAnsi="Times New Roman" w:eastAsia="바탕"/>
                      <w:sz w:val="18"/>
                    </w:rPr>
                    <w:t>10</w:t>
                  </w:r>
                </w:p>
              </w:tc>
              <w:tc>
                <w:tcPr>
                  <w:tcW w:type="dxa" w:w="3238"/>
                </w:tcPr>
                <w:p>
                  <w:r>
                    <w:rPr>
                      <w:rFonts w:ascii="Times New Roman" w:hAnsi="Times New Roman" w:eastAsia="바탕"/>
                      <w:sz w:val="18"/>
                    </w:rPr>
                    <w:t>26%</w:t>
                  </w:r>
                </w:p>
              </w:tc>
            </w:tr>
            <w:tr>
              <w:tc>
                <w:tcPr>
                  <w:tcW w:type="dxa" w:w="3238"/>
                </w:tcPr>
                <w:p>
                  <w:r>
                    <w:rPr>
                      <w:rFonts w:ascii="Times New Roman" w:hAnsi="Times New Roman" w:eastAsia="바탕"/>
                      <w:sz w:val="18"/>
                    </w:rPr>
                    <w:t>Nursing / public health</w:t>
                  </w:r>
                </w:p>
              </w:tc>
              <w:tc>
                <w:tcPr>
                  <w:tcW w:type="dxa" w:w="3238"/>
                </w:tcPr>
                <w:p>
                  <w:r>
                    <w:rPr>
                      <w:rFonts w:ascii="Times New Roman" w:hAnsi="Times New Roman" w:eastAsia="바탕"/>
                      <w:sz w:val="18"/>
                    </w:rPr>
                    <w:t>9</w:t>
                  </w:r>
                </w:p>
              </w:tc>
              <w:tc>
                <w:tcPr>
                  <w:tcW w:type="dxa" w:w="3238"/>
                </w:tcPr>
                <w:p>
                  <w:r>
                    <w:rPr>
                      <w:rFonts w:ascii="Times New Roman" w:hAnsi="Times New Roman" w:eastAsia="바탕"/>
                      <w:sz w:val="18"/>
                    </w:rPr>
                    <w:t>23%</w:t>
                  </w:r>
                </w:p>
              </w:tc>
            </w:tr>
            <w:tr>
              <w:tc>
                <w:tcPr>
                  <w:tcW w:type="dxa" w:w="3238"/>
                </w:tcPr>
                <w:p>
                  <w:r>
                    <w:rPr>
                      <w:rFonts w:ascii="Times New Roman" w:hAnsi="Times New Roman" w:eastAsia="바탕"/>
                      <w:sz w:val="18"/>
                    </w:rPr>
                    <w:t>HCI / design</w:t>
                  </w:r>
                </w:p>
              </w:tc>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10%</w:t>
                  </w:r>
                </w:p>
              </w:tc>
            </w:tr>
            <w:tr>
              <w:tc>
                <w:tcPr>
                  <w:tcW w:type="dxa" w:w="3238"/>
                </w:tcPr>
                <w:p>
                  <w:r>
                    <w:rPr>
                      <w:rFonts w:ascii="Times New Roman" w:hAnsi="Times New Roman" w:eastAsia="바탕"/>
                      <w:sz w:val="18"/>
                    </w:rPr>
                    <w:t>Adult literacy education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w:t>
                  </w:r>
                </w:p>
              </w:tc>
            </w:tr>
            <w:tr>
              <w:tc>
                <w:tcPr>
                  <w:tcW w:type="dxa" w:w="3238"/>
                </w:tcPr>
                <w:p>
                  <w:r>
                    <w:rPr>
                      <w:rFonts w:ascii="Times New Roman" w:hAnsi="Times New Roman" w:eastAsia="바탕"/>
                      <w:sz w:val="18"/>
                    </w:rPr>
                    <w:t>Industry practitioner (building / operating products)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w:t>
                  </w:r>
                </w:p>
              </w:tc>
            </w:tr>
            <w:tr>
              <w:tc>
                <w:tcPr>
                  <w:tcW w:type="dxa" w:w="3238"/>
                </w:tcPr>
                <w:p>
                  <w:r>
                    <w:rPr>
                      <w:rFonts w:ascii="Times New Roman" w:hAnsi="Times New Roman" w:eastAsia="바탕"/>
                      <w:sz w:val="18"/>
                    </w:rPr>
                    <w:t>AAC / special education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w:t>
                  </w:r>
                </w:p>
              </w:tc>
            </w:tr>
          </w:tbl>
          <w:p/>
          <w:p>
            <w:pPr>
              <w:spacing w:after="120"/>
            </w:pPr>
          </w:p>
          <w:p>
            <w:pPr>
              <w:spacing w:after="80" w:line="276" w:lineRule="auto"/>
              <w:jc w:val="both"/>
            </w:pPr>
            <w:r>
              <w:rPr>
                <w:rFonts w:ascii="Times New Roman" w:hAnsi="Times New Roman" w:eastAsia="바탕"/>
                <w:b/>
                <w:sz w:val="20"/>
              </w:rPr>
              <w:t>How often you meet someone who cannot read a written medication instruction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Almost never</w:t>
                  </w:r>
                </w:p>
              </w:tc>
              <w:tc>
                <w:tcPr>
                  <w:tcW w:type="dxa" w:w="3238"/>
                </w:tcPr>
                <w:p>
                  <w:r>
                    <w:rPr>
                      <w:rFonts w:ascii="Times New Roman" w:hAnsi="Times New Roman" w:eastAsia="바탕"/>
                      <w:sz w:val="18"/>
                    </w:rPr>
                    <w:t>18</w:t>
                  </w:r>
                </w:p>
              </w:tc>
              <w:tc>
                <w:tcPr>
                  <w:tcW w:type="dxa" w:w="3238"/>
                </w:tcPr>
                <w:p>
                  <w:r>
                    <w:rPr>
                      <w:rFonts w:ascii="Times New Roman" w:hAnsi="Times New Roman" w:eastAsia="바탕"/>
                      <w:sz w:val="18"/>
                    </w:rPr>
                    <w:t>46%</w:t>
                  </w:r>
                </w:p>
              </w:tc>
            </w:tr>
            <w:tr>
              <w:tc>
                <w:tcPr>
                  <w:tcW w:type="dxa" w:w="3238"/>
                </w:tcPr>
                <w:p>
                  <w:r>
                    <w:rPr>
                      <w:rFonts w:ascii="Times New Roman" w:hAnsi="Times New Roman" w:eastAsia="바탕"/>
                      <w:sz w:val="18"/>
                    </w:rPr>
                    <w:t>A few times a year</w:t>
                  </w:r>
                </w:p>
              </w:tc>
              <w:tc>
                <w:tcPr>
                  <w:tcW w:type="dxa" w:w="3238"/>
                </w:tcPr>
                <w:p>
                  <w:r>
                    <w:rPr>
                      <w:rFonts w:ascii="Times New Roman" w:hAnsi="Times New Roman" w:eastAsia="바탕"/>
                      <w:sz w:val="18"/>
                    </w:rPr>
                    <w:t>15</w:t>
                  </w:r>
                </w:p>
              </w:tc>
              <w:tc>
                <w:tcPr>
                  <w:tcW w:type="dxa" w:w="3238"/>
                </w:tcPr>
                <w:p>
                  <w:r>
                    <w:rPr>
                      <w:rFonts w:ascii="Times New Roman" w:hAnsi="Times New Roman" w:eastAsia="바탕"/>
                      <w:sz w:val="18"/>
                    </w:rPr>
                    <w:t>38%</w:t>
                  </w:r>
                </w:p>
              </w:tc>
            </w:tr>
            <w:tr>
              <w:tc>
                <w:tcPr>
                  <w:tcW w:type="dxa" w:w="3238"/>
                </w:tcPr>
                <w:p>
                  <w:r>
                    <w:rPr>
                      <w:rFonts w:ascii="Times New Roman" w:hAnsi="Times New Roman" w:eastAsia="바탕"/>
                      <w:sz w:val="18"/>
                    </w:rPr>
                    <w:t>Almost daily</w:t>
                  </w:r>
                </w:p>
              </w:tc>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10%</w:t>
                  </w:r>
                </w:p>
              </w:tc>
            </w:tr>
            <w:tr>
              <w:tc>
                <w:tcPr>
                  <w:tcW w:type="dxa" w:w="3238"/>
                </w:tcPr>
                <w:p>
                  <w:r>
                    <w:rPr>
                      <w:rFonts w:ascii="Times New Roman" w:hAnsi="Times New Roman" w:eastAsia="바탕"/>
                      <w:sz w:val="18"/>
                    </w:rPr>
                    <w:t>About monthly</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5%</w:t>
                  </w:r>
                </w:p>
              </w:tc>
            </w:tr>
          </w:tbl>
          <w:p/>
          <w:p>
            <w:pPr>
              <w:spacing w:after="120"/>
            </w:pPr>
          </w:p>
          <w:p>
            <w:pPr>
              <w:spacing w:after="80" w:line="276" w:lineRule="auto"/>
              <w:jc w:val="both"/>
            </w:pPr>
            <w:r>
              <w:rPr>
                <w:rFonts w:ascii="Times New Roman" w:hAnsi="Times New Roman" w:eastAsia="바탕"/>
                <w:b/>
                <w:sz w:val="20"/>
              </w:rPr>
              <w:t>Does this approach hold up from an adult-literacy standpoint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Yes — but the form would have to change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Could a patient take their medicine correctly, alone, with only these screens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Partly — some of it, not all</w:t>
                  </w:r>
                </w:p>
              </w:tc>
              <w:tc>
                <w:tcPr>
                  <w:tcW w:type="dxa" w:w="3238"/>
                </w:tcPr>
                <w:p>
                  <w:r>
                    <w:rPr>
                      <w:rFonts w:ascii="Times New Roman" w:hAnsi="Times New Roman" w:eastAsia="바탕"/>
                      <w:sz w:val="18"/>
                    </w:rPr>
                    <w:t>17</w:t>
                  </w:r>
                </w:p>
              </w:tc>
              <w:tc>
                <w:tcPr>
                  <w:tcW w:type="dxa" w:w="3238"/>
                </w:tcPr>
                <w:p>
                  <w:r>
                    <w:rPr>
                      <w:rFonts w:ascii="Times New Roman" w:hAnsi="Times New Roman" w:eastAsia="바탕"/>
                      <w:sz w:val="18"/>
                    </w:rPr>
                    <w:t>68%</w:t>
                  </w:r>
                </w:p>
              </w:tc>
            </w:tr>
            <w:tr>
              <w:tc>
                <w:tcPr>
                  <w:tcW w:type="dxa" w:w="3238"/>
                </w:tcPr>
                <w:p>
                  <w:r>
                    <w:rPr>
                      <w:rFonts w:ascii="Times New Roman" w:hAnsi="Times New Roman" w:eastAsia="바탕"/>
                      <w:sz w:val="18"/>
                    </w:rPr>
                    <w:t>Yes, probably</w:t>
                  </w:r>
                </w:p>
              </w:tc>
              <w:tc>
                <w:tcPr>
                  <w:tcW w:type="dxa" w:w="3238"/>
                </w:tcPr>
                <w:p>
                  <w:r>
                    <w:rPr>
                      <w:rFonts w:ascii="Times New Roman" w:hAnsi="Times New Roman" w:eastAsia="바탕"/>
                      <w:sz w:val="18"/>
                    </w:rPr>
                    <w:t>7</w:t>
                  </w:r>
                </w:p>
              </w:tc>
              <w:tc>
                <w:tcPr>
                  <w:tcW w:type="dxa" w:w="3238"/>
                </w:tcPr>
                <w:p>
                  <w:r>
                    <w:rPr>
                      <w:rFonts w:ascii="Times New Roman" w:hAnsi="Times New Roman" w:eastAsia="바탕"/>
                      <w:sz w:val="18"/>
                    </w:rPr>
                    <w:t>28%</w:t>
                  </w:r>
                </w:p>
              </w:tc>
            </w:tr>
            <w:tr>
              <w:tc>
                <w:tcPr>
                  <w:tcW w:type="dxa" w:w="3238"/>
                </w:tcPr>
                <w:p>
                  <w:r>
                    <w:rPr>
                      <w:rFonts w:ascii="Times New Roman" w:hAnsi="Times New Roman" w:eastAsia="바탕"/>
                      <w:sz w:val="18"/>
                    </w:rPr>
                    <w:t>I have no basis to judge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4%</w:t>
                  </w:r>
                </w:p>
              </w:tc>
            </w:tr>
          </w:tbl>
          <w:p/>
          <w:p>
            <w:pPr>
              <w:spacing w:after="120"/>
            </w:pPr>
          </w:p>
          <w:p>
            <w:pPr>
              <w:spacing w:after="80" w:line="276" w:lineRule="auto"/>
              <w:jc w:val="both"/>
            </w:pPr>
            <w:r>
              <w:rPr>
                <w:rFonts w:ascii="Times New Roman" w:hAnsi="Times New Roman" w:eastAsia="바탕"/>
                <w:b/>
                <w:sz w:val="20"/>
              </w:rPr>
              <w:t>How learners handle medication information at present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This is second-hand. The person concerned relies on the explanation of the pharmacist or of the family member who collected the medicine.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Could it be trialled in class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As part of a class session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Does it conflict with the motivation to learn to read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No — it helps, if anything</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What to resolve first, from an HCI standpoint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That there is no validation with users</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What should be measured with a small sample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Multiple-choice matching</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Observing what they actually do</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Is machine pre-screening justified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Defensible with conditions</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What breaks as elements accumulate in one image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It stops being clear which element carries the main meaning</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Where a first run gets stuck</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They do not get stuck</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Granting camera permission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Is pharmacist review needed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Yes, every time</w:t>
                  </w:r>
                </w:p>
              </w:tc>
              <w:tc>
                <w:tcPr>
                  <w:tcW w:type="dxa" w:w="3238"/>
                </w:tcPr>
                <w:p>
                  <w:r>
                    <w:rPr>
                      <w:rFonts w:ascii="Times New Roman" w:hAnsi="Times New Roman" w:eastAsia="바탕"/>
                      <w:sz w:val="18"/>
                    </w:rPr>
                    <w:t>9</w:t>
                  </w:r>
                </w:p>
              </w:tc>
              <w:tc>
                <w:tcPr>
                  <w:tcW w:type="dxa" w:w="3238"/>
                </w:tcPr>
                <w:p>
                  <w:r>
                    <w:rPr>
                      <w:rFonts w:ascii="Times New Roman" w:hAnsi="Times New Roman" w:eastAsia="바탕"/>
                      <w:sz w:val="18"/>
                    </w:rPr>
                    <w:t>75%</w:t>
                  </w:r>
                </w:p>
              </w:tc>
            </w:tr>
            <w:tr>
              <w:tc>
                <w:tcPr>
                  <w:tcW w:type="dxa" w:w="3238"/>
                </w:tcPr>
                <w:p>
                  <w:r>
                    <w:rPr>
                      <w:rFonts w:ascii="Times New Roman" w:hAnsi="Times New Roman" w:eastAsia="바탕"/>
                      <w:sz w:val="18"/>
                    </w:rPr>
                    <w:t>Once at the start is enough</w:t>
                  </w:r>
                </w:p>
              </w:tc>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25%</w:t>
                  </w:r>
                </w:p>
              </w:tc>
            </w:tr>
          </w:tbl>
          <w:p/>
          <w:p>
            <w:pPr>
              <w:spacing w:after="120"/>
            </w:pPr>
          </w:p>
          <w:p>
            <w:pPr>
              <w:spacing w:after="80" w:line="276" w:lineRule="auto"/>
              <w:jc w:val="both"/>
            </w:pPr>
            <w:r>
              <w:rPr>
                <w:rFonts w:ascii="Times New Roman" w:hAnsi="Times New Roman" w:eastAsia="바탕"/>
                <w:b/>
                <w:sz w:val="20"/>
              </w:rPr>
              <w:t>What must not be wrong medically</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Dose and frequency</w:t>
                  </w:r>
                </w:p>
              </w:tc>
              <w:tc>
                <w:tcPr>
                  <w:tcW w:type="dxa" w:w="3238"/>
                </w:tcPr>
                <w:p>
                  <w:r>
                    <w:rPr>
                      <w:rFonts w:ascii="Times New Roman" w:hAnsi="Times New Roman" w:eastAsia="바탕"/>
                      <w:sz w:val="18"/>
                    </w:rPr>
                    <w:t>7</w:t>
                  </w:r>
                </w:p>
              </w:tc>
              <w:tc>
                <w:tcPr>
                  <w:tcW w:type="dxa" w:w="3238"/>
                </w:tcPr>
                <w:p>
                  <w:r>
                    <w:rPr>
                      <w:rFonts w:ascii="Times New Roman" w:hAnsi="Times New Roman" w:eastAsia="바탕"/>
                      <w:sz w:val="18"/>
                    </w:rPr>
                    <w:t>58%</w:t>
                  </w:r>
                </w:p>
              </w:tc>
            </w:tr>
            <w:tr>
              <w:tc>
                <w:tcPr>
                  <w:tcW w:type="dxa" w:w="3238"/>
                </w:tcPr>
                <w:p>
                  <w:r>
                    <w:rPr>
                      <w:rFonts w:ascii="Times New Roman" w:hAnsi="Times New Roman" w:eastAsia="바탕"/>
                      <w:sz w:val="18"/>
                    </w:rPr>
                    <w:t>Contraindications and interactions</w:t>
                  </w:r>
                </w:p>
              </w:tc>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25%</w:t>
                  </w:r>
                </w:p>
              </w:tc>
            </w:tr>
            <w:tr>
              <w:tc>
                <w:tcPr>
                  <w:tcW w:type="dxa" w:w="3238"/>
                </w:tcPr>
                <w:p>
                  <w:r>
                    <w:rPr>
                      <w:rFonts w:ascii="Times New Roman" w:hAnsi="Times New Roman" w:eastAsia="바탕"/>
                      <w:sz w:val="18"/>
                    </w:rPr>
                    <w:t>Route of administration — oral, rectal, topical, inhaled</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r>
              <w:tc>
                <w:tcPr>
                  <w:tcW w:type="dxa" w:w="3238"/>
                </w:tcPr>
                <w:p>
                  <w:r>
                    <w:rPr>
                      <w:rFonts w:ascii="Times New Roman" w:hAnsi="Times New Roman" w:eastAsia="바탕"/>
                      <w:sz w:val="18"/>
                    </w:rPr>
                    <w:t>Do not stop early — finishing an antibiotic course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bl>
          <w:p/>
          <w:p>
            <w:pPr>
              <w:spacing w:after="120"/>
            </w:pPr>
          </w:p>
          <w:p>
            <w:pPr>
              <w:spacing w:after="80" w:line="276" w:lineRule="auto"/>
              <w:jc w:val="both"/>
            </w:pPr>
            <w:r>
              <w:rPr>
                <w:rFonts w:ascii="Times New Roman" w:hAnsi="Times New Roman" w:eastAsia="바탕"/>
                <w:b/>
                <w:sz w:val="20"/>
              </w:rPr>
              <w:t>Can it fit the pharmacy workflow</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Yes, while dispensing</w:t>
                  </w:r>
                </w:p>
              </w:tc>
              <w:tc>
                <w:tcPr>
                  <w:tcW w:type="dxa" w:w="3238"/>
                </w:tcPr>
                <w:p>
                  <w:r>
                    <w:rPr>
                      <w:rFonts w:ascii="Times New Roman" w:hAnsi="Times New Roman" w:eastAsia="바탕"/>
                      <w:sz w:val="18"/>
                    </w:rPr>
                    <w:t>8</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No — there is no time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r>
              <w:tc>
                <w:tcPr>
                  <w:tcW w:type="dxa" w:w="3238"/>
                </w:tcPr>
                <w:p>
                  <w:r>
                    <w:rPr>
                      <w:rFonts w:ascii="Times New Roman" w:hAnsi="Times New Roman" w:eastAsia="바탕"/>
                      <w:sz w:val="18"/>
                    </w:rPr>
                    <w:t>A non-pharmacist staff member could help</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r>
              <w:tc>
                <w:tcPr>
                  <w:tcW w:type="dxa" w:w="3238"/>
                </w:tcPr>
                <w:p>
                  <w:r>
                    <w:rPr>
                      <w:rFonts w:ascii="Times New Roman" w:hAnsi="Times New Roman" w:eastAsia="바탕"/>
                      <w:sz w:val="18"/>
                    </w:rPr>
                    <w:t>It should happen outside the pharmacy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r>
              <w:tc>
                <w:tcPr>
                  <w:tcW w:type="dxa" w:w="3238"/>
                </w:tcPr>
                <w:p>
                  <w:r>
                    <w:rPr>
                      <w:rFonts w:ascii="Times New Roman" w:hAnsi="Times New Roman" w:eastAsia="바탕"/>
                      <w:sz w:val="18"/>
                    </w:rPr>
                    <w:t>Hard to say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bl>
          <w:p/>
          <w:p>
            <w:pPr>
              <w:spacing w:after="120"/>
            </w:pPr>
          </w:p>
          <w:p>
            <w:pPr>
              <w:spacing w:after="80" w:line="276" w:lineRule="auto"/>
              <w:jc w:val="both"/>
            </w:pPr>
            <w:r>
              <w:rPr>
                <w:rFonts w:ascii="Times New Roman" w:hAnsi="Times New Roman" w:eastAsia="바탕"/>
                <w:b/>
                <w:sz w:val="20"/>
              </w:rPr>
              <w:t>Instrument for measuring the effect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A medication-adherence instrument</w:t>
                  </w:r>
                </w:p>
              </w:tc>
              <w:tc>
                <w:tcPr>
                  <w:tcW w:type="dxa" w:w="3238"/>
                </w:tcPr>
                <w:p>
                  <w:r>
                    <w:rPr>
                      <w:rFonts w:ascii="Times New Roman" w:hAnsi="Times New Roman" w:eastAsia="바탕"/>
                      <w:sz w:val="18"/>
                    </w:rPr>
                    <w:t>6</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Count actual dosing errors directly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None of the existing instruments fit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A health-literacy instrument (K-HLAT-8, HLS family)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Where it fails first for an older patient living alone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They cannot keep the device going — charging, loss</w:t>
                  </w:r>
                </w:p>
              </w:tc>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44%</w:t>
                  </w:r>
                </w:p>
              </w:tc>
            </w:tr>
            <w:tr>
              <w:tc>
                <w:tcPr>
                  <w:tcW w:type="dxa" w:w="3238"/>
                </w:tcPr>
                <w:p>
                  <w:r>
                    <w:rPr>
                      <w:rFonts w:ascii="Times New Roman" w:hAnsi="Times New Roman" w:eastAsia="바탕"/>
                      <w:sz w:val="18"/>
                    </w:rPr>
                    <w:t>They cannot operate the screen</w:t>
                  </w:r>
                </w:p>
              </w:tc>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44%</w:t>
                  </w:r>
                </w:p>
              </w:tc>
            </w:tr>
            <w:tr>
              <w:tc>
                <w:tcPr>
                  <w:tcW w:type="dxa" w:w="3238"/>
                </w:tcPr>
                <w:p>
                  <w:r>
                    <w:rPr>
                      <w:rFonts w:ascii="Times New Roman" w:hAnsi="Times New Roman" w:eastAsia="바탕"/>
                      <w:sz w:val="18"/>
                    </w:rPr>
                    <w:t>They do not trust the app</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Have you seen patients missing medication information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Partly</w:t>
                  </w:r>
                </w:p>
              </w:tc>
              <w:tc>
                <w:tcPr>
                  <w:tcW w:type="dxa" w:w="3238"/>
                </w:tcPr>
                <w:p>
                  <w:r>
                    <w:rPr>
                      <w:rFonts w:ascii="Times New Roman" w:hAnsi="Times New Roman" w:eastAsia="바탕"/>
                      <w:sz w:val="18"/>
                    </w:rPr>
                    <w:t>5</w:t>
                  </w:r>
                </w:p>
              </w:tc>
              <w:tc>
                <w:tcPr>
                  <w:tcW w:type="dxa" w:w="3238"/>
                </w:tcPr>
                <w:p>
                  <w:r>
                    <w:rPr>
                      <w:rFonts w:ascii="Times New Roman" w:hAnsi="Times New Roman" w:eastAsia="바탕"/>
                      <w:sz w:val="18"/>
                    </w:rPr>
                    <w:t>56%</w:t>
                  </w:r>
                </w:p>
              </w:tc>
            </w:tr>
            <w:tr>
              <w:tc>
                <w:tcPr>
                  <w:tcW w:type="dxa" w:w="3238"/>
                </w:tcPr>
                <w:p>
                  <w:r>
                    <w:rPr>
                      <w:rFonts w:ascii="Times New Roman" w:hAnsi="Times New Roman" w:eastAsia="바탕"/>
                      <w:sz w:val="18"/>
                    </w:rPr>
                    <w:t>Yes</w:t>
                  </w:r>
                </w:p>
              </w:tc>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33%</w:t>
                  </w:r>
                </w:p>
              </w:tc>
            </w:tr>
            <w:tr>
              <w:tc>
                <w:tcPr>
                  <w:tcW w:type="dxa" w:w="3238"/>
                </w:tcPr>
                <w:p>
                  <w:r>
                    <w:rPr>
                      <w:rFonts w:ascii="Times New Roman" w:hAnsi="Times New Roman" w:eastAsia="바탕"/>
                      <w:sz w:val="18"/>
                    </w:rPr>
                    <w:t>No</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Can it change actual health outcomes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It could, if certain conditions are met</w:t>
                  </w:r>
                </w:p>
              </w:tc>
              <w:tc>
                <w:tcPr>
                  <w:tcW w:type="dxa" w:w="3238"/>
                </w:tcPr>
                <w:p>
                  <w:r>
                    <w:rPr>
                      <w:rFonts w:ascii="Times New Roman" w:hAnsi="Times New Roman" w:eastAsia="바탕"/>
                      <w:sz w:val="18"/>
                    </w:rPr>
                    <w:t>8</w:t>
                  </w:r>
                </w:p>
              </w:tc>
              <w:tc>
                <w:tcPr>
                  <w:tcW w:type="dxa" w:w="3238"/>
                </w:tcPr>
                <w:p>
                  <w:r>
                    <w:rPr>
                      <w:rFonts w:ascii="Times New Roman" w:hAnsi="Times New Roman" w:eastAsia="바탕"/>
                      <w:sz w:val="18"/>
                    </w:rPr>
                    <w:t>89%</w:t>
                  </w:r>
                </w:p>
              </w:tc>
            </w:tr>
            <w:tr>
              <w:tc>
                <w:tcPr>
                  <w:tcW w:type="dxa" w:w="3238"/>
                </w:tcPr>
                <w:p>
                  <w:r>
                    <w:rPr>
                      <w:rFonts w:ascii="Times New Roman" w:hAnsi="Times New Roman" w:eastAsia="바탕"/>
                      <w:sz w:val="18"/>
                    </w:rPr>
                    <w:t>Taking behaviour might change, but not outcomes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Who should it be designed for</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Both, with separate designs</w:t>
                  </w:r>
                </w:p>
              </w:tc>
              <w:tc>
                <w:tcPr>
                  <w:tcW w:type="dxa" w:w="3238"/>
                </w:tcPr>
                <w:p>
                  <w:r>
                    <w:rPr>
                      <w:rFonts w:ascii="Times New Roman" w:hAnsi="Times New Roman" w:eastAsia="바탕"/>
                      <w:sz w:val="18"/>
                    </w:rPr>
                    <w:t>6</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The patient themselves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Hard to say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The carer</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What to resolve first, from an industry standpoint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A route to the people who would use 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Where users drop off</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Users stop after a few days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in1_breaks__why</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From a blind user's standpoint, accessibility and convenience are lacking, and there is no particular app or guideline.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A sustainable form of operation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Something else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Looking at the whole, what to resolve first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That there is no validation with people</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A route to the people who would use 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33%</w:t>
                  </w:r>
                </w:p>
              </w:tc>
            </w:tr>
          </w:tbl>
          <w:p/>
          <w:p>
            <w:pPr>
              <w:spacing w:after="120"/>
            </w:pPr>
          </w:p>
          <w:p>
            <w:pPr>
              <w:spacing w:after="80" w:line="276" w:lineRule="auto"/>
              <w:jc w:val="both"/>
            </w:pPr>
            <w:r>
              <w:rPr>
                <w:rFonts w:ascii="Times New Roman" w:hAnsi="Times New Roman" w:eastAsia="바탕"/>
                <w:b/>
                <w:sz w:val="20"/>
              </w:rPr>
              <w:t>nu3_causal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No</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How you see it as a whole, from an AAC standpoint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Mostly, but parts of it do not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Does a combinatorial grammar hold up</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It holds up with conditions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How to test it with AAC users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Have them choose from options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Which morphemes will fail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Abstract concepts such as empty stomach or interaction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Have you seen users of this kind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Yes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Is learning required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It holds for some categories only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a1_notext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Neutral</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Necessary</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a1_notext__why</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a5_notrecommend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a7_framing__why</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33%</w:t>
                  </w:r>
                </w:p>
              </w:tc>
            </w:tr>
            <w:tr>
              <w:tc>
                <w:tcPr>
                  <w:tcW w:type="dxa" w:w="3238"/>
                </w:tcPr>
                <w:p>
                  <w:r>
                    <w:rPr>
                      <w:rFonts w:ascii="Times New Roman" w:hAnsi="Times New Roman" w:eastAsia="바탕"/>
                      <w:sz w:val="18"/>
                    </w:rPr>
                    <w:t>In Korea I do not think there are many adults whose literacy is low enough that they cannot understand Hangul.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33%</w:t>
                  </w:r>
                </w:p>
              </w:tc>
            </w:tr>
            <w:tr>
              <w:tc>
                <w:tcPr>
                  <w:tcW w:type="dxa" w:w="3238"/>
                </w:tcPr>
                <w:p>
                  <w:r>
                    <w:rPr>
                      <w:rFonts w:ascii="Times New Roman" w:hAnsi="Times New Roman" w:eastAsia="바탕"/>
                      <w:sz w:val="18"/>
                    </w:rPr>
                    <w:t>It's a huge global problem.</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33%</w:t>
                  </w:r>
                </w:p>
              </w:tc>
            </w:tr>
          </w:tbl>
          <w:p/>
          <w:p>
            <w:pPr>
              <w:spacing w:after="120"/>
            </w:pPr>
          </w:p>
          <w:p>
            <w:pPr>
              <w:spacing w:after="80" w:line="276" w:lineRule="auto"/>
              <w:jc w:val="both"/>
            </w:pPr>
            <w:r>
              <w:rPr>
                <w:rFonts w:ascii="Times New Roman" w:hAnsi="Times New Roman" w:eastAsia="바탕"/>
                <w:b/>
                <w:sz w:val="20"/>
              </w:rPr>
              <w:t>a7_framing</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Yes</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No</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25%</w:t>
                  </w:r>
                </w:p>
              </w:tc>
            </w:tr>
            <w:tr>
              <w:tc>
                <w:tcPr>
                  <w:tcW w:type="dxa" w:w="3238"/>
                </w:tcPr>
                <w:p>
                  <w:r>
                    <w:rPr>
                      <w:rFonts w:ascii="Times New Roman" w:hAnsi="Times New Roman" w:eastAsia="바탕"/>
                      <w:sz w:val="18"/>
                    </w:rPr>
                    <w:t>Partly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25%</w:t>
                  </w:r>
                </w:p>
              </w:tc>
            </w:tr>
          </w:tbl>
          <w:p/>
          <w:p>
            <w:pPr>
              <w:spacing w:after="120"/>
            </w:pPr>
          </w:p>
          <w:p>
            <w:pPr>
              <w:spacing w:after="80" w:line="276" w:lineRule="auto"/>
              <w:jc w:val="both"/>
            </w:pPr>
            <w:r>
              <w:rPr>
                <w:rFonts w:ascii="Times New Roman" w:hAnsi="Times New Roman" w:eastAsia="바탕"/>
                <w:b/>
                <w:sz w:val="20"/>
              </w:rPr>
              <w:t>a3_voice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No</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Partly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25%</w:t>
                  </w:r>
                </w:p>
              </w:tc>
            </w:tr>
            <w:tr>
              <w:tc>
                <w:tcPr>
                  <w:tcW w:type="dxa" w:w="3238"/>
                </w:tcPr>
                <w:p>
                  <w:r>
                    <w:rPr>
                      <w:rFonts w:ascii="Times New Roman" w:hAnsi="Times New Roman" w:eastAsia="바탕"/>
                      <w:sz w:val="18"/>
                    </w:rPr>
                    <w:t>Yes, adequately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25%</w:t>
                  </w:r>
                </w:p>
              </w:tc>
            </w:tr>
          </w:tbl>
          <w:p/>
          <w:p>
            <w:pPr>
              <w:spacing w:after="120"/>
            </w:pPr>
          </w:p>
          <w:p>
            <w:pPr>
              <w:spacing w:after="80" w:line="276" w:lineRule="auto"/>
              <w:jc w:val="both"/>
            </w:pPr>
            <w:r>
              <w:rPr>
                <w:rFonts w:ascii="Times New Roman" w:hAnsi="Times New Roman" w:eastAsia="바탕"/>
                <w:b/>
                <w:sz w:val="20"/>
              </w:rPr>
              <w:t>q2_grammar</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q2_against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q4_smalln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q5_compare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q6_status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depend on the backend and if you store any data</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q6_loss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q6_consent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consult with this a legal professional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q7_firstbreak</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q7_mustretest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you need to test 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q7_remake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you need to test 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q7_voice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q8_coexist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q8_wcag</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q8_iso</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q8_labeling</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could be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d2_referral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d3_email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baldy.barbara@phd.semmelweis.hu</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tc>
      </w:tr>
    </w:tbl>
    <w:p w14:paraId="1320A401" w14:textId="77777777" w:rsidR="00AA5CE3" w:rsidRPr="00097A4A" w:rsidRDefault="00AA5CE3" w:rsidP="00097A4A"/>
    <w:sectPr w:rsidR="00AA5CE3" w:rsidRPr="00097A4A">
      <w:headerReference w:type="even" r:id="rId7"/>
      <w:headerReference w:type="default" r:id="rId8"/>
      <w:footerReference w:type="even" r:id="rId9"/>
      <w:footerReference w:type="default" r:id="rId10"/>
      <w:headerReference w:type="first" r:id="rId11"/>
      <w:footerReference w:type="first" r:id="rId12"/>
      <w:pgSz w:w="11904" w:h="16838"/>
      <w:pgMar w:top="1133" w:right="1440" w:bottom="1258" w:left="1440" w:header="283"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D11B56" w14:textId="77777777" w:rsidR="00A123DD" w:rsidRDefault="00A123DD">
      <w:pPr>
        <w:spacing w:after="0" w:line="240" w:lineRule="auto"/>
      </w:pPr>
      <w:r>
        <w:separator/>
      </w:r>
    </w:p>
  </w:endnote>
  <w:endnote w:type="continuationSeparator" w:id="0">
    <w:p w14:paraId="6A92CCFB" w14:textId="77777777" w:rsidR="00A123DD" w:rsidRDefault="00A123D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embedRegular r:id="rId1" w:fontKey="{0B0B2499-FF41-4414-82E9-C4079B2AE15B}"/>
    <w:embedBold r:id="rId2" w:fontKey="{86D04BC6-9AF7-41F8-B77F-D2210C935791}"/>
  </w:font>
  <w:font w:name="맑은 고딕">
    <w:panose1 w:val="020B0503020000020004"/>
    <w:charset w:val="81"/>
    <w:family w:val="modern"/>
    <w:pitch w:val="variable"/>
    <w:sig w:usb0="9000002F" w:usb1="29D77CFB" w:usb2="00000012" w:usb3="00000000" w:csb0="00080001"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3" w:fontKey="{F66C1EF3-E6EF-49FD-99B7-44825E9FC991}"/>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embedRegular r:id="rId4" w:fontKey="{4FBDEB16-7B45-49E9-A77B-03C2B90CBF24}"/>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B3F32D" w14:textId="77777777" w:rsidR="00E857C5" w:rsidRDefault="00E857C5">
    <w:pPr>
      <w:pStyle w:val="a9"/>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0DBC99" w14:textId="77777777" w:rsidR="00E857C5" w:rsidRDefault="00E857C5">
    <w:pPr>
      <w:pStyle w:val="a9"/>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229949" w14:textId="77777777" w:rsidR="00E857C5" w:rsidRDefault="00E857C5">
    <w:pPr>
      <w:pStyle w:val="a9"/>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FD01DFA" w14:textId="77777777" w:rsidR="00A123DD" w:rsidRDefault="00A123DD">
      <w:pPr>
        <w:spacing w:after="0" w:line="240" w:lineRule="auto"/>
      </w:pPr>
      <w:r>
        <w:separator/>
      </w:r>
    </w:p>
  </w:footnote>
  <w:footnote w:type="continuationSeparator" w:id="0">
    <w:p w14:paraId="1D865060" w14:textId="77777777" w:rsidR="00A123DD" w:rsidRDefault="00A123D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D35E3D" w14:textId="77777777" w:rsidR="00E857C5" w:rsidRDefault="00E857C5">
    <w:pPr>
      <w:pStyle w:val="a8"/>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D193B4" w14:textId="1F16931E" w:rsidR="00AA5CE3" w:rsidRPr="0096106F" w:rsidRDefault="00DB0314" w:rsidP="0096106F">
    <w:pPr>
      <w:pBdr>
        <w:top w:val="nil"/>
        <w:left w:val="nil"/>
        <w:bottom w:val="nil"/>
        <w:right w:val="nil"/>
        <w:between w:val="nil"/>
      </w:pBdr>
      <w:tabs>
        <w:tab w:val="center" w:pos="4513"/>
        <w:tab w:val="right" w:pos="9026"/>
      </w:tabs>
      <w:jc w:val="right"/>
      <w:rPr>
        <w:rFonts w:ascii="Arial" w:hAnsi="Arial" w:cs="Arial"/>
      </w:rPr>
    </w:pPr>
    <w:r>
      <w:rPr>
        <w:noProof/>
      </w:rPr>
      <w:drawing>
        <wp:inline distT="0" distB="0" distL="0" distR="0" wp14:anchorId="29E14FED" wp14:editId="43C3FC42">
          <wp:extent cx="1012408" cy="407533"/>
          <wp:effectExtent l="0" t="0" r="0" b="0"/>
          <wp:docPr id="1248520208"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t="20003" b="23064"/>
                  <a:stretch>
                    <a:fillRect/>
                  </a:stretch>
                </pic:blipFill>
                <pic:spPr>
                  <a:xfrm>
                    <a:off x="0" y="0"/>
                    <a:ext cx="1012408" cy="407533"/>
                  </a:xfrm>
                  <a:prstGeom prst="rect">
                    <a:avLst/>
                  </a:prstGeom>
                  <a:ln/>
                </pic:spPr>
              </pic:pic>
            </a:graphicData>
          </a:graphic>
        </wp:inline>
      </w:drawing>
    </w:r>
    <w:r w:rsidR="0096106F">
      <w:rPr>
        <w:rFonts w:hint="eastAsia"/>
      </w:rPr>
      <w:t xml:space="preserve">                                                                                </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63A8A0" w14:textId="77777777" w:rsidR="00E857C5" w:rsidRDefault="00E857C5">
    <w:pPr>
      <w:pStyle w:val="a8"/>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bordersDoNotSurroundHeader/>
  <w:bordersDoNotSurroundFooter/>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A5CE3"/>
    <w:rsid w:val="00041994"/>
    <w:rsid w:val="00097A4A"/>
    <w:rsid w:val="000F1CF7"/>
    <w:rsid w:val="00157C5B"/>
    <w:rsid w:val="00182E9B"/>
    <w:rsid w:val="00223ACC"/>
    <w:rsid w:val="002765D3"/>
    <w:rsid w:val="003F597C"/>
    <w:rsid w:val="004052C3"/>
    <w:rsid w:val="00566B77"/>
    <w:rsid w:val="00594DA2"/>
    <w:rsid w:val="00731121"/>
    <w:rsid w:val="007717F7"/>
    <w:rsid w:val="007A1AB9"/>
    <w:rsid w:val="00822042"/>
    <w:rsid w:val="00931699"/>
    <w:rsid w:val="0096106F"/>
    <w:rsid w:val="00A123DD"/>
    <w:rsid w:val="00A13D48"/>
    <w:rsid w:val="00A52A5C"/>
    <w:rsid w:val="00A83459"/>
    <w:rsid w:val="00AA133F"/>
    <w:rsid w:val="00AA5CE3"/>
    <w:rsid w:val="00B1349B"/>
    <w:rsid w:val="00B153F3"/>
    <w:rsid w:val="00BA0A82"/>
    <w:rsid w:val="00BB4B96"/>
    <w:rsid w:val="00BC28E5"/>
    <w:rsid w:val="00BE63FA"/>
    <w:rsid w:val="00C07B64"/>
    <w:rsid w:val="00C81165"/>
    <w:rsid w:val="00D258FA"/>
    <w:rsid w:val="00D74F93"/>
    <w:rsid w:val="00DA6B05"/>
    <w:rsid w:val="00DB0314"/>
    <w:rsid w:val="00DD6CEC"/>
    <w:rsid w:val="00E6623F"/>
    <w:rsid w:val="00E66BEE"/>
    <w:rsid w:val="00E857C5"/>
    <w:rsid w:val="00EB3EDE"/>
    <w:rsid w:val="00F0323A"/>
    <w:rsid w:val="00F6120C"/>
    <w:rsid w:val="00FC24E4"/>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A6CDF7D"/>
  <w15:docId w15:val="{2D9B87C3-E424-4146-8438-5D18B9BDB3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Theme="minorEastAsia" w:hAnsi="Calibri" w:cs="Calibri"/>
        <w:sz w:val="22"/>
        <w:szCs w:val="22"/>
        <w:lang w:val="en" w:eastAsia="ko-K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uiPriority w:val="9"/>
    <w:qFormat/>
    <w:pPr>
      <w:keepNext/>
      <w:keepLines/>
      <w:spacing w:before="480" w:after="120"/>
      <w:outlineLvl w:val="0"/>
    </w:pPr>
    <w:rPr>
      <w:b/>
      <w:bCs/>
      <w:sz w:val="48"/>
      <w:szCs w:val="48"/>
    </w:rPr>
  </w:style>
  <w:style w:type="paragraph" w:styleId="2">
    <w:name w:val="heading 2"/>
    <w:basedOn w:val="a"/>
    <w:next w:val="a"/>
    <w:uiPriority w:val="9"/>
    <w:semiHidden/>
    <w:unhideWhenUsed/>
    <w:qFormat/>
    <w:pPr>
      <w:keepNext/>
      <w:keepLines/>
      <w:spacing w:before="360" w:after="80"/>
      <w:outlineLvl w:val="1"/>
    </w:pPr>
    <w:rPr>
      <w:b/>
      <w:bCs/>
      <w:sz w:val="36"/>
      <w:szCs w:val="36"/>
    </w:rPr>
  </w:style>
  <w:style w:type="paragraph" w:styleId="3">
    <w:name w:val="heading 3"/>
    <w:basedOn w:val="a"/>
    <w:next w:val="a"/>
    <w:uiPriority w:val="9"/>
    <w:semiHidden/>
    <w:unhideWhenUsed/>
    <w:qFormat/>
    <w:pPr>
      <w:keepNext/>
      <w:keepLines/>
      <w:spacing w:before="280" w:after="80"/>
      <w:outlineLvl w:val="2"/>
    </w:pPr>
    <w:rPr>
      <w:b/>
      <w:bCs/>
      <w:sz w:val="28"/>
      <w:szCs w:val="28"/>
    </w:rPr>
  </w:style>
  <w:style w:type="paragraph" w:styleId="4">
    <w:name w:val="heading 4"/>
    <w:basedOn w:val="a"/>
    <w:next w:val="a"/>
    <w:uiPriority w:val="9"/>
    <w:semiHidden/>
    <w:unhideWhenUsed/>
    <w:qFormat/>
    <w:pPr>
      <w:keepNext/>
      <w:keepLines/>
      <w:spacing w:before="240" w:after="40"/>
      <w:outlineLvl w:val="3"/>
    </w:pPr>
    <w:rPr>
      <w:b/>
      <w:bCs/>
      <w:sz w:val="24"/>
      <w:szCs w:val="24"/>
    </w:rPr>
  </w:style>
  <w:style w:type="paragraph" w:styleId="5">
    <w:name w:val="heading 5"/>
    <w:basedOn w:val="a"/>
    <w:next w:val="a"/>
    <w:uiPriority w:val="9"/>
    <w:semiHidden/>
    <w:unhideWhenUsed/>
    <w:qFormat/>
    <w:pPr>
      <w:keepNext/>
      <w:keepLines/>
      <w:spacing w:before="220" w:after="40"/>
      <w:outlineLvl w:val="4"/>
    </w:pPr>
    <w:rPr>
      <w:b/>
      <w:bCs/>
    </w:rPr>
  </w:style>
  <w:style w:type="paragraph" w:styleId="6">
    <w:name w:val="heading 6"/>
    <w:basedOn w:val="a"/>
    <w:next w:val="a"/>
    <w:uiPriority w:val="9"/>
    <w:semiHidden/>
    <w:unhideWhenUsed/>
    <w:qFormat/>
    <w:pPr>
      <w:keepNext/>
      <w:keepLines/>
      <w:spacing w:before="200" w:after="40"/>
      <w:outlineLvl w:val="5"/>
    </w:pPr>
    <w:rPr>
      <w:b/>
      <w:bCs/>
      <w:sz w:val="20"/>
      <w:szCs w:val="2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a3">
    <w:name w:val="Title"/>
    <w:basedOn w:val="a"/>
    <w:next w:val="a"/>
    <w:uiPriority w:val="10"/>
    <w:qFormat/>
    <w:pPr>
      <w:keepNext/>
      <w:keepLines/>
      <w:spacing w:before="480" w:after="120"/>
    </w:pPr>
    <w:rPr>
      <w:b/>
      <w:bCs/>
      <w:sz w:val="72"/>
      <w:szCs w:val="72"/>
    </w:rPr>
  </w:style>
  <w:style w:type="paragraph" w:styleId="a4">
    <w:name w:val="Subtitle"/>
    <w:basedOn w:val="a"/>
    <w:next w:val="a"/>
    <w:uiPriority w:val="11"/>
    <w:qFormat/>
    <w:pPr>
      <w:keepNext/>
      <w:keepLines/>
      <w:spacing w:before="360" w:after="80"/>
    </w:pPr>
    <w:rPr>
      <w:rFonts w:ascii="Georgia" w:eastAsia="Georgia" w:hAnsi="Georgia" w:cs="Georgia"/>
      <w:i/>
      <w:iCs/>
      <w:color w:val="666666"/>
      <w:sz w:val="48"/>
      <w:szCs w:val="48"/>
    </w:rPr>
  </w:style>
  <w:style w:type="table" w:customStyle="1" w:styleId="a5">
    <w:basedOn w:val="TableNormal"/>
    <w:pPr>
      <w:spacing w:after="0" w:line="240" w:lineRule="auto"/>
    </w:pPr>
    <w:tblPr>
      <w:tblStyleRowBandSize w:val="1"/>
      <w:tblStyleColBandSize w:val="1"/>
      <w:tblCellMar>
        <w:top w:w="16" w:type="dxa"/>
        <w:left w:w="101" w:type="dxa"/>
        <w:bottom w:w="0" w:type="dxa"/>
        <w:right w:w="0" w:type="dxa"/>
      </w:tblCellMar>
    </w:tblPr>
  </w:style>
  <w:style w:type="table" w:customStyle="1" w:styleId="a6">
    <w:basedOn w:val="TableNormal"/>
    <w:pPr>
      <w:spacing w:after="0" w:line="240" w:lineRule="auto"/>
    </w:pPr>
    <w:tblPr>
      <w:tblStyleRowBandSize w:val="1"/>
      <w:tblStyleColBandSize w:val="1"/>
      <w:tblCellMar>
        <w:top w:w="18" w:type="dxa"/>
        <w:left w:w="101" w:type="dxa"/>
        <w:bottom w:w="0" w:type="dxa"/>
        <w:right w:w="40" w:type="dxa"/>
      </w:tblCellMar>
    </w:tblPr>
  </w:style>
  <w:style w:type="table" w:customStyle="1" w:styleId="a7">
    <w:basedOn w:val="TableNormal"/>
    <w:pPr>
      <w:spacing w:after="0" w:line="240" w:lineRule="auto"/>
    </w:pPr>
    <w:tblPr>
      <w:tblStyleRowBandSize w:val="1"/>
      <w:tblStyleColBandSize w:val="1"/>
      <w:tblCellMar>
        <w:top w:w="21" w:type="dxa"/>
        <w:left w:w="101" w:type="dxa"/>
        <w:bottom w:w="0" w:type="dxa"/>
        <w:right w:w="40" w:type="dxa"/>
      </w:tblCellMar>
    </w:tblPr>
  </w:style>
  <w:style w:type="paragraph" w:styleId="a8">
    <w:name w:val="header"/>
    <w:basedOn w:val="a"/>
    <w:link w:val="Char"/>
    <w:uiPriority w:val="99"/>
    <w:unhideWhenUsed/>
    <w:rsid w:val="00D258FA"/>
    <w:pPr>
      <w:tabs>
        <w:tab w:val="center" w:pos="4513"/>
        <w:tab w:val="right" w:pos="9026"/>
      </w:tabs>
      <w:snapToGrid w:val="0"/>
    </w:pPr>
  </w:style>
  <w:style w:type="character" w:customStyle="1" w:styleId="Char">
    <w:name w:val="머리글 Char"/>
    <w:basedOn w:val="a0"/>
    <w:link w:val="a8"/>
    <w:uiPriority w:val="99"/>
    <w:rsid w:val="00D258FA"/>
  </w:style>
  <w:style w:type="paragraph" w:styleId="a9">
    <w:name w:val="footer"/>
    <w:basedOn w:val="a"/>
    <w:link w:val="Char0"/>
    <w:uiPriority w:val="99"/>
    <w:unhideWhenUsed/>
    <w:rsid w:val="00D258FA"/>
    <w:pPr>
      <w:tabs>
        <w:tab w:val="center" w:pos="4513"/>
        <w:tab w:val="right" w:pos="9026"/>
      </w:tabs>
      <w:snapToGrid w:val="0"/>
    </w:pPr>
  </w:style>
  <w:style w:type="character" w:customStyle="1" w:styleId="Char0">
    <w:name w:val="바닥글 Char"/>
    <w:basedOn w:val="a0"/>
    <w:link w:val="a9"/>
    <w:uiPriority w:val="99"/>
    <w:rsid w:val="00D258F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 Id="rId15" Type="http://schemas.openxmlformats.org/officeDocument/2006/relationships/hyperlink" Target="https://github.com/16th-eicon-contest/h1-SnapCare" TargetMode="External"/><Relationship Id="rId16" Type="http://schemas.openxmlformats.org/officeDocument/2006/relationships/hyperlink" Target="https://snapcare.fly.dev" TargetMode="External"/><Relationship Id="rId17" Type="http://schemas.openxmlformats.org/officeDocument/2006/relationships/image" Target="media/image2.png"/><Relationship Id="rId18" Type="http://schemas.openxmlformats.org/officeDocument/2006/relationships/image" Target="media/image3.png"/><Relationship Id="rId19" Type="http://schemas.openxmlformats.org/officeDocument/2006/relationships/image" Target="media/image4.png"/><Relationship Id="rId20" Type="http://schemas.openxmlformats.org/officeDocument/2006/relationships/image" Target="media/image5.png"/><Relationship Id="rId21" Type="http://schemas.openxmlformats.org/officeDocument/2006/relationships/image" Target="media/image6.png"/><Relationship Id="rId22" Type="http://schemas.openxmlformats.org/officeDocument/2006/relationships/image" Target="media/image7.png"/><Relationship Id="rId23" Type="http://schemas.openxmlformats.org/officeDocument/2006/relationships/image" Target="media/image8.png"/><Relationship Id="rId24" Type="http://schemas.openxmlformats.org/officeDocument/2006/relationships/image" Target="media/image9.png"/><Relationship Id="rId25" Type="http://schemas.openxmlformats.org/officeDocument/2006/relationships/image" Target="media/image10.png"/><Relationship Id="rId26" Type="http://schemas.openxmlformats.org/officeDocument/2006/relationships/image" Target="media/image11.png"/><Relationship Id="rId27" Type="http://schemas.openxmlformats.org/officeDocument/2006/relationships/image" Target="media/image12.png"/><Relationship Id="rId28" Type="http://schemas.openxmlformats.org/officeDocument/2006/relationships/hyperlink" Target="https://www.usp.org/health-quality-safety/usp-pictograms" TargetMode="External"/><Relationship Id="rId29" Type="http://schemas.openxmlformats.org/officeDocument/2006/relationships/image" Target="media/image13.png"/><Relationship Id="rId30" Type="http://schemas.openxmlformats.org/officeDocument/2006/relationships/image" Target="media/image14.png"/><Relationship Id="rId31" Type="http://schemas.openxmlformats.org/officeDocument/2006/relationships/image" Target="media/image15.png"/><Relationship Id="rId32" Type="http://schemas.openxmlformats.org/officeDocument/2006/relationships/image" Target="media/image16.png"/><Relationship Id="rId33" Type="http://schemas.openxmlformats.org/officeDocument/2006/relationships/image" Target="media/image17.png"/><Relationship Id="rId34" Type="http://schemas.openxmlformats.org/officeDocument/2006/relationships/image" Target="media/image18.png"/><Relationship Id="rId35" Type="http://schemas.openxmlformats.org/officeDocument/2006/relationships/image" Target="media/image19.png"/><Relationship Id="rId36" Type="http://schemas.openxmlformats.org/officeDocument/2006/relationships/image" Target="media/image20.png"/><Relationship Id="rId37" Type="http://schemas.openxmlformats.org/officeDocument/2006/relationships/image" Target="media/image21.png"/><Relationship Id="rId38" Type="http://schemas.openxmlformats.org/officeDocument/2006/relationships/image" Target="media/image22.png"/><Relationship Id="rId39" Type="http://schemas.openxmlformats.org/officeDocument/2006/relationships/image" Target="media/image23.png"/><Relationship Id="rId40" Type="http://schemas.openxmlformats.org/officeDocument/2006/relationships/image" Target="media/image24.png"/><Relationship Id="rId41" Type="http://schemas.openxmlformats.org/officeDocument/2006/relationships/image" Target="media/image25.png"/><Relationship Id="rId42" Type="http://schemas.openxmlformats.org/officeDocument/2006/relationships/image" Target="media/image26.png"/><Relationship Id="rId43" Type="http://schemas.openxmlformats.org/officeDocument/2006/relationships/image" Target="media/image27.png"/><Relationship Id="rId44" Type="http://schemas.openxmlformats.org/officeDocument/2006/relationships/image" Target="media/image28.png"/><Relationship Id="rId45" Type="http://schemas.openxmlformats.org/officeDocument/2006/relationships/image" Target="media/image29.png"/><Relationship Id="rId46" Type="http://schemas.openxmlformats.org/officeDocument/2006/relationships/image" Target="media/image30.png"/><Relationship Id="rId47" Type="http://schemas.openxmlformats.org/officeDocument/2006/relationships/image" Target="media/image31.png"/><Relationship Id="rId48" Type="http://schemas.openxmlformats.org/officeDocument/2006/relationships/image" Target="media/image32.png"/><Relationship Id="rId49" Type="http://schemas.openxmlformats.org/officeDocument/2006/relationships/image" Target="media/image33.png"/><Relationship Id="rId50" Type="http://schemas.openxmlformats.org/officeDocument/2006/relationships/image" Target="media/image34.png"/><Relationship Id="rId51" Type="http://schemas.openxmlformats.org/officeDocument/2006/relationships/image" Target="media/image35.png"/><Relationship Id="rId52" Type="http://schemas.openxmlformats.org/officeDocument/2006/relationships/image" Target="media/image36.png"/><Relationship Id="rId53" Type="http://schemas.openxmlformats.org/officeDocument/2006/relationships/image" Target="media/image37.png"/><Relationship Id="rId54" Type="http://schemas.openxmlformats.org/officeDocument/2006/relationships/image" Target="media/image38.png"/><Relationship Id="rId55" Type="http://schemas.openxmlformats.org/officeDocument/2006/relationships/image" Target="media/image39.png"/><Relationship Id="rId56" Type="http://schemas.openxmlformats.org/officeDocument/2006/relationships/image" Target="media/image40.png"/><Relationship Id="rId57" Type="http://schemas.openxmlformats.org/officeDocument/2006/relationships/image" Target="media/image41.png"/><Relationship Id="rId58" Type="http://schemas.openxmlformats.org/officeDocument/2006/relationships/image" Target="media/image42.png"/><Relationship Id="rId59" Type="http://schemas.openxmlformats.org/officeDocument/2006/relationships/image" Target="media/image43.png"/><Relationship Id="rId60" Type="http://schemas.openxmlformats.org/officeDocument/2006/relationships/image" Target="media/image44.png"/><Relationship Id="rId61" Type="http://schemas.openxmlformats.org/officeDocument/2006/relationships/image" Target="media/image45.png"/><Relationship Id="rId62" Type="http://schemas.openxmlformats.org/officeDocument/2006/relationships/image" Target="media/image46.png"/><Relationship Id="rId63" Type="http://schemas.openxmlformats.org/officeDocument/2006/relationships/image" Target="media/image47.png"/><Relationship Id="rId64" Type="http://schemas.openxmlformats.org/officeDocument/2006/relationships/image" Target="media/image48.png"/><Relationship Id="rId65" Type="http://schemas.openxmlformats.org/officeDocument/2006/relationships/hyperlink" Target="https://huggingface.co/spaces/Supertone/supertonic-3" TargetMode="External"/><Relationship Id="rId66" Type="http://schemas.openxmlformats.org/officeDocument/2006/relationships/hyperlink" Target="https://wisconsinliteracy.org/health-literacy/programs/health-literacy-programs/lets-talk-about-medicines/lets-talk-about-medicines-workbooks/special-instructions.html" TargetMode="External"/><Relationship Id="rId67" Type="http://schemas.openxmlformats.org/officeDocument/2006/relationships/hyperlink" Target="https://www.w3.org/TR/wcag2mobile-22/" TargetMode="External"/><Relationship Id="rId68" Type="http://schemas.openxmlformats.org/officeDocument/2006/relationships/hyperlink" Target="https://pubmed.ncbi.nlm.nih.gov/37214531/" TargetMode="External"/><Relationship Id="rId69" Type="http://schemas.openxmlformats.org/officeDocument/2006/relationships/hyperlink" Target="https://www.sciencedirect.com/science/article/pii/S2213398425002040" TargetMode="External"/><Relationship Id="rId70" Type="http://schemas.openxmlformats.org/officeDocument/2006/relationships/hyperlink" Target="https://health.kr/mediCounsel/pictogram.asp" TargetMode="Externa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7E03BA9F-C48E-4967-BC40-1E3F207CEB0F}">
  <we:reference id="wa200010453" version="1.0.0.1" store="ko-KR" storeType="OMEX"/>
  <we:alternateReferences>
    <we:reference id="WA200010453" version="1.0.0.1" store="" storeType="OMEX"/>
  </we:alternateReferences>
  <we:properties>
    <we:property name="claude.fileId" value="&quot;32656128-9320-4a9e-9d96-a4d1dcbdd072&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1rxHaVrLbtS9Pr+u9c9fZv3jpVA==">CgMxLjA4AHIhMVRndHNjUUszcmFUS3MteXV5S2lVMG45c1NtSThpbE1R</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Application>Microsoft Office Word</Application>
  <DocSecurity>0</DocSecurity>
  <ScaleCrop>false</ScaleCrop>
  <HeadingPairs>
    <vt:vector size="2" baseType="variant">
      <vt:variant>
        <vt:lpstr>제목</vt:lpstr>
      </vt:variant>
      <vt:variant>
        <vt:i4>1</vt:i4>
      </vt:variant>
    </vt:vector>
  </HeadingPairs>
  <TitlesOfParts>
    <vt:vector size="1" baseType="lpstr">
      <vt:lpstr/>
    </vt:vector>
  </TitlesOfParts>
  <Company/>
  <LinksUpToDate>false</LinksUpToDate>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Global Team H1 · SnapCare</dc:creator>
  <cp:lastModifiedBy>Global Team H1 · SnapCare</cp:lastModifiedBy>
  <cp:revision>3</cp:revision>
  <dcterms:created xsi:type="dcterms:W3CDTF">2026-07-14T00:56:00Z</dcterms:created>
  <dcterms:modified xsi:type="dcterms:W3CDTF">2026-08-04T11:00:32Z</dcterms:modified>
  <cp:contentStatus>src:94d291eee947</cp:contentStatus>
</cp:coreProperties>
</file>