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b/>
                <w:sz w:val="20"/>
              </w:rPr>
              <w:t>목차</w:t>
            </w:r>
          </w:p>
          <w:p>
            <w:pPr>
              <w:spacing w:after="80" w:line="276" w:lineRule="auto"/>
              <w:jc w:val="both"/>
            </w:pPr>
            <w:r>
              <w:rPr>
                <w:rFonts w:ascii="Times New Roman" w:hAnsi="Times New Roman" w:eastAsia="바탕"/>
                <w:sz w:val="20"/>
              </w:rPr>
              <w:t>쪽 번호를 적지 않았다. 절 번호로 찾는다.</w:t>
            </w:r>
          </w:p>
          <w:p>
            <w:pPr>
              <w:spacing w:after="80" w:line="276" w:lineRule="auto"/>
              <w:jc w:val="both"/>
            </w:pPr>
            <w:r>
              <w:rPr>
                <w:rFonts w:ascii="Times New Roman" w:hAnsi="Times New Roman" w:eastAsia="바탕"/>
                <w:b/>
                <w:sz w:val="20"/>
              </w:rPr>
              <w:t>목차</w:t>
            </w:r>
          </w:p>
          <w:p>
            <w:pPr>
              <w:spacing w:after="80" w:line="276" w:lineRule="auto"/>
              <w:jc w:val="both"/>
            </w:pPr>
            <w:r>
              <w:rPr>
                <w:rFonts w:ascii="Times New Roman" w:hAnsi="Times New Roman" w:eastAsia="바탕"/>
                <w:b/>
                <w:sz w:val="20"/>
              </w:rPr>
              <w:t>Problem Statement and Background</w:t>
            </w:r>
          </w:p>
          <w:p>
            <w:pPr>
              <w:spacing w:after="80" w:line="276" w:lineRule="auto"/>
              <w:jc w:val="both"/>
            </w:pPr>
            <w:r>
              <w:rPr>
                <w:rFonts w:ascii="Times New Roman" w:hAnsi="Times New Roman" w:eastAsia="바탕"/>
                <w:sz w:val="20"/>
              </w:rPr>
              <w:t>1.1  비문해 인구의 규모와 추세</w:t>
            </w:r>
          </w:p>
          <w:p>
            <w:pPr>
              <w:spacing w:after="80" w:line="276" w:lineRule="auto"/>
              <w:jc w:val="both"/>
            </w:pPr>
            <w:r>
              <w:rPr>
                <w:rFonts w:ascii="Times New Roman" w:hAnsi="Times New Roman" w:eastAsia="바탕"/>
                <w:sz w:val="20"/>
              </w:rPr>
              <w:t>1.2  건강 문해력의 분포</w:t>
            </w:r>
          </w:p>
          <w:p>
            <w:pPr>
              <w:spacing w:after="80" w:line="276" w:lineRule="auto"/>
              <w:jc w:val="both"/>
            </w:pPr>
            <w:r>
              <w:rPr>
                <w:rFonts w:ascii="Times New Roman" w:hAnsi="Times New Roman" w:eastAsia="바탕"/>
                <w:sz w:val="20"/>
              </w:rPr>
              <w:t>1.3  복약 오류의 유형과 대가</w:t>
            </w:r>
          </w:p>
          <w:p>
            <w:pPr>
              <w:spacing w:after="80" w:line="276" w:lineRule="auto"/>
              <w:jc w:val="both"/>
            </w:pPr>
            <w:r>
              <w:rPr>
                <w:rFonts w:ascii="Times New Roman" w:hAnsi="Times New Roman" w:eastAsia="바탕"/>
                <w:sz w:val="20"/>
              </w:rPr>
              <w:t>1.4  국제 정책과 그 사각지대</w:t>
            </w:r>
          </w:p>
          <w:p>
            <w:pPr>
              <w:spacing w:after="80" w:line="276" w:lineRule="auto"/>
              <w:jc w:val="both"/>
            </w:pPr>
            <w:r>
              <w:rPr>
                <w:rFonts w:ascii="Times New Roman" w:hAnsi="Times New Roman" w:eastAsia="바탕"/>
                <w:sz w:val="20"/>
              </w:rPr>
              <w:t>1.5  미진단 인구라는 전제 조건</w:t>
            </w:r>
          </w:p>
          <w:p>
            <w:pPr>
              <w:spacing w:after="80" w:line="276" w:lineRule="auto"/>
              <w:jc w:val="both"/>
            </w:pPr>
            <w:r>
              <w:rPr>
                <w:rFonts w:ascii="Times New Roman" w:hAnsi="Times New Roman" w:eastAsia="바탕"/>
                <w:sz w:val="20"/>
              </w:rPr>
              <w:t>1.6  전달 매체의 보급 현황</w:t>
            </w:r>
          </w:p>
          <w:p>
            <w:pPr>
              <w:spacing w:after="80" w:line="276" w:lineRule="auto"/>
              <w:jc w:val="both"/>
            </w:pPr>
            <w:r>
              <w:rPr>
                <w:rFonts w:ascii="Times New Roman" w:hAnsi="Times New Roman" w:eastAsia="바탕"/>
                <w:sz w:val="20"/>
              </w:rPr>
              <w:t>1.7  고령화의 규모와 지리적 이동</w:t>
            </w:r>
          </w:p>
          <w:p>
            <w:pPr>
              <w:spacing w:after="80" w:line="276" w:lineRule="auto"/>
              <w:jc w:val="both"/>
            </w:pPr>
            <w:r>
              <w:rPr>
                <w:rFonts w:ascii="Times New Roman" w:hAnsi="Times New Roman" w:eastAsia="바탕"/>
                <w:sz w:val="20"/>
              </w:rPr>
              <w:t>1.8  시각적 전달의 효과와 한계</w:t>
            </w:r>
          </w:p>
          <w:p>
            <w:pPr>
              <w:spacing w:after="80" w:line="276" w:lineRule="auto"/>
              <w:jc w:val="both"/>
            </w:pPr>
            <w:r>
              <w:rPr>
                <w:rFonts w:ascii="Times New Roman" w:hAnsi="Times New Roman" w:eastAsia="바탕"/>
                <w:sz w:val="20"/>
              </w:rPr>
              <w:t>1.9  기존 픽토그램 표준의 구조적 제약</w:t>
            </w:r>
          </w:p>
          <w:p>
            <w:pPr>
              <w:spacing w:after="80" w:line="276" w:lineRule="auto"/>
              <w:jc w:val="both"/>
            </w:pPr>
            <w:r>
              <w:rPr>
                <w:rFonts w:ascii="Times New Roman" w:hAnsi="Times New Roman" w:eastAsia="바탕"/>
                <w:sz w:val="20"/>
              </w:rPr>
              <w:t>1.10  저문해 인터페이스 선행연구</w:t>
            </w:r>
          </w:p>
          <w:p>
            <w:pPr>
              <w:spacing w:after="80" w:line="276" w:lineRule="auto"/>
              <w:jc w:val="both"/>
            </w:pPr>
            <w:r>
              <w:rPr>
                <w:rFonts w:ascii="Times New Roman" w:hAnsi="Times New Roman" w:eastAsia="바탕"/>
                <w:sz w:val="20"/>
              </w:rPr>
              <w:t>1.11  문제의 종합</w:t>
            </w:r>
          </w:p>
          <w:p>
            <w:pPr>
              <w:spacing w:after="80" w:line="276" w:lineRule="auto"/>
              <w:jc w:val="both"/>
            </w:pPr>
            <w:r>
              <w:rPr>
                <w:rFonts w:ascii="Times New Roman" w:hAnsi="Times New Roman" w:eastAsia="바탕"/>
                <w:sz w:val="20"/>
              </w:rPr>
              <w:t>1.12  우리 두 나라에서 이 문제가 어떻게 보이는가</w:t>
            </w:r>
          </w:p>
          <w:p>
            <w:pPr>
              <w:spacing w:after="80" w:line="276" w:lineRule="auto"/>
              <w:jc w:val="both"/>
            </w:pPr>
            <w:r>
              <w:rPr>
                <w:rFonts w:ascii="Times New Roman" w:hAnsi="Times New Roman" w:eastAsia="바탕"/>
                <w:sz w:val="20"/>
              </w:rPr>
              <w:t>1.13  대상의 범위와 설계 기준</w:t>
            </w:r>
          </w:p>
          <w:p>
            <w:pPr>
              <w:spacing w:after="80" w:line="276" w:lineRule="auto"/>
              <w:jc w:val="both"/>
            </w:pPr>
            <w:r>
              <w:rPr>
                <w:rFonts w:ascii="Times New Roman" w:hAnsi="Times New Roman" w:eastAsia="바탕"/>
                <w:b/>
                <w:sz w:val="20"/>
              </w:rPr>
              <w:t>Solution and Main Functions</w:t>
            </w:r>
          </w:p>
          <w:p>
            <w:pPr>
              <w:spacing w:after="80" w:line="276" w:lineRule="auto"/>
              <w:jc w:val="both"/>
            </w:pPr>
            <w:r>
              <w:rPr>
                <w:rFonts w:ascii="Times New Roman" w:hAnsi="Times New Roman" w:eastAsia="바탕"/>
                <w:sz w:val="20"/>
              </w:rPr>
              <w:t>2.1  설계 원칙</w:t>
            </w:r>
          </w:p>
          <w:p>
            <w:pPr>
              <w:spacing w:after="80" w:line="276" w:lineRule="auto"/>
              <w:jc w:val="both"/>
            </w:pPr>
            <w:r>
              <w:rPr>
                <w:rFonts w:ascii="Times New Roman" w:hAnsi="Times New Roman" w:eastAsia="바탕"/>
                <w:sz w:val="20"/>
              </w:rPr>
              <w:t>2.2  픽토그램 합성 엔진 SIGIL</w:t>
            </w:r>
          </w:p>
          <w:p>
            <w:pPr>
              <w:spacing w:after="80" w:line="276" w:lineRule="auto"/>
              <w:jc w:val="both"/>
            </w:pPr>
            <w:r>
              <w:rPr>
                <w:rFonts w:ascii="Times New Roman" w:hAnsi="Times New Roman" w:eastAsia="바탕"/>
                <w:sz w:val="20"/>
              </w:rPr>
              <w:t>2.3  음성 지시 재구성 엔진 VOCA</w:t>
            </w:r>
          </w:p>
          <w:p>
            <w:pPr>
              <w:spacing w:after="80" w:line="276" w:lineRule="auto"/>
              <w:jc w:val="both"/>
            </w:pPr>
            <w:r>
              <w:rPr>
                <w:rFonts w:ascii="Times New Roman" w:hAnsi="Times New Roman" w:eastAsia="바탕"/>
                <w:sz w:val="20"/>
              </w:rPr>
              <w:t>2.4  개인별 판정 기준의 유도</w:t>
            </w:r>
          </w:p>
          <w:p>
            <w:pPr>
              <w:spacing w:after="80" w:line="276" w:lineRule="auto"/>
              <w:jc w:val="both"/>
            </w:pPr>
            <w:r>
              <w:rPr>
                <w:rFonts w:ascii="Times New Roman" w:hAnsi="Times New Roman" w:eastAsia="바탕"/>
                <w:sz w:val="20"/>
              </w:rPr>
              <w:t>2.5  조건 수집과 알레르기 추론</w:t>
            </w:r>
          </w:p>
          <w:p>
            <w:pPr>
              <w:spacing w:after="80" w:line="276" w:lineRule="auto"/>
              <w:jc w:val="both"/>
            </w:pPr>
            <w:r>
              <w:rPr>
                <w:rFonts w:ascii="Times New Roman" w:hAnsi="Times New Roman" w:eastAsia="바탕"/>
                <w:sz w:val="20"/>
              </w:rPr>
              <w:t>2.6  기존 접근과의 차별점</w:t>
            </w:r>
          </w:p>
          <w:p>
            <w:pPr>
              <w:spacing w:after="80" w:line="276" w:lineRule="auto"/>
              <w:jc w:val="both"/>
            </w:pPr>
            <w:r>
              <w:rPr>
                <w:rFonts w:ascii="Times New Roman" w:hAnsi="Times New Roman" w:eastAsia="바탕"/>
                <w:sz w:val="20"/>
              </w:rPr>
              <w:t>2.7  핵심 기능 셋</w:t>
            </w:r>
          </w:p>
          <w:p>
            <w:pPr>
              <w:spacing w:after="80" w:line="276" w:lineRule="auto"/>
              <w:jc w:val="both"/>
            </w:pPr>
            <w:r>
              <w:rPr>
                <w:rFonts w:ascii="Times New Roman" w:hAnsi="Times New Roman" w:eastAsia="바탕"/>
                <w:b/>
                <w:sz w:val="20"/>
              </w:rPr>
              <w:t>User Flow of the Web App</w:t>
            </w:r>
          </w:p>
          <w:p>
            <w:pPr>
              <w:spacing w:after="80" w:line="276" w:lineRule="auto"/>
              <w:jc w:val="both"/>
            </w:pPr>
            <w:r>
              <w:rPr>
                <w:rFonts w:ascii="Times New Roman" w:hAnsi="Times New Roman" w:eastAsia="바탕"/>
                <w:sz w:val="20"/>
              </w:rPr>
              <w:t>3.1  전체 흐름</w:t>
            </w:r>
          </w:p>
          <w:p>
            <w:pPr>
              <w:spacing w:after="80" w:line="276" w:lineRule="auto"/>
              <w:jc w:val="both"/>
            </w:pPr>
            <w:r>
              <w:rPr>
                <w:rFonts w:ascii="Times New Roman" w:hAnsi="Times New Roman" w:eastAsia="바탕"/>
                <w:sz w:val="20"/>
              </w:rPr>
              <w:t>3.2  첫 실행과 프로필 설정</w:t>
            </w:r>
          </w:p>
          <w:p>
            <w:pPr>
              <w:spacing w:after="80" w:line="276" w:lineRule="auto"/>
              <w:jc w:val="both"/>
            </w:pPr>
            <w:r>
              <w:rPr>
                <w:rFonts w:ascii="Times New Roman" w:hAnsi="Times New Roman" w:eastAsia="바탕"/>
                <w:sz w:val="20"/>
              </w:rPr>
              <w:t>3.3  촬영에서 판정까지</w:t>
            </w:r>
          </w:p>
          <w:p>
            <w:pPr>
              <w:spacing w:after="80" w:line="276" w:lineRule="auto"/>
              <w:jc w:val="both"/>
            </w:pPr>
            <w:r>
              <w:rPr>
                <w:rFonts w:ascii="Times New Roman" w:hAnsi="Times New Roman" w:eastAsia="바탕"/>
                <w:sz w:val="20"/>
              </w:rPr>
              <w:t>3.4  인식에 실패했을 때의 경로</w:t>
            </w:r>
          </w:p>
          <w:p>
            <w:pPr>
              <w:spacing w:after="80" w:line="276" w:lineRule="auto"/>
              <w:jc w:val="both"/>
            </w:pPr>
            <w:r>
              <w:rPr>
                <w:rFonts w:ascii="Times New Roman" w:hAnsi="Times New Roman" w:eastAsia="바탕"/>
                <w:sz w:val="20"/>
              </w:rPr>
              <w:t>3.5  음성 접근 경로</w:t>
            </w:r>
          </w:p>
          <w:p>
            <w:pPr>
              <w:spacing w:after="80" w:line="276" w:lineRule="auto"/>
              <w:jc w:val="both"/>
            </w:pPr>
            <w:r>
              <w:rPr>
                <w:rFonts w:ascii="Times New Roman" w:hAnsi="Times New Roman" w:eastAsia="바탕"/>
                <w:sz w:val="20"/>
              </w:rPr>
              <w:t>3.6  기기 공유와 구성원 분리</w:t>
            </w:r>
          </w:p>
          <w:p>
            <w:pPr>
              <w:spacing w:after="80" w:line="276" w:lineRule="auto"/>
              <w:jc w:val="both"/>
            </w:pPr>
            <w:r>
              <w:rPr>
                <w:rFonts w:ascii="Times New Roman" w:hAnsi="Times New Roman" w:eastAsia="바탕"/>
                <w:sz w:val="20"/>
              </w:rPr>
              <w:t>3.7  색 이외의 전달 층</w:t>
            </w:r>
          </w:p>
          <w:p>
            <w:pPr>
              <w:spacing w:after="80" w:line="276" w:lineRule="auto"/>
              <w:jc w:val="both"/>
            </w:pPr>
            <w:r>
              <w:rPr>
                <w:rFonts w:ascii="Times New Roman" w:hAnsi="Times New Roman" w:eastAsia="바탕"/>
                <w:sz w:val="20"/>
              </w:rPr>
              <w:t>3.8  알아들었는지 되짚는 단계</w:t>
            </w:r>
          </w:p>
          <w:p>
            <w:pPr>
              <w:spacing w:after="80" w:line="276" w:lineRule="auto"/>
              <w:jc w:val="both"/>
            </w:pPr>
            <w:r>
              <w:rPr>
                <w:rFonts w:ascii="Times New Roman" w:hAnsi="Times New Roman" w:eastAsia="바탕"/>
                <w:sz w:val="20"/>
              </w:rPr>
              <w:t>3.9  복약 루틴과 지난 넉 주</w:t>
            </w:r>
          </w:p>
          <w:p>
            <w:pPr>
              <w:spacing w:after="80" w:line="276" w:lineRule="auto"/>
              <w:jc w:val="both"/>
            </w:pPr>
            <w:r>
              <w:rPr>
                <w:rFonts w:ascii="Times New Roman" w:hAnsi="Times New Roman" w:eastAsia="바탕"/>
                <w:b/>
                <w:sz w:val="20"/>
              </w:rPr>
              <w:t>Development and Implementation</w:t>
            </w:r>
          </w:p>
          <w:p>
            <w:pPr>
              <w:spacing w:after="80" w:line="276" w:lineRule="auto"/>
              <w:jc w:val="both"/>
            </w:pPr>
            <w:r>
              <w:rPr>
                <w:rFonts w:ascii="Times New Roman" w:hAnsi="Times New Roman" w:eastAsia="바탕"/>
                <w:sz w:val="20"/>
              </w:rPr>
              <w:t>4.1  구성 개요</w:t>
            </w:r>
          </w:p>
          <w:p>
            <w:pPr>
              <w:spacing w:after="80" w:line="276" w:lineRule="auto"/>
              <w:jc w:val="both"/>
            </w:pPr>
            <w:r>
              <w:rPr>
                <w:rFonts w:ascii="Times New Roman" w:hAnsi="Times New Roman" w:eastAsia="바탕"/>
                <w:sz w:val="20"/>
              </w:rPr>
              <w:t>4.2  판정 엔진의 물리 검사</w:t>
            </w:r>
          </w:p>
          <w:p>
            <w:pPr>
              <w:spacing w:after="80" w:line="276" w:lineRule="auto"/>
              <w:jc w:val="both"/>
            </w:pPr>
            <w:r>
              <w:rPr>
                <w:rFonts w:ascii="Times New Roman" w:hAnsi="Times New Roman" w:eastAsia="바탕"/>
                <w:sz w:val="20"/>
              </w:rPr>
              <w:t>4.3  하드웨어 연동 경로의 선정</w:t>
            </w:r>
          </w:p>
          <w:p>
            <w:pPr>
              <w:spacing w:after="80" w:line="276" w:lineRule="auto"/>
              <w:jc w:val="both"/>
            </w:pPr>
            <w:r>
              <w:rPr>
                <w:rFonts w:ascii="Times New Roman" w:hAnsi="Times New Roman" w:eastAsia="바탕"/>
                <w:sz w:val="20"/>
              </w:rPr>
              <w:t>4.4  종이 서식 판독</w:t>
            </w:r>
          </w:p>
          <w:p>
            <w:pPr>
              <w:spacing w:after="80" w:line="276" w:lineRule="auto"/>
              <w:jc w:val="both"/>
            </w:pPr>
            <w:r>
              <w:rPr>
                <w:rFonts w:ascii="Times New Roman" w:hAnsi="Times New Roman" w:eastAsia="바탕"/>
                <w:sz w:val="20"/>
              </w:rPr>
              <w:t>4.5  오프라인 동작</w:t>
            </w:r>
          </w:p>
          <w:p>
            <w:pPr>
              <w:spacing w:after="80" w:line="276" w:lineRule="auto"/>
              <w:jc w:val="both"/>
            </w:pPr>
            <w:r>
              <w:rPr>
                <w:rFonts w:ascii="Times New Roman" w:hAnsi="Times New Roman" w:eastAsia="바탕"/>
                <w:sz w:val="20"/>
              </w:rPr>
              <w:t>4.6  개인정보 보호</w:t>
            </w:r>
          </w:p>
          <w:p>
            <w:pPr>
              <w:spacing w:after="80" w:line="276" w:lineRule="auto"/>
              <w:jc w:val="both"/>
            </w:pPr>
            <w:r>
              <w:rPr>
                <w:rFonts w:ascii="Times New Roman" w:hAnsi="Times New Roman" w:eastAsia="바탕"/>
                <w:sz w:val="20"/>
              </w:rPr>
              <w:t>4.7  저장소와 협업</w:t>
            </w:r>
          </w:p>
          <w:p>
            <w:pPr>
              <w:spacing w:after="80" w:line="276" w:lineRule="auto"/>
              <w:jc w:val="both"/>
            </w:pPr>
            <w:r>
              <w:rPr>
                <w:rFonts w:ascii="Times New Roman" w:hAnsi="Times New Roman" w:eastAsia="바탕"/>
                <w:b/>
                <w:sz w:val="20"/>
              </w:rPr>
              <w:t>Results and Expected Impact (SDG 3 Contribution)</w:t>
            </w:r>
          </w:p>
          <w:p>
            <w:pPr>
              <w:spacing w:after="80" w:line="276" w:lineRule="auto"/>
              <w:jc w:val="both"/>
            </w:pPr>
            <w:r>
              <w:rPr>
                <w:rFonts w:ascii="Times New Roman" w:hAnsi="Times New Roman" w:eastAsia="바탕"/>
                <w:sz w:val="20"/>
              </w:rPr>
              <w:t>5.1  형성 평가. 정보 도달률</w:t>
            </w:r>
          </w:p>
          <w:p>
            <w:pPr>
              <w:spacing w:after="80" w:line="276" w:lineRule="auto"/>
              <w:jc w:val="both"/>
            </w:pPr>
            <w:r>
              <w:rPr>
                <w:rFonts w:ascii="Times New Roman" w:hAnsi="Times New Roman" w:eastAsia="바탕"/>
                <w:sz w:val="20"/>
              </w:rPr>
              <w:t>5.2  픽토그램 이해도 검증 절차</w:t>
            </w:r>
          </w:p>
          <w:p>
            <w:pPr>
              <w:spacing w:after="80" w:line="276" w:lineRule="auto"/>
              <w:jc w:val="both"/>
            </w:pPr>
            <w:r>
              <w:rPr>
                <w:rFonts w:ascii="Times New Roman" w:hAnsi="Times New Roman" w:eastAsia="바탕"/>
                <w:sz w:val="20"/>
              </w:rPr>
              <w:t>5.3  개선 불가로 판정한 형태소</w:t>
            </w:r>
          </w:p>
          <w:p>
            <w:pPr>
              <w:spacing w:after="80" w:line="276" w:lineRule="auto"/>
              <w:jc w:val="both"/>
            </w:pPr>
            <w:r>
              <w:rPr>
                <w:rFonts w:ascii="Times New Roman" w:hAnsi="Times New Roman" w:eastAsia="바탕"/>
                <w:sz w:val="20"/>
              </w:rPr>
              <w:t>5.4  측정의 한계</w:t>
            </w:r>
          </w:p>
          <w:p>
            <w:pPr>
              <w:spacing w:after="80" w:line="276" w:lineRule="auto"/>
              <w:jc w:val="both"/>
            </w:pPr>
            <w:r>
              <w:rPr>
                <w:rFonts w:ascii="Times New Roman" w:hAnsi="Times New Roman" w:eastAsia="바탕"/>
                <w:sz w:val="20"/>
              </w:rPr>
              <w:t>5.5  영양 추정 모델의 실측</w:t>
            </w:r>
          </w:p>
          <w:p>
            <w:pPr>
              <w:spacing w:after="80" w:line="276" w:lineRule="auto"/>
              <w:jc w:val="both"/>
            </w:pPr>
            <w:r>
              <w:rPr>
                <w:rFonts w:ascii="Times New Roman" w:hAnsi="Times New Roman" w:eastAsia="바탕"/>
                <w:sz w:val="20"/>
              </w:rPr>
              <w:t>5.6  오프라인 동작의 실측</w:t>
            </w:r>
          </w:p>
          <w:p>
            <w:pPr>
              <w:spacing w:after="80" w:line="276" w:lineRule="auto"/>
              <w:jc w:val="both"/>
            </w:pPr>
            <w:r>
              <w:rPr>
                <w:rFonts w:ascii="Times New Roman" w:hAnsi="Times New Roman" w:eastAsia="바탕"/>
                <w:sz w:val="20"/>
              </w:rPr>
              <w:t>5.7  전문가 의견 조사</w:t>
            </w:r>
          </w:p>
          <w:p>
            <w:pPr>
              <w:spacing w:after="80" w:line="276" w:lineRule="auto"/>
              <w:jc w:val="both"/>
            </w:pPr>
            <w:r>
              <w:rPr>
                <w:rFonts w:ascii="Times New Roman" w:hAnsi="Times New Roman" w:eastAsia="바탕"/>
                <w:sz w:val="20"/>
              </w:rPr>
              <w:t>5.8  SDG 3 에 대한 기여</w:t>
            </w:r>
          </w:p>
          <w:p>
            <w:pPr>
              <w:spacing w:after="80" w:line="276" w:lineRule="auto"/>
              <w:jc w:val="both"/>
            </w:pPr>
            <w:r>
              <w:rPr>
                <w:rFonts w:ascii="Times New Roman" w:hAnsi="Times New Roman" w:eastAsia="바탕"/>
                <w:sz w:val="20"/>
              </w:rPr>
              <w:t>5.9  미검증 항목</w:t>
            </w:r>
          </w:p>
          <w:p>
            <w:pPr>
              <w:spacing w:after="80" w:line="276" w:lineRule="auto"/>
              <w:jc w:val="both"/>
            </w:pPr>
            <w:r>
              <w:rPr>
                <w:rFonts w:ascii="Times New Roman" w:hAnsi="Times New Roman" w:eastAsia="바탕"/>
                <w:sz w:val="20"/>
              </w:rPr>
              <w:t>5.10  향후 계획</w:t>
            </w:r>
          </w:p>
          <w:p>
            <w:pPr>
              <w:spacing w:after="80" w:line="276" w:lineRule="auto"/>
              <w:jc w:val="both"/>
            </w:pPr>
            <w:r>
              <w:rPr>
                <w:rFonts w:ascii="Times New Roman" w:hAnsi="Times New Roman" w:eastAsia="바탕"/>
                <w:sz w:val="20"/>
              </w:rPr>
              <w:t>5.11  부록. 자유 서술 전문</w:t>
            </w:r>
          </w:p>
          <w:p>
            <w:pPr>
              <w:spacing w:after="80" w:line="276" w:lineRule="auto"/>
              <w:jc w:val="both"/>
            </w:pPr>
            <w:r>
              <w:rPr>
                <w:rFonts w:ascii="Times New Roman" w:hAnsi="Times New Roman" w:eastAsia="바탕"/>
                <w:sz w:val="20"/>
              </w:rPr>
              <w:t>5.12  부록. 선택형 응답 전수</w:t>
            </w:r>
          </w:p>
          <w:p>
            <w:pPr>
              <w:spacing w:after="80" w:line="276" w:lineRule="auto"/>
              <w:jc w:val="both"/>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비문해를 §1.12 까지 다룬다.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\inhaler{\food_bowl}</w:t>
            </w:r>
            <w:r>
              <w:rPr>
                <w:rFonts w:ascii="Times New Roman" w:hAnsi="Times New Roman" w:eastAsia="바탕"/>
                <w:sz w:val="20"/>
              </w:rPr>
              <w:t>(흡입기를 식사와 함께)을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우리가 이 긴장을 다루는 자리는 문법이 아니라 그 문법을 쓰는 쪽이다. 엔진은 머리 하나에 수식어를 여럿 받는다. 첫째는 머리 안쪽 슬롯에 들어가고 둘째부터는 머리 위 띠에 가로로 놓인다. 그런데 앱은 머리마다 수식어를 하나만 쓰고, 부위와 식사 맥락이 함께 있으면 하나를 다른 그림으로 따로 낸다(</w:t>
            </w:r>
            <w:r>
              <w:rPr>
                <w:rFonts w:ascii="Consolas" w:hAnsi="Consolas" w:eastAsia="Consolas"/>
                <w:sz w:val="19"/>
              </w:rPr>
              <w:t>lib/snapcare/sigil.ts</w:t>
            </w:r>
            <w:r>
              <w:rPr>
                <w:rFonts w:ascii="Times New Roman" w:hAnsi="Times New Roman" w:eastAsia="바탕"/>
                <w:sz w:val="20"/>
              </w:rPr>
              <w:t>). 그림 하나에 얹을 수 있는 것과 얹어도 읽히는 것이 다르기 때문이며, 이것은 문법이 막아 준 것이 아니라 우리가 정한 것이다.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머리 안쪽 자리에 들어간다(개수·냉장·눈·입).</w:t>
            </w:r>
          </w:p>
          <w:p>
            <w:pPr>
              <w:spacing w:after="80" w:line="276" w:lineRule="auto"/>
              <w:jc w:val="both"/>
            </w:pPr>
            <w:r>
              <w:rPr>
                <w:rFonts w:ascii="Times New Roman" w:hAnsi="Times New Roman" w:eastAsia="바탕"/>
                <w:sz w:val="20"/>
              </w:rPr>
              <w:t xml:space="preserve">수식어 가운데 넷은 홀로도 설 수 있다. 아침·정오·저녁·밤의 시각 형태소이며, 사전에 </w:t>
            </w:r>
            <w:r>
              <w:rPr>
                <w:rFonts w:ascii="Consolas" w:hAnsi="Consolas" w:eastAsia="Consolas"/>
                <w:sz w:val="19"/>
              </w:rPr>
              <w:t>standalone</w:t>
            </w:r>
            <w:r>
              <w:rPr>
                <w:rFonts w:ascii="Times New Roman" w:hAnsi="Times New Roman" w:eastAsia="바탕"/>
                <w:sz w:val="20"/>
              </w:rPr>
              <w:t xml:space="preserve"> 으로 표시되어 있고 파서가 그 표시를 보고 허용한다. 복용 시각은 어느 약에 붙는 조건이기도 하지만 그 자체로 하나의 지시이기 때문이다. "저녁에" 라는 그림 한 장이 앞의 약 그림 뒤에 서면 그것으로 지시가 된다. §1.9 에서 표현 가짓수를 1,258로 센 것도 이 넷을 따로 더한 결과다.</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표 12 의 세 갈래는 사용자에게 묻는 것들이다. 자료 구조에는 넷째 갈래가 하나 더 있는데, 그것은 묻지 않는다. 스스로는 알 수 없고 식사 기록이 쌓여야 드러나는 조건이며 자가보고 목록에 아예 띄우지 않는다. 지금 여기 들어 있는 것은 대두와 참깨다. 이 둘을 고른 이유가 §1.5 의 논지와 같다. 검사를 받아 본 적이 없으면 자기가 그것에 반응한다는 것을 알 방법이 없고, 물어 봐야 "아니오" 가 돌아온다.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 만든 기계에 꽂힌 서보가 셋이라는 뜻이고, 펌웨어는 여덟 층까지 핀을 잡아 두었으며 종이 서식도 여덟 층까지 받는다. 넷째 서보를 이미 예약된 핀에 꽂으면 그것으로 끝나고 설정을 고칠 일이 없다.</w:t>
            </w:r>
          </w:p>
          <w:p>
            <w:pPr>
              <w:spacing w:after="80" w:line="276" w:lineRule="auto"/>
              <w:jc w:val="both"/>
            </w:pPr>
            <w:r>
              <w:rPr>
                <w:rFonts w:ascii="Times New Roman" w:hAnsi="Times New Roman" w:eastAsia="바탕"/>
                <w:sz w:val="20"/>
              </w:rPr>
              <w:t xml:space="preserve">여기에 딸린 위험을 펌웨어가 스스로 적어 두었으므로 그대로 옮긴다. SG90 서보는 아무것도 보고하지 않아서 그 자리에 통이 꽂혀 있는지를 기계가 알 방법이 없다. 그래서 여덟을 다 받는다는 것은 없는 트레이를 가리키는 일정도 받아들인다는 뜻이고, 그 복용은 배출되지 않으면서 아무 오류도 내지 않는다. 걸림도 없고 표시도 없이 멀쩡해 보이는 기계가 된다. 실제로 꽂은 수를 </w:t>
            </w:r>
            <w:r>
              <w:rPr>
                <w:rFonts w:ascii="Consolas" w:hAnsi="Consolas" w:eastAsia="Consolas"/>
                <w:sz w:val="19"/>
              </w:rPr>
              <w:t>SNAPCARE_TRAYS</w:t>
            </w:r>
            <w:r>
              <w:rPr>
                <w:rFonts w:ascii="Times New Roman" w:hAnsi="Times New Roman" w:eastAsia="바탕"/>
                <w:sz w:val="20"/>
              </w:rPr>
              <w:t xml:space="preserve"> 로 적어 두면 그 일정이 받아들여지는 자리에서 막히며, 이 문서가 재고 있는 기계는 셋이다.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r>
              <w:tc>
                <w:tcPr>
                  <w:tcW w:type="dxa" w:w="3238"/>
                </w:tcPr>
                <w:p>
                  <w:r>
                    <w:rPr>
                      <w:rFonts w:ascii="Times New Roman" w:hAnsi="Times New Roman" w:eastAsia="바탕"/>
                      <w:sz w:val="18"/>
                    </w:rPr>
                    <w:t>손으로 쓴 처방전</w:t>
                  </w:r>
                </w:p>
              </w:tc>
              <w:tc>
                <w:tcPr>
                  <w:tcW w:type="dxa" w:w="3238"/>
                </w:tcPr>
                <w:p>
                  <w:r>
                    <w:rPr>
                      <w:rFonts w:ascii="Times New Roman" w:hAnsi="Times New Roman" w:eastAsia="바탕"/>
                      <w:sz w:val="18"/>
                    </w:rPr>
                    <w:t>인식이 손글씨로 판정할 때</w:t>
                  </w:r>
                </w:p>
              </w:tc>
              <w:tc>
                <w:tcPr>
                  <w:tcW w:type="dxa" w:w="3238"/>
                </w:tcPr>
                <w:p>
                  <w:r>
                    <w:rPr>
                      <w:rFonts w:ascii="Times New Roman" w:hAnsi="Times New Roman" w:eastAsia="바탕"/>
                      <w:sz w:val="18"/>
                    </w:rPr>
                    <w:t>주의. 초록이 켜지지 않는다</w:t>
                  </w:r>
                </w:p>
              </w:tc>
            </w:tr>
          </w:tbl>
          <w:p/>
          <w:p>
            <w:pPr>
              <w:spacing w:after="120"/>
            </w:pPr>
          </w:p>
          <w:p>
            <w:pPr>
              <w:spacing w:after="80" w:line="276" w:lineRule="auto"/>
              <w:jc w:val="both"/>
            </w:pPr>
            <w:r>
              <w:rPr>
                <w:rFonts w:ascii="Times New Roman" w:hAnsi="Times New Roman" w:eastAsia="바탕"/>
                <w:sz w:val="20"/>
              </w:rPr>
              <w:t>다섯째 줄은 §5.7 의 지적에서 나왔다. 손으로 쓴 처방전에서 동작하지 않을 것이라는 지적을 받고 실물 한 장을 넣어 보니 동작하지 않은 것이 아니라 틀리게 동작했고, 그 위에 초록이 켜졌다. 읽은 내용을 지우는 것이 아니라 확신을 지우는 것이 이 줄이 하는 일이다. 경위는 §5.7 에 있다.</w:t>
            </w: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세는 방식이 한쪽으로 좁다. 이 달력에 오르는 것은 짝지은 상자가 보고한 복용뿐이다. 상자가 트레이를 내밀었는데 아무도 누르지 않으면 그것이 거른 것으로 올라오고, 눌렀으면 먹은 것으로 올라온다. 사람이 직접 찍어 남긴 복약 기록은 이 수에 들어가지 않는데, 세지 못해서가 아니라 넣으면 안 되기 때문이다. 손으로 남기는 기록은 먹었다는 것만 말하고 거른 것은 말하지 않는다. 안 먹은 날에는 아무도 앱을 켜지 않으므로, 그것을 분모에 넣으면 순응도가 언제나 100%가 된다. 그래서 상자가 없는 사용자에게는 이 달력이 비어 있고, 그것이 0%로 보이지 않게 아예 그리지 않는다.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꽂은 트레이 3, 펌웨어가 잡아 둔 층 8</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상시 가동(</w:t>
                  </w:r>
                  <w:r>
                    <w:rPr>
                      <w:rFonts w:ascii="Consolas" w:hAnsi="Consolas" w:eastAsia="Consolas"/>
                      <w:sz w:val="17"/>
                    </w:rPr>
                    <w:t>auto_stop_machines = off</w:t>
                  </w:r>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마지막 줄을 먼저 적어 둔다. 처음에는 기계를 놀리지 않도록 </w:t>
            </w:r>
            <w:r>
              <w:rPr>
                <w:rFonts w:ascii="Consolas" w:hAnsi="Consolas" w:eastAsia="Consolas"/>
                <w:sz w:val="19"/>
              </w:rPr>
              <w:t>min_machines_running = 0</w:t>
            </w:r>
            <w:r>
              <w:rPr>
                <w:rFonts w:ascii="Times New Roman" w:hAnsi="Times New Roman" w:eastAsia="바탕"/>
                <w:sz w:val="20"/>
              </w:rPr>
              <w:t xml:space="preserve"> 으로 두었고, 그러면 아무도 쓰지 않을 때 멈췄다가 첫 요청에 깨어난다. 2026년 8월 3일에 재니 첫 요청이 6.5초, 뒤이은 요청이 0.17초였다.</w:t>
            </w:r>
          </w:p>
          <w:p>
            <w:pPr>
              <w:spacing w:after="80" w:line="276" w:lineRule="auto"/>
              <w:jc w:val="both"/>
            </w:pPr>
            <w:r>
              <w:rPr>
                <w:rFonts w:ascii="Times New Roman" w:hAnsi="Times New Roman" w:eastAsia="바탕"/>
                <w:sz w:val="20"/>
              </w:rPr>
              <w:t xml:space="preserve">그 6.5초를 없애기로 하고 설정을 바꾸었다. </w:t>
            </w:r>
            <w:r>
              <w:rPr>
                <w:rFonts w:ascii="Consolas" w:hAnsi="Consolas" w:eastAsia="Consolas"/>
                <w:sz w:val="19"/>
              </w:rPr>
              <w:t>min_machines_running = 1</w:t>
            </w:r>
            <w:r>
              <w:rPr>
                <w:rFonts w:ascii="Times New Roman" w:hAnsi="Times New Roman" w:eastAsia="바탕"/>
                <w:sz w:val="20"/>
              </w:rPr>
              <w:t xml:space="preserve"> 만으로는 부족했는데, 그 값은 트래픽이 있을 때 유지할 최소 대수이지 멈춰 있는 기계를 미리 켜 두지 않기 때문이다. 배포 직후 기계가 멈춘 상태였고 첫 요청이 6.4초였다. </w:t>
            </w:r>
            <w:r>
              <w:rPr>
                <w:rFonts w:ascii="Consolas" w:hAnsi="Consolas" w:eastAsia="Consolas"/>
                <w:sz w:val="19"/>
              </w:rPr>
              <w:t>auto_stop_machines</w:t>
            </w:r>
            <w:r>
              <w:rPr>
                <w:rFonts w:ascii="Times New Roman" w:hAnsi="Times New Roman" w:eastAsia="바탕"/>
                <w:sz w:val="20"/>
              </w:rPr>
              <w:t xml:space="preserve"> 를 </w:t>
            </w:r>
            <w:r>
              <w:rPr>
                <w:rFonts w:ascii="Consolas" w:hAnsi="Consolas" w:eastAsia="Consolas"/>
                <w:sz w:val="19"/>
              </w:rPr>
              <w:t>off</w:t>
            </w:r>
            <w:r>
              <w:rPr>
                <w:rFonts w:ascii="Times New Roman" w:hAnsi="Times New Roman" w:eastAsia="바탕"/>
                <w:sz w:val="20"/>
              </w:rPr>
              <w:t xml:space="preserve"> 로 바꾸고 5분 30초를 놀린 뒤 재니 0.50초였다.</w:t>
            </w:r>
          </w:p>
          <w:p>
            <w:pPr>
              <w:spacing w:after="80" w:line="276" w:lineRule="auto"/>
              <w:jc w:val="both"/>
            </w:pPr>
            <w:r>
              <w:rPr>
                <w:rFonts w:ascii="Times New Roman" w:hAnsi="Times New Roman" w:eastAsia="바탕"/>
                <w:sz w:val="20"/>
              </w:rPr>
              <w:t>2026년 8월 4일 기준으로 배포본을 세 번 연속 열어 재니 0.22초·0.20초·0.17초다. 이 문서를 읽고 배포본을 여는 사람이 만나는 것이 이 값이다. 다만 이것이 비용을 쓰는 설정이라는 것도 적어 둔다. 기계를 다시 멈추도록 되돌리면 처음 여는 사람은 앞의 6초대를 다시 만난다.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742</w:t>
                  </w:r>
                </w:p>
              </w:tc>
              <w:tc>
                <w:tcPr>
                  <w:tcW w:type="dxa" w:w="2429"/>
                </w:tcPr>
                <w:p>
                  <w:r>
                    <w:rPr>
                      <w:rFonts w:ascii="Times New Roman" w:hAnsi="Times New Roman" w:eastAsia="바탕"/>
                      <w:sz w:val="18"/>
                    </w:rPr>
                    <w:t>654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 University of Southampton 의 E. A. Draffan 은퇴 언어치료사·접근성 객원연구원, 우크라이나 All Ukrainian NGO Coalition for Persons with Intellectual Disabilities 의 Raisa Kravchenko 부대표, 이화여자대학교 언어병리학과 이영미 교수, 국립공주대학교 김은경 교수, 한국장애인개발원의 최묘정 연구원과 박경서 대리가 지적장애·자폐·언어장애를 다루는 자리에 있다.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171537"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171537"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2026-08-04T11:00:30Z</dcterms:modified>
  <cp:contentStatus>src:6aebafd8611c</cp:contentStatus>
</cp:coreProperties>
</file>