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takes the harshest of these conditions, non-literacy, where the instruction never arrives at all, and stays with it through §1.12.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an inclusion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inclusion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widened target of §1.13 needs,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 The tolerances are written into the table so that how loose these checks are is stated alongside them. A sum of up to 105 g per 100 g passes, and Atwater passes to within 30%. Labels are printed with rounding and fibre is often counted inside carbohydrate, so a tighter bound would catch ordinary labels. What this gate asks, though, is whether a value is plausible rather than whether it is right. The 253.7 kcal error of photo estimation passes straight through it.</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 the nutrients per 100 g sum to no more than 105 g</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Does 4·carbohydrate + 4·protein + 9·fat agree with energy to within 30%</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Twenty-eight runs were constructed from four sample prescriptions crossed with seven user conditions, and the output of each run was scored on six items. Scoring is done by matching rules against the strings and speech targets actually present on the screen rather than by human judgement, which is to say that the same rules against the same screens give the same values.</w:t>
            </w:r>
          </w:p>
          <w:p>
            <w:pPr>
              <w:spacing w:after="80" w:line="276" w:lineRule="auto"/>
              <w:jc w:val="both"/>
            </w:pPr>
            <w:r>
              <w:rPr>
                <w:rFonts w:ascii="Times New Roman" w:hAnsi="Times New Roman" w:eastAsia="바탕"/>
                <w:sz w:val="20"/>
              </w:rPr>
              <w:t>One correction belongs here. The previous version described this measurement as "reproducible", and what that word means to a reader is that it can be run again. The tool that did the scoring is not in the repository. What remains is the record of each run and its summary, and with those the values can be checked but not remade. That no human judgement entered into it and that a reader can rerun it are two different claims, and the one that holds here is the first.</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inclusion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2026-08-04T11:05:43Z</dcterms:modified>
  <cp:contentStatus>src:54a2be8c55da</cp:contentStatus>
</cp:coreProperties>
</file>