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(WHO,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(WHO,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11명 가운데 8명이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또 하나의 전제가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등,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의 E. A. Draffan 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40]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34명의 구성. 왼쪽이 분야, 오른쪽이 대륙이다. 약국과 간호가 20명으로 3분의 2를 차지하는데, 이 둘이 데모를 보고 환자의 이해를 판정할 자격이 있다고 본 다섯 구획의 중심이다. 아시아가 24명인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약국 11명과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311개가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w:t>
            </w:r>
          </w:p>
          <w:p>
            <w:pPr>
              <w:spacing w:after="80" w:line="276" w:lineRule="auto"/>
              <w:jc w:val="both"/>
            </w:pPr>
            <w:r>
              <w:rPr>
                <w:rFonts w:ascii="Times New Roman" w:hAnsi="Times New Roman" w:eastAsia="바탕"/>
                <w:sz w:val="20"/>
              </w:rPr>
              <w:t>지역별로 보면 이 문제도 우리가 대상으로 삼는 곳에 몰려 있다. 동남아시아와 동지중해 지역에서는 보고된 감염 셋 중 하나가 내성을 보였고, 아프리카에서는 다섯 중 하나, 아메리카에서는 일곱 중 하나다 (WHO GLASS,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보고된 세균 감염 중 항생제 내성 비율 (WHO GLASS,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