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adults with low literacy and older adults who cannot read, or read only with difficulty, can take their medicine and choose their food on their own. Worldwide 739 million adults lack basic literacy skills and even across 31 developed countries 18% of adults fall below the most elementary level, and these people are cut off from the content of a prescription from the moment they receive it, which exposes them to dosing errors, treatment failure and antibiotic resistance.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adult literacy rate rose from 86% in 2015 to 88% in 2024, so on the numbers alone the situation is improving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There are regions, however, where the improvement in the rate has not kept pace with population growth. In sub-Saharan Africa the literacy rate rose from 65% to 69% over the same period, yet the absolute number of non-literate adults grew from 196 million to 225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Central and Southern Asia follows with 347 million, the second largest total after sub-Saharan Africa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More than half of all non-literate adults, 441 million people, are concentrated in ten countries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 xml:space="preserve">Averages hide the size of the problem. The fifteen countries with the lowest adult literacy rates fall between 29% and 60%, and Chad stands at 28%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 xml:space="preserve">[Table 1] Countries with low adult literacy rates (2015–2024 census round; UNESCO, </w:t>
            </w:r>
            <w:r>
              <w:rPr>
                <w:rFonts w:ascii="Times New Roman" w:hAnsi="Times New Roman" w:eastAsia="바탕"/>
                <w:i/>
                <w:sz w:val="20"/>
              </w:rPr>
              <w:t>Youth and Adult Literacy: International Literacy Day 2025 Factsheet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 xml:space="preserve">[Table 2] The ten countries with the most non-literate adults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xml:space="preserve">, while among men in parts of Europe and North America it is 99%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We record here that the experts we asked answered in a direction that cuts against this statistic. Of the 35 respondents in §5.7, 15 answered that they "almost never" encounter someone unable to read a written medication instruction, and 4 that they encounter such a person almost daily. Half the respondents work in Korea, so this answer reflects the within-country distribution seen in §1.2 rather than contradicting the world figures of §1.1. Professor Hwi-Yeol Yun of Chungnam National University College of Pharmacy set down the circumstance directly.</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In a country with high literacy the problem does not disappear; it appears with a different face. Instead of people who cannot read there are people handed a paper that is not in their language, and the pharmacist fills the gap in a third language.</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w:t>
            </w:r>
            <w:r>
              <w:rPr>
                <w:rFonts w:ascii="Times New Roman" w:hAnsi="Times New Roman" w:eastAsia="바탕"/>
                <w:i/>
                <w:color w:val="606068"/>
                <w:sz w:val="18"/>
              </w:rPr>
              <w:t>Korea National Health and Nutrition Examination Survey, 9th cycle, year 2</w:t>
            </w:r>
            <w:r>
              <w:rPr>
                <w:rFonts w:ascii="Times New Roman" w:hAnsi="Times New Roman" w:eastAsia="바탕"/>
                <w:color w:val="606068"/>
                <w:sz w:val="18"/>
              </w:rPr>
              <w:t>,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xml:space="preserve">, and adult literacy in these countries has stagnated or declined since 2012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cited in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pooling data from 18 countries, wrote that at least one third show low health literacy,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Observation in the field points at the same place as this literature. Of the nine respondents in the nursing and public health segment of §5.7, eight answered that people who cannot read are not receiving medication information properly (3 "yes", 5 "partly"). And two respondents widened the scope beyond literacy.</w:t>
            </w:r>
          </w:p>
          <w:p>
            <w:pPr>
              <w:spacing w:after="40" w:line="276" w:lineRule="auto"/>
              <w:ind w:left="403"/>
            </w:pPr>
            <w:r>
              <w:rPr>
                <w:rFonts w:ascii="Times New Roman" w:hAnsi="Times New Roman" w:eastAsia="바탕"/>
                <w:i/>
                <w:color w:val="606068"/>
                <w:sz w:val="19"/>
              </w:rPr>
              <w:t>"I have not had many such occasions, but there are also many people who, even knowing how to read, are not receiving proper medication guidance."</w:t>
            </w:r>
          </w:p>
          <w:p>
            <w:pPr>
              <w:spacing w:after="180" w:line="276" w:lineRule="auto"/>
              <w:ind w:left="403"/>
            </w:pPr>
            <w:r>
              <w:rPr>
                <w:rFonts w:ascii="Times New Roman" w:hAnsi="Times New Roman" w:eastAsia="바탕"/>
                <w:i w:val="0"/>
                <w:color w:val="606068"/>
                <w:sz w:val="19"/>
              </w:rPr>
              <w:t>(Professor Namsoo Park, Hyupsung University)</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second is a broader claim than the premise this document sets out. We wrote that people who cannot read miss the information; this response says that people who can read miss it too. If that is right, the population this app addresses is wider than we defined, and at the same time it is not a problem this app alone resolves.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Based on 155 dispensing errors found by pharmacists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We checked whether the same distribution appears in another country and another period. A meta-analysis pooling 36 studies (6,238 participants) of medication errors by Iranian nurses put the top two error types at wrong timing, 27.3% (95% CI 19–36), and wrong dose, 26.4% (95% CI 20–33)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The top two are the same as those observed in one Brazilian hospital in 2007.</w:t>
            </w:r>
          </w:p>
          <w:p>
            <w:pPr>
              <w:spacing w:after="80" w:line="276" w:lineRule="auto"/>
              <w:jc w:val="both"/>
            </w:pPr>
            <w:r>
              <w:rPr>
                <w:rFonts w:ascii="Times New Roman" w:hAnsi="Times New Roman" w:eastAsia="바탕"/>
                <w:sz w:val="20"/>
              </w:rPr>
              <w:t>Two cautions belong beside that pairing. First, the stages differ: the earlier figures are errors pharmacists made while dispensing, the later ones errors nurses made while administering. Neither is an error a patient makes at home, and §1.4 takes up that gap separately. Second, heterogeneity in the Iranian data is very high (I² = 91–96). The values should not be carried across; only the recurrence of the ordering should be read from them.</w:t>
            </w:r>
          </w:p>
          <w:p>
            <w:pPr>
              <w:spacing w:after="80" w:line="276" w:lineRule="auto"/>
              <w:jc w:val="both"/>
            </w:pPr>
            <w:r>
              <w:rPr>
                <w:rFonts w:ascii="Times New Roman" w:hAnsi="Times New Roman" w:eastAsia="바탕"/>
                <w:sz w:val="20"/>
              </w:rPr>
              <w:t>There is a reason this section needs that recurrence even so. We designed the morpheme set to match this distribution (Table 8), and if the distribution had been an accident of one hospital in one year, the grounds for that design would fall away. That the top two are the same across seventeen years and two continents reduces the accident.</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Because that distribution is now close to twenty years old, we asked the same thing again in §5.7. Asked what must not be wrong medically, the twelve pharmacy respondents chose dose and frequency most often at 7, with contraindications and interactions at 3 and route of administration and not stopping early at 1 each. The 28.4% dose errors in the 2007 dispensing record and twelve pharmacists in 2026 naming dose and frequency first point at the same place.</w:t>
            </w:r>
          </w:p>
          <w:p>
            <w:pPr>
              <w:spacing w:after="80" w:line="276" w:lineRule="auto"/>
              <w:jc w:val="both"/>
            </w:pPr>
            <w:r>
              <w:rPr>
                <w:rFonts w:ascii="Times New Roman" w:hAnsi="Times New Roman" w:eastAsia="바탕"/>
                <w:sz w:val="20"/>
              </w:rPr>
              <w:t>One respondent set down the reason as well. The explanation is given in speech, but what the patient can go back to afterwards is only the dose written on the label.</w:t>
            </w:r>
          </w:p>
          <w:p>
            <w:pPr>
              <w:spacing w:after="40" w:line="276" w:lineRule="auto"/>
              <w:ind w:left="403"/>
            </w:pPr>
            <w:r>
              <w:rPr>
                <w:rFonts w:ascii="Times New Roman" w:hAnsi="Times New Roman" w:eastAsia="바탕"/>
                <w:i/>
                <w:color w:val="606068"/>
                <w:sz w:val="19"/>
              </w:rPr>
              <w:t>"The patient is thoroughly explained/ 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A spoken explanation disappears the moment the patient leaves the pharmacy and only the paper remains. If they cannot read that paper, nothing remains.</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1.3.1 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sends a picture of the action alongside the speech.</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There are figures for the United States on its own. Avoidable health care costs arising from medication non-adherence are estimated at 100 to 300 billion dollars a year, which is 3% to 10% of total US health care spending. About 10% of hospitalisations among older adults may be attributed to non-adherence, and the majority of the costs attributed to non-adherence come from hospitalisations that could have been avoided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Three corrections made while carrying these figures over are set down here. We had taken them from a hospital's public-information page and written "100 billion in direct costs and as much as 300 billion including indirect costs", whereas the source does not divide direct from indirect and gives a range of avoidable costs. What we wrote as "at least 10% of hospitalisations" is limited in the source to hospitalisations among older adults. And the "roughly 125,000 deaths a year" we had beside them is not in this paper's abstract, so it is removed: it is a widely quoted number, but we could not confirm it at a primary source.</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 xml:space="preserve">In 2017 the World Health Organization declared Medication Without Harm as its third Global Patient Safety Challenge, setting a goal of reducing severe avoidable medication-related harm by 50% within five years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It identified three priority areas: high-risk situations, polypharmacy and transitions of care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1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 relationship between literacy and adherence itself is not on our side either. A meta-analysis pooling studies that measured the direct relationship between health literacy and medication adherence found the association statistically significant but </w:t>
            </w:r>
            <w:r>
              <w:rPr>
                <w:rFonts w:ascii="Times New Roman" w:hAnsi="Times New Roman" w:eastAsia="바탕"/>
                <w:b/>
                <w:sz w:val="20"/>
              </w:rPr>
              <w:t>weak</w:t>
            </w:r>
            <w:r>
              <w:rPr>
                <w:rFonts w:ascii="Times New Roman" w:hAnsi="Times New Roman" w:eastAsia="바탕"/>
                <w:sz w:val="20"/>
              </w:rPr>
              <w:t xml:space="preserve">, with weighted correlation coefficients between 0.056 and 0.072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The authors suggest health literacy may mediate other determinants of adherence rather than setting adherence directly.</w:t>
            </w:r>
          </w:p>
          <w:p>
            <w:pPr>
              <w:spacing w:after="80" w:line="276" w:lineRule="auto"/>
              <w:jc w:val="both"/>
            </w:pPr>
            <w:r>
              <w:rPr>
                <w:rFonts w:ascii="Times New Roman" w:hAnsi="Times New Roman" w:eastAsia="바탕"/>
                <w:sz w:val="20"/>
              </w:rPr>
              <w:t xml:space="preserve">There is more direct evidence too. A multisite randomised controlled trial gave 315 adults with low health literacy the same chronic-disease self-management app, differing only in the reading difficulty of its text: third-grade level with audio narration, sixth-grade level, and eighth-grade level as the control. All three groups gained in activation, self-efficacy and health-related quality of life, but </w:t>
            </w:r>
            <w:r>
              <w:rPr>
                <w:rFonts w:ascii="Times New Roman" w:hAnsi="Times New Roman" w:eastAsia="바탕"/>
                <w:b/>
                <w:sz w:val="20"/>
              </w:rPr>
              <w:t>there were no between-group differences and medication adherence did not change in any group</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That result stings because the design is close to ours. It targeted low health literacy, it simplified the text, and it added audio. Doing all three moved nothing. What that trial varied, however, is the difficulty of the text rather than the medium. Eighth-grade text and third-grade text are both text, and to someone who cannot read they are the same thing. We change the medium rather than the difficulty, so we do not take the result as applying directly, but we have no grounds for saying it does not apply either.</w:t>
            </w:r>
          </w:p>
          <w:p>
            <w:pPr>
              <w:spacing w:after="80" w:line="276" w:lineRule="auto"/>
              <w:jc w:val="both"/>
            </w:pPr>
            <w:r>
              <w:rPr>
                <w:rFonts w:ascii="Times New Roman" w:hAnsi="Times New Roman" w:eastAsia="바탕"/>
                <w:sz w:val="20"/>
              </w:rPr>
              <w:t>Read plainly, that means solving literacy raises adherence only a little. We do not claim to improve adherence (§5.9), so this does not undo the argument of this work, but the figure shows the distance between making something readable and making someone take it. What §5.1 measures is the first of those. The second we did not measure.</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What happens inside the consulting room and the pharmacy we asked about directly in §5.7. The answers to what they do now when they meet a patient who cannot read show what this section is arguing.</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(Professor Samirah Abdu-Aguye,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Teach-back, telling the carer as well, finding pictures on the internet. None of the three was instructed by any system; each was invented by the person standing there. Professor Eun-Kyoung Kim of Kongju National University recorded the same scene from the patient's side.</w:t>
            </w:r>
          </w:p>
          <w:p>
            <w:pPr>
              <w:spacing w:after="40" w:line="276" w:lineRule="auto"/>
              <w:ind w:left="403"/>
            </w:pPr>
            <w:r>
              <w:rPr>
                <w:rFonts w:ascii="Times New Roman" w:hAnsi="Times New Roman" w:eastAsia="바탕"/>
                <w:i/>
                <w:color w:val="606068"/>
                <w:sz w:val="19"/>
              </w:rPr>
              <w:t>"The person concerned relies on the explanation of the pharmacist or of the family member who collected the medicine."</w:t>
            </w:r>
          </w:p>
          <w:p>
            <w:pPr>
              <w:spacing w:after="180" w:line="276" w:lineRule="auto"/>
              <w:ind w:left="403"/>
            </w:pPr>
            <w:r>
              <w:rPr>
                <w:rFonts w:ascii="Times New Roman" w:hAnsi="Times New Roman" w:eastAsia="바탕"/>
                <w:i w:val="0"/>
                <w:color w:val="606068"/>
                <w:sz w:val="19"/>
              </w:rPr>
              <w:t>(Professor Eun-Kyoung Kim, Kongju National University)</w:t>
            </w:r>
          </w:p>
          <w:p>
            <w:pPr>
              <w:spacing w:after="80" w:line="276" w:lineRule="auto"/>
              <w:jc w:val="both"/>
            </w:pPr>
            <w:r>
              <w:rPr>
                <w:rFonts w:ascii="Times New Roman" w:hAnsi="Times New Roman" w:eastAsia="바탕"/>
                <w:sz w:val="20"/>
              </w:rPr>
              <w:t>Why that place is the last one, Professor Katarina Vučićević of the University of Belgrade in Serbia set down in a single sentence.</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(Professor Katarina Vučićević, University of Belgrade, Faculty of Pharmacy)</w:t>
            </w:r>
          </w:p>
          <w:p>
            <w:pPr>
              <w:spacing w:after="80" w:line="276" w:lineRule="auto"/>
              <w:jc w:val="both"/>
            </w:pPr>
            <w:r>
              <w:rPr>
                <w:rFonts w:ascii="Times New Roman" w:hAnsi="Times New Roman" w:eastAsia="바탕"/>
                <w:sz w:val="20"/>
              </w:rPr>
              <w:t>The pharmacist is the last clinician the patient meets before the medicine is in their hands. After that there is no one. What §1.4 calls "the last step" is what lies after that sentence.</w:t>
            </w:r>
          </w:p>
          <w:p>
            <w:pPr>
              <w:spacing w:after="80" w:line="276" w:lineRule="auto"/>
              <w:jc w:val="both"/>
            </w:pPr>
            <w:r>
              <w:rPr>
                <w:rFonts w:ascii="Times New Roman" w:hAnsi="Times New Roman" w:eastAsia="바탕"/>
                <w:sz w:val="20"/>
              </w:rPr>
              <w:t>This is what the blind spot of this section actually looks like. As far as the system reaches, people are filling it in, and what is empty begins where those people are not. The picture a pharmacist drew exists only inside the pharmacy; by the time the patient is home it is gone.</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421 preventable errors arose in, prescribing accounts for 58.4% and monitoring for 60.8%, alongside </w:t>
            </w:r>
            <w:r>
              <w:rPr>
                <w:rFonts w:ascii="Times New Roman" w:hAnsi="Times New Roman" w:eastAsia="바탕"/>
                <w:b/>
                <w:sz w:val="20"/>
              </w:rPr>
              <w:t>21.1% at the patient adherence stage</w:t>
            </w:r>
            <w:r>
              <w:rPr>
                <w:rFonts w:ascii="Times New Roman" w:hAnsi="Times New Roman" w:eastAsia="바탕"/>
                <w:sz w:val="20"/>
              </w:rPr>
              <w:t xml:space="preserv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0"/>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nine of the twelve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Three in four adults with diabetes live in low- and middle-income countries. The figure is projected to reach 853 million (13%) by 2050, and in 2024 alone diabetes caused 3.4 million deaths, one every nine seconds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1"/>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 xml:space="preserve">What that layer lacks has been measured as well. More than 2.5 billion people worldwide need one or more assistive products, and the figure is projected to reach 3.5 billion by 2050 as populations age and noncommunicable disease rises. Access is uneven. </w:t>
            </w:r>
            <w:r>
              <w:rPr>
                <w:rFonts w:ascii="Times New Roman" w:hAnsi="Times New Roman" w:eastAsia="바탕"/>
                <w:b/>
                <w:sz w:val="20"/>
              </w:rPr>
              <w:t>In some low-income countries as few as 3% of people have access to the assistive products they need, against 90% in some high-income countries</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and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That gap overlaps with the regions we target. Smartphones have already spread, as §1.6 showed, and assistive devices have not, so there is a real difference between something that runs on the device already in someone's hand and something that needs separate equipment.</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 xml:space="preserve">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Prescriptions and nutrition labels are printed in a country's official language or in English, so among those counted as "able to read" in literacy statistics there are people who cannot read the paper in front of them. Pictures and speech step over both layers at once. After the survey of §5.7 the speech acquired the languages of the six countries the respondents work in; the account and its limits are in §5.7.</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[Table 5] Smartphone ownership by age group (United States;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Owning a device and being able to keep using it are also different things. Asked in §5.7 where this app would fail first for an older patient living alone, the nine nursing and public health respondents split between not being able to operate the screen (4) and not being able to manage the device (4). The latter is charging and loss, and lies outside our design. Professor Namsoo Park of Hyupsung University objected to the single-choice design of the question itself and wrote that the three arrive together.</w:t>
            </w:r>
          </w:p>
          <w:p>
            <w:pPr>
              <w:spacing w:after="40" w:line="276" w:lineRule="auto"/>
              <w:ind w:left="403"/>
            </w:pPr>
            <w:r>
              <w:rPr>
                <w:rFonts w:ascii="Times New Roman" w:hAnsi="Times New Roman" w:eastAsia="바탕"/>
                <w:i/>
                <w:color w:val="606068"/>
                <w:sz w:val="19"/>
              </w:rPr>
              <w:t>"Only one answer is allowed, but I think operating the screen, managing the device and trust in the app (given the characteristics of older people) can all be causes."</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The offline operation of §4.5 handles a connection being cut; it does not handle the device being off. The ownership rates in Table 5 are the ceiling on who this app can reach, not the number it actually reaches.</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And the share of that age group with adequate health literacy is 40.3%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Being a migrant sample, it cannot be transferred directly to the population inside Moldova. What we take from this study is not the figures but </w:t>
            </w:r>
            <w:r>
              <w:rPr>
                <w:rFonts w:ascii="Times New Roman" w:hAnsi="Times New Roman" w:eastAsia="바탕"/>
                <w:b/>
                <w:sz w:val="20"/>
              </w:rPr>
              <w:t>the relationship, that health literacy is in fact linked to primary care use</w:t>
            </w:r>
            <w:r>
              <w:rPr>
                <w:rFonts w:ascii="Times New Roman" w:hAnsi="Times New Roman" w:eastAsia="바탕"/>
                <w:sz w:val="20"/>
              </w:rPr>
              <w:t>, and confirming that relationship in Moldova itself belongs to the field evaluation in §5.9.</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Filipino adults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R., Okeyo, S., Sikhondze, S. &amp; Khumalo, N., </w:t>
            </w:r>
            <w:r>
              <w:rPr>
                <w:rFonts w:ascii="Times New Roman" w:hAnsi="Times New Roman" w:eastAsia="바탕"/>
                <w:i/>
                <w:sz w:val="20"/>
              </w:rPr>
              <w:t>Health SA Gesondheid</w:t>
            </w:r>
            <w:r>
              <w:rPr>
                <w:rFonts w:ascii="Times New Roman" w:hAnsi="Times New Roman" w:eastAsia="바탕"/>
                <w:sz w:val="20"/>
              </w:rPr>
              <w:t xml:space="preserve">, 28:2192,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4"/>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The study tested 10 pictograms on 90 people in South Africa; mean comprehension was 7.9 ± 1.8 out of 10, the correlation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and the association with health literacy </w:t>
            </w:r>
            <w:r>
              <w:rPr>
                <w:rFonts w:ascii="Times New Roman" w:hAnsi="Times New Roman" w:eastAsia="바탕"/>
                <w:i/>
                <w:sz w:val="20"/>
              </w:rPr>
              <w:t>p</w:t>
            </w:r>
            <w:r>
              <w:rPr>
                <w:rFonts w:ascii="Times New Roman" w:hAnsi="Times New Roman" w:eastAsia="바탕"/>
                <w:sz w:val="20"/>
              </w:rPr>
              <w:t xml:space="preserve"> = 0.002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There was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and non-adherence fell from 38.0% to 9.3%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dividing 60 low-literate adults with seven years of schooling or less into control and experimental groups,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One trial separated directly what has to be layered with what. In Qatar, 123 migrant workers who read neither Arabic nor English were randomised into three arms: text with verbal instruction, a pictogram-only label, and a pictogram with verbal instruction. </w:t>
            </w:r>
            <w:r>
              <w:rPr>
                <w:rFonts w:ascii="Times New Roman" w:hAnsi="Times New Roman" w:eastAsia="바탕"/>
                <w:b/>
                <w:sz w:val="20"/>
              </w:rPr>
              <w:t>The pictogram with verbal instruction did best on most of the instructions</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The arm that won is the same combination SnapCare uses. Not text with speech, and not pictures alone, but pictures with speech. The decision in §2.1 to overlay three layers is supported directly by this trial.</w:t>
            </w:r>
          </w:p>
          <w:p>
            <w:pPr>
              <w:spacing w:after="80" w:line="276" w:lineRule="auto"/>
              <w:jc w:val="both"/>
            </w:pPr>
            <w:r>
              <w:rPr>
                <w:rFonts w:ascii="Times New Roman" w:hAnsi="Times New Roman" w:eastAsia="바탕"/>
                <w:sz w:val="20"/>
              </w:rPr>
              <w:t xml:space="preserve">The result running the other way in the same study should be recorded too. "Take two tablets three times a day" and "Instill one drop in the eye" came across well, but </w:t>
            </w:r>
            <w:r>
              <w:rPr>
                <w:rFonts w:ascii="Times New Roman" w:hAnsi="Times New Roman" w:eastAsia="바탕"/>
                <w:b/>
                <w:sz w:val="20"/>
              </w:rPr>
              <w:t>"Do not take with dairy products" remained difficult even with a picture and an explanation.</w:t>
            </w:r>
            <w:r>
              <w:rPr>
                <w:rFonts w:ascii="Times New Roman" w:hAnsi="Times New Roman" w:eastAsia="바탕"/>
                <w:sz w:val="20"/>
              </w:rPr>
              <w:t xml:space="preserve"> Abstract and negative instructions are what is left over. It is the same place as the AAC respondent in §5.7 predicting that abstract concepts such as empty stomach and interaction would fail first, and as all five of the morphemes we could not improve in §5.3 being problems of concept.</w:t>
            </w:r>
          </w:p>
          <w:p>
            <w:pPr>
              <w:spacing w:after="80" w:line="276" w:lineRule="auto"/>
              <w:jc w:val="both"/>
            </w:pPr>
            <w:r>
              <w:rPr>
                <w:rFonts w:ascii="Times New Roman" w:hAnsi="Times New Roman" w:eastAsia="바탕"/>
                <w:sz w:val="20"/>
              </w:rPr>
              <w:t xml:space="preserve">There is work with a large sample as well. Showing 1,848 Lebanese adults the same prescription instructions in text alone and then with pictograms raised the comprehension score from 9.36 (±1.60) to 10.88 (±0.89), a difference of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That study also carries a result against us. </w:t>
            </w:r>
            <w:r>
              <w:rPr>
                <w:rFonts w:ascii="Times New Roman" w:hAnsi="Times New Roman" w:eastAsia="바탕"/>
                <w:b/>
                <w:sz w:val="20"/>
              </w:rPr>
              <w:t>The older the participant, the smaller the gain from the pictures</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Given that this app takes older adults as a main target (§1.7), that is not a figure to pass over. Professor Eun-Kyoung Kim of Kongju National University writing in §5.7 that "older people unfamiliar with images of this kind would find it harder still" is an observation in the same direction.</w:t>
            </w:r>
          </w:p>
          <w:p>
            <w:pPr>
              <w:spacing w:after="80" w:line="276" w:lineRule="auto"/>
              <w:jc w:val="both"/>
            </w:pPr>
            <w:r>
              <w:rPr>
                <w:rFonts w:ascii="Times New Roman" w:hAnsi="Times New Roman" w:eastAsia="바탕"/>
                <w:sz w:val="20"/>
              </w:rPr>
              <w:t xml:space="preserve">There is also work that pools the individual trials. Screening 4,160 records produced 54 randomised controlled trials, 42 of which were meta-analysed: pictorial health information moderately improved knowledge, understanding and recall overall, and </w:t>
            </w:r>
            <w:r>
              <w:rPr>
                <w:rFonts w:ascii="Times New Roman" w:hAnsi="Times New Roman" w:eastAsia="바탕"/>
                <w:b/>
                <w:sz w:val="20"/>
              </w:rPr>
              <w:t>largely increased knowledge and understanding in lower health literacy populations (13 studies)</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The same paper left one sentence that bears directly on our design: </w:t>
            </w:r>
            <w:r>
              <w:rPr>
                <w:rFonts w:ascii="Times New Roman" w:hAnsi="Times New Roman" w:eastAsia="바탕"/>
                <w:b/>
                <w:sz w:val="20"/>
              </w:rPr>
              <w:t>icons with few words may be most helpful</w:t>
            </w:r>
            <w:r>
              <w:rPr>
                <w:rFonts w:ascii="Times New Roman" w:hAnsi="Times New Roman" w:eastAsia="바탕"/>
                <w:sz w:val="20"/>
              </w:rPr>
              <w:t xml:space="preserve"> in conveying health information. It points the same way, independently, as the respondents in three countries who said in §5.7 that there are too many elements in one image. The authors note that heterogeneity across the outcomes was substantial and that the results should be read with caution, and we read them that way here. These figures are grounds for using pictures, not grounds for thinking any picture will do.</w:t>
            </w:r>
          </w:p>
          <w:p>
            <w:pPr>
              <w:spacing w:after="80" w:line="276" w:lineRule="auto"/>
              <w:jc w:val="both"/>
            </w:pPr>
            <w:r>
              <w:rPr>
                <w:rFonts w:ascii="Times New Roman" w:hAnsi="Times New Roman" w:eastAsia="바탕"/>
                <w:sz w:val="20"/>
              </w:rPr>
              <w:t xml:space="preserve">To summarise, this field has observed three things together. Well-made pictures do in fact reduce errors (Yin, H. S. et al., </w:t>
            </w:r>
            <w:r>
              <w:rPr>
                <w:rFonts w:ascii="Times New Roman" w:hAnsi="Times New Roman" w:eastAsia="바탕"/>
                <w:i/>
                <w:sz w:val="20"/>
              </w:rPr>
              <w:t>Arch Pediatr Adolesc Med</w:t>
            </w:r>
            <w:r>
              <w:rPr>
                <w:rFonts w:ascii="Times New Roman" w:hAnsi="Times New Roman" w:eastAsia="바탕"/>
                <w:sz w:val="20"/>
              </w:rPr>
              <w:t xml:space="preserve">, 162(9):814–822, 2008: 47.8% to 5.4%). Pictures work better with speech than alone (Kheir, N., Awaisu, A., Radoui, A., El Badawi, A., Jean, L. &amp; Dowse, R., </w:t>
            </w:r>
            <w:r>
              <w:rPr>
                <w:rFonts w:ascii="Times New Roman" w:hAnsi="Times New Roman" w:eastAsia="바탕"/>
                <w:i/>
                <w:sz w:val="20"/>
              </w:rPr>
              <w:t>Res Social Adm Pharm</w:t>
            </w:r>
            <w:r>
              <w:rPr>
                <w:rFonts w:ascii="Times New Roman" w:hAnsi="Times New Roman" w:eastAsia="바탕"/>
                <w:sz w:val="20"/>
              </w:rPr>
              <w:t xml:space="preserve">, 10(5):720–730, 2014). And making them does not mean making them well (Gutierrez, M. M., Patikorn, C. &amp; Anantachoti, P., </w:t>
            </w:r>
            <w:r>
              <w:rPr>
                <w:rFonts w:ascii="Times New Roman" w:hAnsi="Times New Roman" w:eastAsia="바탕"/>
                <w:i/>
                <w:sz w:val="20"/>
              </w:rPr>
              <w:t>J Pharm Policy Pract</w:t>
            </w:r>
            <w:r>
              <w:rPr>
                <w:rFonts w:ascii="Times New Roman" w:hAnsi="Times New Roman" w:eastAsia="바탕"/>
                <w:sz w:val="20"/>
              </w:rPr>
              <w:t>, 15:30, 2022: 17 of 108). The first two are the reason to take this approach, and the third is the reason to measure afterwards.</w:t>
            </w:r>
          </w:p>
          <w:p>
            <w:pPr>
              <w:spacing w:after="80" w:line="276" w:lineRule="auto"/>
              <w:jc w:val="both"/>
            </w:pPr>
            <w:r>
              <w:rPr>
                <w:rFonts w:ascii="Times New Roman" w:hAnsi="Times New Roman" w:eastAsia="바탕"/>
                <w:sz w:val="20"/>
              </w:rPr>
              <w:t>One thing the field has not answered attaches to that. Mourad et al. finding that the gain from pictures shrinks with age, and Schubbe et al. finding that icons with few words help most, both ask how much we should be showing an older person and in what form. Neither answers it for our set. That is what we have to measure in the field evaluation of §5.10.</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5"/>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comprehension alongside.</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 xml:space="preserve">The most widely used pharmaceutical pictogram standard at present is the 81-symbol set from the United States Pharmacopeia (USP). It is organised into three categories, mandatory (square), prohibition (circle with slash) and warning (inverted triangle), and USP distributes it free in GIF and EPS form (U.S. Pharmacopeia, </w:t>
            </w:r>
            <w:r>
              <w:rPr>
                <w:rFonts w:ascii="Times New Roman" w:hAnsi="Times New Roman" w:eastAsia="바탕"/>
                <w:i/>
                <w:sz w:val="20"/>
              </w:rPr>
              <w:t>USP Pictograms</w:t>
            </w:r>
            <w:r>
              <w:rPr>
                <w:rFonts w:ascii="Times New Roman" w:hAnsi="Times New Roman" w:eastAsia="바탕"/>
                <w:sz w:val="20"/>
              </w:rPr>
              <w:t>, https://www.usp.org/health-quality-safety/usp-pictograms).</w:t>
            </w:r>
          </w:p>
          <w:p>
            <w:pPr>
              <w:spacing w:after="80" w:line="276" w:lineRule="auto"/>
              <w:jc w:val="both"/>
            </w:pPr>
            <w:r>
              <w:rPr>
                <w:rFonts w:ascii="Times New Roman" w:hAnsi="Times New Roman" w:eastAsia="바탕"/>
                <w:sz w:val="20"/>
              </w:rPr>
              <w:t>How the set arrived at its present 81 we could not confirm at a primary source. Several secondary works record a start in the 1980s and the present count reached during the 1990s, but we could not open the originals, so no years are given here. The argument of this section is not when the set was made but that it does not compose, and the grounds for that are the licence conditions below.</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USP grants free use subject to four conditions: that, because of the potential for misinterpretation, the pictograms are not used as the sole means of conveying information to the patient; that they are not modified or used together with symbols USP did not develop without USP's permission; that only the latest versions are used, because the pictograms are subject to change; and that a notice of USP copyright accompanies them. USP also reserves the right to withdraw permission where it judges the pictograms to be used inappropriately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The second of those conditions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\bandage{allergen_peanut}</w:t>
            </w:r>
            <w:r>
              <w:rPr>
                <w:rFonts w:ascii="Times New Roman" w:hAnsi="Times New Roman" w:eastAsia="바탕"/>
                <w:sz w:val="20"/>
              </w:rPr>
              <w:t>,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found the barriers to include cognitive difficulty, cultural etiquette, prior exposure, intimidation, mediation, motivation, cost, power relations and social standing as well as literacy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Another group found the same failure on a different task. In a study asking 10 patients with stage 5 chronic kidney disease (three at or below third grade on the REALM test, three at seventh to eighth grade, four at or above ninth grade) to estimate food portions on a handheld device, all ten succeeded with liquids and eight of ten with amorphous foods, but </w:t>
            </w:r>
            <w:r>
              <w:rPr>
                <w:rFonts w:ascii="Times New Roman" w:hAnsi="Times New Roman" w:eastAsia="바탕"/>
                <w:b/>
                <w:sz w:val="20"/>
              </w:rPr>
              <w:t>not one succeeded on the screen for measuring solid food.</w:t>
            </w:r>
            <w:r>
              <w:rPr>
                <w:rFonts w:ascii="Times New Roman" w:hAnsi="Times New Roman" w:eastAsia="바탕"/>
                <w:sz w:val="20"/>
              </w:rPr>
              <w:t xml:space="preserve"> What the authors observed was that participants could not decide which image to select and kept forgetting which dimension they had already measured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Different task, different group, same reason for failing. The screen asked the user to hold something in their head. In the earlier study it was how far down they had gone; here it is which dimension they had already measured. SnapCare removed the steps not to reduce the number of screens but to remove that demand.</w:t>
            </w:r>
          </w:p>
          <w:p>
            <w:pPr>
              <w:spacing w:after="80" w:line="276" w:lineRule="auto"/>
              <w:jc w:val="both"/>
            </w:pPr>
            <w:r>
              <w:rPr>
                <w:rFonts w:ascii="Times New Roman" w:hAnsi="Times New Roman" w:eastAsia="바탕"/>
                <w:sz w:val="20"/>
              </w:rPr>
              <w:t>If those two studies concern structure inside the screen, one response in §5.7 points at what happens before the screen is reached. Professor Namsoo Park of Hyupsung University wrote that how well people who cannot read handle a mobile device has to be examined first, giving as an example that this app's profile-setup screen carries the instruction "select any that apply to you". Anyone who cannot read that instruction is stopped at that screen.</w:t>
            </w:r>
          </w:p>
          <w:p>
            <w:pPr>
              <w:spacing w:after="80" w:line="276" w:lineRule="auto"/>
              <w:jc w:val="both"/>
            </w:pPr>
            <w:r>
              <w:rPr>
                <w:rFonts w:ascii="Times New Roman" w:hAnsi="Times New Roman" w:eastAsia="바탕"/>
                <w:sz w:val="20"/>
              </w:rPr>
              <w:t>The opening sentence of this section, that removing text is a necessary condition, is confirmed once more here. We wrote that text had been removed from the path to a verdict (§2.1), and text was still sitting on the setup screen before it. The survey found for us that what we decided to remove and what we actually removed were different.</w:t>
            </w:r>
          </w:p>
          <w:p>
            <w:pPr>
              <w:spacing w:after="80" w:line="276" w:lineRule="auto"/>
              <w:jc w:val="both"/>
            </w:pPr>
            <w:r>
              <w:rPr>
                <w:rFonts w:ascii="Times New Roman" w:hAnsi="Times New Roman" w:eastAsia="바탕"/>
                <w:sz w:val="20"/>
              </w:rPr>
              <w:t xml:space="preserve">Work from another group belongs here too. A study built a multimedia patient-reported outcomes measure for low-literacy patients through human-centred design, with 17 adults (12 patients, 3 caregivers, 2 clinic staff), 46% of whom scored as low literacy on REALM-SF. Six features went in: audio narration on every question, animations showing the task being asked about, icons that switch the multimedia on and off, gender-neutral and ethnically diverse avatars, a progress indicator, and an illustrated response scale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That study parts from us at two points. First, the authors divided users by literacy into three (non-literate, slow reader, literate). It is the same kind of judgement Associate Professor Hangil Lee asked for in §1.5 when he separated total blindness, low vision and low literacy, and we designed for those three as one. Second, the authors made the multimedia switchable by icon, so that higher-literacy users pass it by and only lower-literacy users receive it, whereas this app sends the speech to everyone (§3.5). Which is right, neither that study nor ours settled by asking people.</w:t>
            </w:r>
          </w:p>
          <w:p>
            <w:pPr>
              <w:spacing w:after="80" w:line="276" w:lineRule="auto"/>
              <w:jc w:val="both"/>
            </w:pPr>
            <w:r>
              <w:rPr>
                <w:rFonts w:ascii="Times New Roman" w:hAnsi="Times New Roman" w:eastAsia="바탕"/>
                <w:sz w:val="20"/>
              </w:rPr>
              <w:t>What the same literature records about icons is set down as well: icons are often semantically opaque to low-literacy users, abstract symbols in particular fail to cross cultural and literacy barriers, and users prefer concrete, photorealistic representations to stylised glyphs. The last of those runs directly against our design. The set in §2.2 is a black-and-white silhouette, chosen so that it survives at 32 pixels (§5.2). Surviving and being preferred may not point the same way, and that divergence is an item for the field evaluation of §5.10.</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 xml:space="preserve">First, scale. There are 739 million non-literate adults, and in some regions the absolute number is rising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Applying a health literacy criterion widens the target further. Health literacy is not sufficient for 39.6% of Korean adults and 59.7% of those aged 65 and over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Second, cost. Medication errors generate 42 billion dollars a year in costs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Third, the effect and the limits of visual methods. Pictures are remembered better than text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yet of 108 pharmaceutical pictograms actually produced only 17 passed the ANSI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 xml:space="preserve">Fifth, an open delivery channel. Seventy-eight percent of United States adults aged 65 and over already own a smartphone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27"/>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The red line beneath it is what this section is careful about.</w:t>
            </w:r>
          </w:p>
          <w:p>
            <w:pPr>
              <w:spacing w:after="80" w:line="276" w:lineRule="auto"/>
              <w:jc w:val="both"/>
            </w:pPr>
            <w:r>
              <w:rPr>
                <w:rFonts w:ascii="Times New Roman" w:hAnsi="Times New Roman" w:eastAsia="바탕"/>
                <w:sz w:val="20"/>
              </w:rPr>
              <w:t>Having set out these five strands, we put them to the field. The survey in §5.7 is that, and the result broadly confirmed the five. What differed was how they were confirmed.</w:t>
            </w:r>
          </w:p>
          <w:p>
            <w:pPr>
              <w:spacing w:after="80" w:line="276" w:lineRule="auto"/>
              <w:jc w:val="both"/>
            </w:pPr>
            <w:r>
              <w:rPr>
                <w:rFonts w:ascii="Times New Roman" w:hAnsi="Times New Roman" w:eastAsia="바탕"/>
                <w:sz w:val="20"/>
              </w:rPr>
              <w:t>Scale, the first, the respondents rated lower rather than higher: 15 of 35 answered that they almost never meet such a patient. The visual route, the third, was supported but with a condition attached, namely that pictures help in the low-literacy case and that total blindness and low vision are different layers. On the constraint of the standard, the fourth, two respondents recommended consulting existing sets, which are the very sets §1.9 records as unusable by us. The delivery channel, the fifth, was said to fail at managing the device rather than at owning one.</w:t>
            </w:r>
          </w:p>
          <w:p>
            <w:pPr>
              <w:spacing w:after="80" w:line="276" w:lineRule="auto"/>
              <w:jc w:val="both"/>
            </w:pPr>
            <w:r>
              <w:rPr>
                <w:rFonts w:ascii="Times New Roman" w:hAnsi="Times New Roman" w:eastAsia="바탕"/>
                <w:sz w:val="20"/>
              </w:rPr>
              <w:t>What came up most often was not in the five strands at all. Six respondents independently raised the absence of validation with people, and four of the five who answered the broad question across the five segments chose it as the first thing to resolve. The five strands we used to define the problem all come from the literature, and this finding says that between that literature and our set there is still nothing.</w:t>
            </w:r>
          </w:p>
          <w:p>
            <w:pPr>
              <w:spacing w:after="80" w:line="276" w:lineRule="auto"/>
              <w:jc w:val="both"/>
            </w:pPr>
            <w:r>
              <w:rPr>
                <w:rFonts w:ascii="Times New Roman" w:hAnsi="Times New Roman" w:eastAsia="바탕"/>
                <w:sz w:val="20"/>
              </w:rPr>
              <w:t>We set the evidence this chapter used side by side, by which direction it points. The column that cuts against is the longer one.</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28"/>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Evidence that supports this approach and evidence that cuts against it. The section number after each item leads to the full citation. The unfavourable column has seven entries to the other's five, and not shortening it is this chapter's method. Two rows on the right are heavy. That the centre of gravity of harm sits at the prescribing stage names the place this app does not intervene, and §1.4 records why we chose the patient stage even so. The last row aims at the form of our own set: low-literacy users are observed to prefer photorealistic images to silhouettes, whereas we chose a black-and-white silhouette so that it survives at 32 pixels (§5.2). Surviving and being preferred may not point the same way. The reason for setting the evidence out this way is that collecting only the favourable half would mean doing to the literature what §5.2 refuses to do to the morphemes.</w:t>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 xml:space="preserve">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and a hierarchy is itself a barrier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and spoken guidance is indeed the most common approach in this field.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1635853"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29"/>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The whole home screen. Above the red line is what is visible without scrolling; below it is veiled. What is actually met on opening the app is the part above the line. The largest element on it is a single capture button, and there is no menu and no search box. Having only one choice is the response to the hierarchy barrier established in §1.10.</w:t>
            </w:r>
          </w:p>
          <w:p>
            <w:pPr>
              <w:spacing w:after="80" w:line="276" w:lineRule="auto"/>
              <w:jc w:val="both"/>
            </w:pPr>
            <w:r>
              <w:rPr>
                <w:rFonts w:ascii="Times New Roman" w:hAnsi="Times New Roman" w:eastAsia="바탕"/>
                <w:sz w:val="20"/>
              </w:rPr>
              <w:t>Two responses in §5.7 said opposite things about this principle. Professor Celia of the University of Pretoria wrote that a picture is the medium aligned to people who cannot read, without talking down to them.</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other side is Professor Heejung Seo of Dong-eui University, also in §5.7: to a non-literate person a picture too can feel like writing. Two responses say the opposite of each other about the same medium, and we do not know which is right. Of everything to confirm in the field evaluation of §5.10, this comes first. Measuring the comprehensibility of a picture without measuring whether it is recognised as a picture means scoring only the people who already passed.</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cannot stand alone and goes into a slot inside a head (morning, midday, evening, count, refrigerate, eye, mouth).</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7]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8]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0"/>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The constraint of the black-and-white silhouette was touched from two directions in §5.7. Professor Namsoo Park of Hyupsung University wrote that in black and white alone it is hard to tell that the egg allergy marking is an egg, and that icons need to be drawn as the real thing; Professor Myoungsoon You of Seoul National University named "the half picture" as a place likely to be misread. The first became the basis, among the fixes after the survey in §5.7, for redrawing </w:t>
            </w:r>
            <w:r>
              <w:rPr>
                <w:rFonts w:ascii="Consolas" w:hAnsi="Consolas" w:eastAsia="Consolas"/>
                <w:sz w:val="19"/>
              </w:rPr>
              <w:t>allergen_egg</w:t>
            </w:r>
            <w:r>
              <w:rPr>
                <w:rFonts w:ascii="Times New Roman" w:hAnsi="Times New Roman" w:eastAsia="바탕"/>
                <w:sz w:val="20"/>
              </w:rPr>
              <w:t xml:space="preserve"> as a cracked egg; the second says that the half drawn by the </w:t>
            </w:r>
            <w:r>
              <w:rPr>
                <w:rFonts w:ascii="Consolas" w:hAnsi="Consolas" w:eastAsia="Consolas"/>
                <w:sz w:val="19"/>
              </w:rPr>
              <w:t>half{}</w:t>
            </w:r>
            <w:r>
              <w:rPr>
                <w:rFonts w:ascii="Times New Roman" w:hAnsi="Times New Roman" w:eastAsia="바탕"/>
                <w:sz w:val="20"/>
              </w:rPr>
              <w:t xml:space="preserve"> operator may not read as meaning a half. We have not fixed the second.</w:t>
            </w:r>
          </w:p>
          <w:p>
            <w:pPr>
              <w:spacing w:after="80" w:line="276" w:lineRule="auto"/>
              <w:jc w:val="both"/>
            </w:pPr>
            <w:r>
              <w:rPr>
                <w:rFonts w:ascii="Times New Roman" w:hAnsi="Times New Roman" w:eastAsia="바탕"/>
                <w:sz w:val="20"/>
              </w:rPr>
              <w:t>E. A. Draffan, retired speech and language therapist and visiting accessibility researcher at Global Symbols, pointed at another layer. Our set is black and white, whereas the symbol systems AAC users are familiar with are usually coloured, and the two look different. It interlocks with the decision in §3.7 to use colour only for the verdict and keep morphemes black and white. Using colour loses users with colour vision deficiency; not using it loses users accustomed to coloured symbols. We chose the former, and we record the cost here.</w:t>
            </w:r>
          </w:p>
          <w:p>
            <w:pPr>
              <w:spacing w:after="80" w:line="276" w:lineRule="auto"/>
              <w:jc w:val="both"/>
            </w:pPr>
            <w:r>
              <w:rPr>
                <w:rFonts w:ascii="Times New Roman" w:hAnsi="Times New Roman" w:eastAsia="바탕"/>
                <w:sz w:val="20"/>
              </w:rPr>
              <w:t>What is missing, the respondents pointed out themselves. Sheron Sir Loon Goh, Pharmacy Lecturer, gave as examples of special instructions "shake before use" and "keep away from children". Neither is among the present 78. Niken Nur Widyakusuma, PhD and pharmacist at Universitas Gadjah Mada in Indonesia, pointed at another layer: telling the medicines apart comes first when several arrive at once, and the present set distinguishes medicines only by dosage form. Receiving two different capsules produces two identical rows.</w:t>
            </w:r>
          </w:p>
          <w:p>
            <w:pPr>
              <w:spacing w:after="80" w:line="276" w:lineRule="auto"/>
              <w:jc w:val="both"/>
            </w:pPr>
            <w:r>
              <w:rPr>
                <w:rFonts w:ascii="Times New Roman" w:hAnsi="Times New Roman" w:eastAsia="바탕"/>
                <w:sz w:val="20"/>
              </w:rPr>
              <w:t>Professor Katarina Vučićević of the University of Belgrade widened the scope of interactions. Over-the-counter products, dietary supplements and underlying conditions may be clinically significant too, not only other medicines. What the verdict of §2.4 handles is the prescribed medicine and the conditions the user registered, so that scope currently lies outside.</w:t>
            </w:r>
          </w:p>
          <w:p>
            <w:pPr>
              <w:spacing w:after="80" w:line="276" w:lineRule="auto"/>
              <w:jc w:val="both"/>
            </w:pPr>
            <w:r>
              <w:rPr>
                <w:rFonts w:ascii="Times New Roman" w:hAnsi="Times New Roman" w:eastAsia="바탕"/>
                <w:sz w:val="20"/>
              </w:rPr>
              <w:t xml:space="preserve">We record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Design intent. Each of the three branches is one clause of the grammar. A modifier outside a slot fails to parse unless it is marked </w:t>
            </w:r>
            <w:r>
              <w:rPr>
                <w:rFonts w:ascii="Consolas" w:hAnsi="Consolas" w:eastAsia="Consolas"/>
                <w:sz w:val="19"/>
              </w:rPr>
              <w:t>standalone</w:t>
            </w:r>
            <w:r>
              <w:rPr>
                <w:rFonts w:ascii="Times New Roman" w:hAnsi="Times New Roman" w:eastAsia="바탕"/>
                <w:sz w:val="20"/>
              </w:rPr>
              <w:t xml:space="preserve"> (the four in §2.2 — morning, noon, evening and night; a time of day stands on its own without modifying anything, so it is allowed to stand alone),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1"/>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2"/>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Usability ratings among older users are consistently lower than among younger users and they complete fewer tasks, with most of the difficulty arising from ambiguous options, speech rate and the length of options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Younger users voiced the same complaints but mostly worked past them, whereas older users often did not. Playing speech is therefore not enough on its own, and what not to say becomes the core of the design.</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3"/>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The verb is not the only thing that changes. The body site changes too.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9]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One response in §5.7 pointed at a layer this table does not cover. Niken Nur Widyakusuma, PhD and pharmacist at Universitas Gadjah Mada in Indonesia, wrote that "every 8 hours" is better than "three times a day".</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PhD and pharmacist, Universitas Gadjah Mada)</w:t>
            </w:r>
          </w:p>
          <w:p>
            <w:pPr>
              <w:spacing w:after="80" w:line="276" w:lineRule="auto"/>
              <w:jc w:val="both"/>
            </w:pPr>
            <w:r>
              <w:rPr>
                <w:rFonts w:ascii="Times New Roman" w:hAnsi="Times New Roman" w:eastAsia="바탕"/>
                <w:sz w:val="20"/>
              </w:rPr>
              <w:t>This sits on the boundary of our morpheme design. The four time morphemes of §2.2 are morning, midday, evening and night; they cannot draw "every so many hours". Table 8 records that time of day has only four because prescriptions do not ask for more, and this response says that what a prescription asks for may be a different axis altogether. Three times a day says when; every eight hours says the interval, and for a drug such as an antibiotic where blood concentration matters the latter is the clinically correct one. The engine cannot draw an interval, and drawing more morphemes does not fix it, because the axis itself is different. Carried over to stage 5 of §5.10.</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22(b)). If the user cannot see where a verdict came from, there is no way for them to examine it.</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4"/>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after="80" w:line="276" w:lineRule="auto"/>
              <w:jc w:val="both"/>
            </w:pPr>
            <w:r>
              <w:rPr>
                <w:rFonts w:ascii="Times New Roman" w:hAnsi="Times New Roman" w:eastAsia="바탕"/>
                <w:sz w:val="20"/>
              </w:rPr>
              <w:t>The pharmacy segment of §5.7 twice pointed at a risk this derivation can create. Professor and pharmacist So-Young Lee of Chungnam National University wrote that an interaction warning can itself prompt unilateral discontinuation.</w:t>
            </w:r>
          </w:p>
          <w:p>
            <w:pPr>
              <w:spacing w:after="40" w:line="276" w:lineRule="auto"/>
              <w:ind w:left="403"/>
            </w:pPr>
            <w:r>
              <w:rPr>
                <w:rFonts w:ascii="Times New Roman" w:hAnsi="Times New Roman" w:eastAsia="바탕"/>
                <w:i/>
                <w:color w:val="606068"/>
                <w:sz w:val="19"/>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p>
            <w:pPr>
              <w:spacing w:after="180" w:line="276" w:lineRule="auto"/>
              <w:ind w:left="403"/>
            </w:pPr>
            <w:r>
              <w:rPr>
                <w:rFonts w:ascii="Times New Roman" w:hAnsi="Times New Roman" w:eastAsia="바탕"/>
                <w:i w:val="0"/>
                <w:color w:val="606068"/>
                <w:sz w:val="19"/>
              </w:rPr>
              <w:t>(Professor and pharmacist So-Young Lee, Chungnam National University)</w:t>
            </w:r>
          </w:p>
          <w:p>
            <w:pPr>
              <w:spacing w:after="80" w:line="276" w:lineRule="auto"/>
              <w:jc w:val="both"/>
            </w:pPr>
            <w:r>
              <w:rPr>
                <w:rFonts w:ascii="Times New Roman" w:hAnsi="Times New Roman" w:eastAsia="바탕"/>
                <w:sz w:val="20"/>
              </w:rPr>
              <w:t>Professor Katarina Vučićević of the University of Belgrade in Serbia offered one answer: attach an instruction to contact the doctor or pharmacist to the warning. As it stands this app says only what not to do on an avoid verdict and does not say whom to ask. The design of this section, which made the verdict a derivation, was treating the verdict as an endpoint.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 xml:space="preserve">As established in the previous section, about 43% of adults with diabetes do not know they have it (International Diabetes Federation, </w:t>
            </w:r>
            <w:r>
              <w:rPr>
                <w:rFonts w:ascii="Times New Roman" w:hAnsi="Times New Roman" w:eastAsia="바탕"/>
                <w:i/>
                <w:sz w:val="20"/>
              </w:rPr>
              <w:t>IDF Diabetes Atlas</w:t>
            </w:r>
            <w:r>
              <w:rPr>
                <w:rFonts w:ascii="Times New Roman" w:hAnsi="Times New Roman" w:eastAsia="바탕"/>
                <w:sz w:val="20"/>
              </w:rPr>
              <w:t>, 11th ed.,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10]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The three ways of asking about conditions (§2.5). The further right, the fewer people can answer. Existing apps ask only the third column, and as established in §1.5, 43% of adults with diabetes and 44% of adults with hypertension cannot answer it. That is why the first two columns are there.</w:t>
            </w: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The four values form a 2x2 table: </w:t>
            </w:r>
            <w:r>
              <w:rPr>
                <w:rFonts w:ascii="Consolas" w:hAnsi="Consolas" w:eastAsia="Consolas"/>
                <w:sz w:val="19"/>
              </w:rPr>
              <w:t>a</w:t>
            </w:r>
            <w:r>
              <w:rPr>
                <w:rFonts w:ascii="Times New Roman" w:hAnsi="Times New Roman" w:eastAsia="바탕"/>
                <w:sz w:val="20"/>
              </w:rPr>
              <w:t xml:space="preserve"> is the number of times the ingredient was eaten and the person felt unwell, </w:t>
            </w:r>
            <w:r>
              <w:rPr>
                <w:rFonts w:ascii="Consolas" w:hAnsi="Consolas" w:eastAsia="Consolas"/>
                <w:sz w:val="19"/>
              </w:rPr>
              <w:t>b</w:t>
            </w:r>
            <w:r>
              <w:rPr>
                <w:rFonts w:ascii="Times New Roman" w:hAnsi="Times New Roman" w:eastAsia="바탕"/>
                <w:sz w:val="20"/>
              </w:rPr>
              <w:t xml:space="preserve"> eaten and fine, </w:t>
            </w:r>
            <w:r>
              <w:rPr>
                <w:rFonts w:ascii="Consolas" w:hAnsi="Consolas" w:eastAsia="Consolas"/>
                <w:sz w:val="19"/>
              </w:rPr>
              <w:t>c</w:t>
            </w:r>
            <w:r>
              <w:rPr>
                <w:rFonts w:ascii="Times New Roman" w:hAnsi="Times New Roman" w:eastAsia="바탕"/>
                <w:sz w:val="20"/>
              </w:rPr>
              <w:t xml:space="preserve"> not eaten and unwell, </w:t>
            </w:r>
            <w:r>
              <w:rPr>
                <w:rFonts w:ascii="Consolas" w:hAnsi="Consolas" w:eastAsia="Consolas"/>
                <w:sz w:val="19"/>
              </w:rPr>
              <w:t>d</w:t>
            </w:r>
            <w:r>
              <w:rPr>
                <w:rFonts w:ascii="Times New Roman" w:hAnsi="Times New Roman" w:eastAsia="바탕"/>
                <w:sz w:val="20"/>
              </w:rPr>
              <w:t xml:space="preserve"> not eaten and fine. 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11]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Item</w:t>
                  </w:r>
                </w:p>
              </w:tc>
              <w:tc>
                <w:tcPr>
                  <w:tcW w:type="dxa" w:w="2441"/>
                  <w:shd w:val="clear" w:fill="F2F2F2"/>
                </w:tcPr>
                <w:p>
                  <w:r>
                    <w:rPr>
                      <w:rFonts w:ascii="Times New Roman" w:hAnsi="Times New Roman" w:eastAsia="바탕"/>
                      <w:b/>
                      <w:sz w:val="18"/>
                    </w:rPr>
                    <w:t>General health app</w:t>
                  </w:r>
                </w:p>
              </w:tc>
              <w:tc>
                <w:tcPr>
                  <w:tcW w:type="dxa" w:w="2441"/>
                  <w:shd w:val="clear" w:fill="F2F2F2"/>
                </w:tcPr>
                <w:p>
                  <w:r>
                    <w:rPr>
                      <w:rFonts w:ascii="Times New Roman" w:hAnsi="Times New Roman" w:eastAsia="바탕"/>
                      <w:b/>
                      <w:sz w:val="18"/>
                    </w:rPr>
                    <w:t>USP pictogram standard</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Input</w:t>
                  </w:r>
                </w:p>
              </w:tc>
              <w:tc>
                <w:tcPr>
                  <w:tcW w:type="dxa" w:w="2441"/>
                </w:tcPr>
                <w:p>
                  <w:r>
                    <w:rPr>
                      <w:rFonts w:ascii="Times New Roman" w:hAnsi="Times New Roman" w:eastAsia="바탕"/>
                      <w:sz w:val="18"/>
                    </w:rPr>
                    <w:t>Typing and search</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One photograph</w:t>
                  </w:r>
                </w:p>
              </w:tc>
            </w:tr>
            <w:tr>
              <w:tc>
                <w:tcPr>
                  <w:tcW w:type="dxa" w:w="2441"/>
                </w:tcPr>
                <w:p>
                  <w:r>
                    <w:rPr>
                      <w:rFonts w:ascii="Times New Roman" w:hAnsi="Times New Roman" w:eastAsia="바탕"/>
                      <w:sz w:val="18"/>
                    </w:rPr>
                    <w:t>Output</w:t>
                  </w:r>
                </w:p>
              </w:tc>
              <w:tc>
                <w:tcPr>
                  <w:tcW w:type="dxa" w:w="2441"/>
                </w:tcPr>
                <w:p>
                  <w:r>
                    <w:rPr>
                      <w:rFonts w:ascii="Times New Roman" w:hAnsi="Times New Roman" w:eastAsia="바탕"/>
                      <w:sz w:val="18"/>
                    </w:rPr>
                    <w:t>Mostly text</w:t>
                  </w:r>
                </w:p>
              </w:tc>
              <w:tc>
                <w:tcPr>
                  <w:tcW w:type="dxa" w:w="2441"/>
                </w:tcPr>
                <w:p>
                  <w:r>
                    <w:rPr>
                      <w:rFonts w:ascii="Times New Roman" w:hAnsi="Times New Roman" w:eastAsia="바탕"/>
                      <w:sz w:val="18"/>
                    </w:rPr>
                    <w:t>81 static pictures</w:t>
                  </w:r>
                </w:p>
              </w:tc>
              <w:tc>
                <w:tcPr>
                  <w:tcW w:type="dxa" w:w="2441"/>
                </w:tcPr>
                <w:p>
                  <w:r>
                    <w:rPr>
                      <w:rFonts w:ascii="Times New Roman" w:hAnsi="Times New Roman" w:eastAsia="바탕"/>
                      <w:sz w:val="18"/>
                    </w:rPr>
                    <w:t>Composed pictogram + speech + colour</w:t>
                  </w:r>
                </w:p>
              </w:tc>
            </w:tr>
            <w:tr>
              <w:tc>
                <w:tcPr>
                  <w:tcW w:type="dxa" w:w="2441"/>
                </w:tcPr>
                <w:p>
                  <w:r>
                    <w:rPr>
                      <w:rFonts w:ascii="Times New Roman" w:hAnsi="Times New Roman" w:eastAsia="바탕"/>
                      <w:sz w:val="18"/>
                    </w:rPr>
                    <w:t>Combination</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Prohibited by licence</w:t>
                  </w:r>
                </w:p>
              </w:tc>
              <w:tc>
                <w:tcPr>
                  <w:tcW w:type="dxa" w:w="2441"/>
                </w:tcPr>
                <w:p>
                  <w:r>
                    <w:rPr>
                      <w:rFonts w:ascii="Times New Roman" w:hAnsi="Times New Roman" w:eastAsia="바탕"/>
                      <w:sz w:val="18"/>
                    </w:rPr>
                    <w:t>Combined by grammar</w:t>
                  </w:r>
                </w:p>
              </w:tc>
            </w:tr>
            <w:tr>
              <w:tc>
                <w:tcPr>
                  <w:tcW w:type="dxa" w:w="2441"/>
                </w:tcPr>
                <w:p>
                  <w:r>
                    <w:rPr>
                      <w:rFonts w:ascii="Times New Roman" w:hAnsi="Times New Roman" w:eastAsia="바탕"/>
                      <w:sz w:val="18"/>
                    </w:rPr>
                    <w:t>Verdict threshold</w:t>
                  </w:r>
                </w:p>
              </w:tc>
              <w:tc>
                <w:tcPr>
                  <w:tcW w:type="dxa" w:w="2441"/>
                </w:tcPr>
                <w:p>
                  <w:r>
                    <w:rPr>
                      <w:rFonts w:ascii="Times New Roman" w:hAnsi="Times New Roman" w:eastAsia="바탕"/>
                      <w:sz w:val="18"/>
                    </w:rPr>
                    <w:t>Fixed table or none</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Derived from personal energy requirement</w:t>
                  </w:r>
                </w:p>
              </w:tc>
            </w:tr>
            <w:tr>
              <w:tc>
                <w:tcPr>
                  <w:tcW w:type="dxa" w:w="2441"/>
                </w:tcPr>
                <w:p>
                  <w:r>
                    <w:rPr>
                      <w:rFonts w:ascii="Times New Roman" w:hAnsi="Times New Roman" w:eastAsia="바탕"/>
                      <w:sz w:val="18"/>
                    </w:rPr>
                    <w:t>Assumption</w:t>
                  </w:r>
                </w:p>
              </w:tc>
              <w:tc>
                <w:tcPr>
                  <w:tcW w:type="dxa" w:w="2441"/>
                </w:tcPr>
                <w:p>
                  <w:r>
                    <w:rPr>
                      <w:rFonts w:ascii="Times New Roman" w:hAnsi="Times New Roman" w:eastAsia="바탕"/>
                      <w:sz w:val="18"/>
                    </w:rPr>
                    <w:t>User knows their diagnosis</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No diagnosis assumed</w:t>
                  </w:r>
                </w:p>
              </w:tc>
            </w:tr>
            <w:tr>
              <w:tc>
                <w:tcPr>
                  <w:tcW w:type="dxa" w:w="2441"/>
                </w:tcPr>
                <w:p>
                  <w:r>
                    <w:rPr>
                      <w:rFonts w:ascii="Times New Roman" w:hAnsi="Times New Roman" w:eastAsia="바탕"/>
                      <w:sz w:val="18"/>
                    </w:rPr>
                    <w:t>Comprehension check</w:t>
                  </w:r>
                </w:p>
              </w:tc>
              <w:tc>
                <w:tcPr>
                  <w:tcW w:type="dxa" w:w="2441"/>
                </w:tcPr>
                <w:p>
                  <w:r>
                    <w:rPr>
                      <w:rFonts w:ascii="Times New Roman" w:hAnsi="Times New Roman" w:eastAsia="바탕"/>
                      <w:sz w:val="18"/>
                    </w:rPr>
                    <w:t>None</w:t>
                  </w:r>
                </w:p>
              </w:tc>
              <w:tc>
                <w:tcPr>
                  <w:tcW w:type="dxa" w:w="2441"/>
                </w:tcPr>
                <w:p>
                  <w:r>
                    <w:rPr>
                      <w:rFonts w:ascii="Times New Roman" w:hAnsi="Times New Roman" w:eastAsia="바탕"/>
                      <w:sz w:val="18"/>
                    </w:rPr>
                    <w:t>Only post hoc studies</w:t>
                  </w:r>
                </w:p>
              </w:tc>
              <w:tc>
                <w:tcPr>
                  <w:tcW w:type="dxa" w:w="2441"/>
                </w:tcPr>
                <w:p>
                  <w:r>
                    <w:rPr>
                      <w:rFonts w:ascii="Times New Roman" w:hAnsi="Times New Roman" w:eastAsia="바탕"/>
                      <w:sz w:val="18"/>
                    </w:rPr>
                    <w:t>Measured automatically before release</w:t>
                  </w:r>
                </w:p>
              </w:tc>
            </w:tr>
            <w:tr>
              <w:tc>
                <w:tcPr>
                  <w:tcW w:type="dxa" w:w="2441"/>
                </w:tcPr>
                <w:p>
                  <w:r>
                    <w:rPr>
                      <w:rFonts w:ascii="Times New Roman" w:hAnsi="Times New Roman" w:eastAsia="바탕"/>
                      <w:sz w:val="18"/>
                    </w:rPr>
                    <w:t>Network</w:t>
                  </w:r>
                </w:p>
              </w:tc>
              <w:tc>
                <w:tcPr>
                  <w:tcW w:type="dxa" w:w="2441"/>
                </w:tcPr>
                <w:p>
                  <w:r>
                    <w:rPr>
                      <w:rFonts w:ascii="Times New Roman" w:hAnsi="Times New Roman" w:eastAsia="바탕"/>
                      <w:sz w:val="18"/>
                    </w:rPr>
                    <w:t>Required</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heaviest row in the table is the third, composition. As §1.9 showed, the USP set's licence forbids derivative works, so those 81 symbols cannot be joined to one another. Given that one prescription usually carries several instructions, that is not a small constraint. "Three times a day, with food, for a week" is three instructions, and with a fixed set there is nothing to do but place three pictures side by side. Composing by grammar means the combinations available from the same 78 morphemes are settled by a rule rather than by a list (§2.2).</w:t>
            </w:r>
          </w:p>
          <w:p>
            <w:pPr>
              <w:spacing w:after="80" w:line="276" w:lineRule="auto"/>
              <w:jc w:val="both"/>
            </w:pPr>
            <w:r>
              <w:rPr>
                <w:rFonts w:ascii="Times New Roman" w:hAnsi="Times New Roman" w:eastAsia="바탕"/>
                <w:sz w:val="20"/>
              </w:rPr>
              <w:t>The fourth row is larger than it looks as well. An app that judges from a fixed table applies one threshold, say "warn above 25 g of sugar", to every user. The WHO recommendation is itself written as a proportion of total energy, so that approach is the source rounded once. Derived as in §2.4, the same can of drink is a warning for a seven-year-old and not for an adult. This is a question of what is being measured, not of precision.</w:t>
            </w:r>
          </w:p>
          <w:p>
            <w:pPr>
              <w:spacing w:after="80" w:line="276" w:lineRule="auto"/>
              <w:jc w:val="both"/>
            </w:pPr>
            <w:r>
              <w:rPr>
                <w:rFonts w:ascii="Times New Roman" w:hAnsi="Times New Roman" w:eastAsia="바탕"/>
                <w:sz w:val="20"/>
              </w:rPr>
              <w:t>One row has to be read again against the survey of §5.7. In the fifth row we record not presuming a diagnosis as a differentiator, and yet 9 of the 12 pharmacy respondents answered that a pharmacist should review the instructions this app produces every time. Not asking about a diagnosis and reaching a verdict alone are different things, and what we removed is the first, not the second. What §2.6 claims as a differentiator is what the user is not asked, not that the process completes without a professional.</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after="80" w:line="276" w:lineRule="auto"/>
              <w:jc w:val="both"/>
            </w:pPr>
            <w:r>
              <w:rPr>
                <w:rFonts w:ascii="Times New Roman" w:hAnsi="Times New Roman" w:eastAsia="바탕"/>
                <w:sz w:val="20"/>
              </w:rPr>
              <w:t>The limits of this comparison are set down too. We treated the general health app as a single type, though there is much variation within it, and we did not survey individual products systematically. The left-hand column is a set of features we observed repeatedly within the range we looked at, not the result of a market study. What the team leader at GC Medi-AI wrote in §5.7, that there are already many medication-counselling solutions, aims exactly at this limit. We may not have seen everything that already exists.</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6"/>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with the checking step of §3.8 attached at the foot. "How many do you take at a time?" is asked aloud and answered by pointing at a picture; it can be skipped, and the medicine information stays below it. The grey speaker circles that used to sit on every row are absent because §3.5 removed them; what remains is on the header and the pictogram cards, places that are not rows.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37"/>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(DS1302).</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38"/>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 xml:space="preserve">SnapCare's user flow is built on the principle of running from a single photograph to a verdict without branching. As cited in the previous section, a deep hierarchy takes non-literate users 65.5 seconds on average against 25 seconds for a flat list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39"/>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12]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First-run guide</w:t>
                  </w:r>
                </w:p>
              </w:tc>
              <w:tc>
                <w:tcPr>
                  <w:tcW w:type="dxa" w:w="2429"/>
                </w:tcPr>
                <w:p>
                  <w:r>
                    <w:rPr>
                      <w:rFonts w:ascii="Times New Roman" w:hAnsi="Times New Roman" w:eastAsia="바탕"/>
                      <w:sz w:val="18"/>
                    </w:rPr>
                    <w:t>Press next (skippable)</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12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leads through five guide cards to profile setup. This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questions after it, age and conditions, read with the same weight, and those two do carry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0"/>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First run. (a) Five guide cards. Each is a picture and one sentence, and on arrival the screen reads that sentence aloud by itself. (b)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Two answers in §5.7 split exactly on this screen. Asked where a first run gets stuck, one of the two HCI respondents chose granting camera permission and the other chose that it does not get stuck. Myojung Choi, researcher at the Korea Disabled People's Development Institute, set down the reason for the first.</w:t>
            </w:r>
          </w:p>
          <w:p>
            <w:pPr>
              <w:spacing w:after="40" w:line="276" w:lineRule="auto"/>
              <w:ind w:left="403"/>
            </w:pPr>
            <w:r>
              <w:rPr>
                <w:rFonts w:ascii="Times New Roman" w:hAnsi="Times New Roman" w:eastAsia="바탕"/>
                <w:i/>
                <w:color w:val="606068"/>
                <w:sz w:val="19"/>
              </w:rPr>
              <w:t>"A user who has difficulty reading may struggle with the subsequent steps if spoken guidance is not provided at the initial permission stage, and their actions may be constrained as a result."</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permission dialogue is drawn by the browser, so we cannot put speech inside it. Saying in advance what is about to be asked is all we can do, and the five guide screens occupy that place now. From the moment the dialogue appears after the guide, however, it is no longer our screen. It belongs to the unverified items in §5.9.</w:t>
            </w:r>
          </w:p>
          <w:p>
            <w:pPr>
              <w:spacing w:after="80" w:line="276" w:lineRule="auto"/>
              <w:jc w:val="both"/>
            </w:pPr>
            <w:r>
              <w:rPr>
                <w:rFonts w:ascii="Times New Roman" w:hAnsi="Times New Roman" w:eastAsia="바탕"/>
                <w:sz w:val="20"/>
              </w:rPr>
              <w:t>Yonghan Lee, Senior Manager at the Korea Craft and Design Foundation, looked at it the other way. Someone who seeks this app out already knows roughly how it works, and if so a procedure of this length is perfectly possible with pictures and speech alongside. The two responses do not contradict each other. The first is about someone opening it for the first time, the second about someone who came looking. How this app reaches whom has not been settled, so both are possible conditions.</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3.3.1 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You do not have to press anything to find out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3.3.2 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1"/>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3.3.3 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13]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 xml:space="preserve">Showing the percentage rather than hiding it is deliberate. One of the barriers identified in research on low-literate users is intimidation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3.3.4 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14]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2"/>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3.3.5 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15]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bl>
          <w:p/>
          <w:p>
            <w:pPr>
              <w:spacing w:after="120"/>
            </w:pP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22(b)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16]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3.5.1 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17]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Sweep the screen to hear it</w:t>
                  </w:r>
                </w:p>
              </w:tc>
              <w:tc>
                <w:tcPr>
                  <w:tcW w:type="dxa" w:w="3238"/>
                </w:tcPr>
                <w:p>
                  <w:r>
                    <w:rPr>
                      <w:rFonts w:ascii="Times New Roman" w:hAnsi="Times New Roman" w:eastAsia="바탕"/>
                      <w:sz w:val="18"/>
                    </w:rPr>
                    <w:t>Press and hold, then slide, and whatever passes under the finger is read in turn</w:t>
                  </w:r>
                </w:p>
              </w:tc>
              <w:tc>
                <w:tcPr>
                  <w:tcW w:type="dxa" w:w="3238"/>
                </w:tcPr>
                <w:p>
                  <w:r>
                    <w:rPr>
                      <w:rFonts w:ascii="Times New Roman" w:hAnsi="Times New Roman" w:eastAsia="바탕"/>
                      <w:sz w:val="18"/>
                    </w:rPr>
                    <w:t>There is no need to know in advance where the audio is</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grey speaker circles that sat on every line were taken away. Having attached audio everywhere audio could go, eight to ten circles ended up tiled across a single screen, while the thing being pressed was the whole line and the circle was only a sign saying "there is audio here". What occupied the most space on the screen was not a function but a sign.</w:t>
            </w:r>
          </w:p>
          <w:p>
            <w:pPr>
              <w:spacing w:after="80" w:line="276" w:lineRule="auto"/>
              <w:jc w:val="both"/>
            </w:pPr>
            <w:r>
              <w:rPr>
                <w:rFonts w:ascii="Times New Roman" w:hAnsi="Times New Roman" w:eastAsia="바탕"/>
                <w:sz w:val="20"/>
              </w:rPr>
              <w:t>The sign was there because we held that the user has to be told in advance where the audio is. Being able to sweep removes that premise. Press and hold, slide, and what passes under the finger is read in turn, so it is swept rather than searched for. This is how a screen reader navigates, and it is closer to the criterion established in §1.10, that no step requiring explanation should be created.</w:t>
            </w:r>
          </w:p>
          <w:p>
            <w:pPr>
              <w:spacing w:after="80" w:line="276" w:lineRule="auto"/>
              <w:jc w:val="both"/>
            </w:pPr>
            <w:r>
              <w:rPr>
                <w:rFonts w:ascii="Times New Roman" w:hAnsi="Times New Roman" w:eastAsia="바탕"/>
                <w:sz w:val="20"/>
              </w:rPr>
              <w:t xml:space="preserve">The signs did not disappear altogether; they became transient. While a sweep is in progress </w:t>
            </w:r>
            <w:r>
              <w:rPr>
                <w:rFonts w:ascii="Consolas" w:hAnsi="Consolas" w:eastAsia="Consolas"/>
                <w:sz w:val="19"/>
              </w:rPr>
              <w:t>html[data-hearing]</w:t>
            </w:r>
            <w:r>
              <w:rPr>
                <w:rFonts w:ascii="Times New Roman" w:hAnsi="Times New Roman" w:eastAsia="바탕"/>
                <w:sz w:val="20"/>
              </w:rPr>
              <w:t xml:space="preserve"> reveals every place that has audio, and they go quiet again when the finger lifts (</w:t>
            </w:r>
            <w:r>
              <w:rPr>
                <w:rFonts w:ascii="Consolas" w:hAnsi="Consolas" w:eastAsia="Consolas"/>
                <w:sz w:val="19"/>
              </w:rPr>
              <w:t>app/globals.css</w:t>
            </w:r>
            <w:r>
              <w:rPr>
                <w:rFonts w:ascii="Times New Roman" w:hAnsi="Times New Roman" w:eastAsia="바탕"/>
                <w:sz w:val="20"/>
              </w:rPr>
              <w:t>). So the screen shows where the audio is exactly while the user is looking for it, and shows nothing the rest of the time.</w:t>
            </w:r>
          </w:p>
          <w:p>
            <w:pPr>
              <w:spacing w:before="120" w:after="20"/>
            </w:pPr>
            <w:r>
              <w:rPr>
                <w:rFonts w:ascii="Times New Roman" w:hAnsi="Times New Roman" w:eastAsia="바탕"/>
                <w:b/>
                <w:sz w:val="21"/>
              </w:rPr>
              <w:t>3.5.2 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after="80" w:line="276" w:lineRule="auto"/>
              <w:jc w:val="both"/>
            </w:pPr>
            <w:r>
              <w:rPr>
                <w:rFonts w:ascii="Times New Roman" w:hAnsi="Times New Roman" w:eastAsia="바탕"/>
                <w:sz w:val="20"/>
              </w:rPr>
              <w:t>What this section covers is several people sharing one device, not several people helping one person. Six of the nine in the nursing and public health segment of §5.7 answered that the patient and the carer should be designed for separately, and Foued Maaoui, researcher at the Institut Pasteur de Tunis, addressed the premise head on.</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researcher, Institut Pasteur de Tunis)</w:t>
            </w:r>
          </w:p>
          <w:p>
            <w:pPr>
              <w:spacing w:after="80" w:line="276" w:lineRule="auto"/>
              <w:jc w:val="both"/>
            </w:pPr>
            <w:r>
              <w:rPr>
                <w:rFonts w:ascii="Times New Roman" w:hAnsi="Times New Roman" w:eastAsia="바탕"/>
                <w:sz w:val="20"/>
              </w:rPr>
              <w:t>Professor Minsun Song of Konyang University put the same thing differently: it should be built so that the patient and the carer can both understand it at once. There are dissenting views. Professor Celia of the University of Pretoria did not feel separate designs would be required, and Professor Namsoo Park of Hyupsung University answered that it depends on the age and condition of the target.</w:t>
            </w:r>
          </w:p>
          <w:p>
            <w:pPr>
              <w:spacing w:after="80" w:line="276" w:lineRule="auto"/>
              <w:jc w:val="both"/>
            </w:pPr>
            <w:r>
              <w:rPr>
                <w:rFonts w:ascii="Times New Roman" w:hAnsi="Times New Roman" w:eastAsia="바탕"/>
                <w:sz w:val="20"/>
              </w:rPr>
              <w:t>This app is designed on the premise that the patient uses it alone. The checking step of §3.8, the per-person thresholds of §2.4 and the member separation of this section all assume one person in front of the screen. Split 6 to 2, this answer aims at that assumption rather than at any one feature. We have not changed it. Building a separate screen for the carer means rebuilding the step §2.1 set out to remove, and which is right can only be learned by asking people. It has been added as an item to confirm in the field evaluation of §5.10.</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18]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3.7.1 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retired speech and language therapist and visiting accessibility researcher at Global Symbols and the University of Southampton,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18 dims but that the sentence does not read.</w:t>
            </w:r>
          </w:p>
          <w:p>
            <w:pPr>
              <w:spacing w:after="80" w:line="276" w:lineRule="auto"/>
              <w:jc w:val="both"/>
            </w:pPr>
            <w:r>
              <w:rPr>
                <w:rFonts w:ascii="Times New Roman" w:hAnsi="Times New Roman" w:eastAsia="바탕"/>
                <w:sz w:val="20"/>
              </w:rPr>
              <w:t xml:space="preserve">[Table 19]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how far we looked is what separates "passed" from "not checked".</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is the point Foued Maaoui, a researcher at the Institut Pasteur de Tunis, raised in §5.7. However clear the screen, without a procedure for confirming that the person who saw it understood it there is no returning signal, and from a patient-safety standpoint the absence of that loop is a serious risk.</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20]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There are three things we did not concede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we decided not to ask should be recorded too.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21]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DS1302</w:t>
                  </w:r>
                </w:p>
              </w:tc>
              <w:tc>
                <w:tcPr>
                  <w:tcW w:type="dxa" w:w="3238"/>
                </w:tcPr>
                <w:p>
                  <w:r>
                    <w:rPr>
                      <w:rFonts w:ascii="Times New Roman" w:hAnsi="Times New Roman" w:eastAsia="바탕"/>
                      <w:sz w:val="18"/>
                    </w:rPr>
                    <w:t>3 trays</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tc>
            </w:tr>
          </w:tbl>
          <w:p/>
          <w:p>
            <w:pPr>
              <w:spacing w:after="120"/>
            </w:pP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22]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Reading the paper form</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six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23]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4"/>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after="80" w:line="276" w:lineRule="auto"/>
              <w:jc w:val="both"/>
            </w:pPr>
            <w:r>
              <w:rPr>
                <w:rFonts w:ascii="Times New Roman" w:hAnsi="Times New Roman" w:eastAsia="바탕"/>
                <w:sz w:val="20"/>
              </w:rPr>
              <w:t>One response in §5.7 sums up why these checks sit ahead of the verdict. Associate Professor Hangil Lee of the College of Pharmacy, Ewha Womans University, withheld judgement on whether the app could fit a pharmacy workflow and pointed at the order: accuracy has to be secured before convenience. The gate in this section is that order written into code. Wherever a value came from, it is not used in a verdict unless it holds up physically, and the price is that sometimes no value is produced.</w:t>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24]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24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4.3.1 Adding a relay path</w:t>
            </w:r>
          </w:p>
          <w:p>
            <w:pPr>
              <w:spacing w:after="80" w:line="276" w:lineRule="auto"/>
              <w:jc w:val="both"/>
            </w:pPr>
            <w:r>
              <w:rPr>
                <w:rFonts w:ascii="Times New Roman" w:hAnsi="Times New Roman" w:eastAsia="바탕"/>
                <w:sz w:val="20"/>
              </w:rPr>
              <w:t>The reason for excluding the cloud broker in the third row of Table 24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5"/>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real-time clock. Whether the relay is down, unreachable or never configured at all, nobody's dose is missed. The judgement in Table 24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The reader was first built in Python with OpenCV on the server and then moved into the browser. The reason for moving it is that this was the only path still requiring the internet. Text recognition, the nutrition estimation model, the verdict engine and the pictograms are all on the device (§4.1), and yet the feature one would most want in a clinic without internet was calling a server.</w:t>
            </w:r>
          </w:p>
          <w:p>
            <w:pPr>
              <w:spacing w:after="80" w:line="276" w:lineRule="auto"/>
              <w:jc w:val="both"/>
            </w:pPr>
            <w:r>
              <w:rPr>
                <w:rFonts w:ascii="Times New Roman" w:hAnsi="Times New Roman" w:eastAsia="바탕"/>
                <w:sz w:val="20"/>
              </w:rPr>
              <w:t>Rather than shipping opencv.js whole, only the functions used were transcribed: Gaussian blur, adaptive thresholding, Laplacian variance, perspective warp and Otsu thresholding. Making the user fetch another 8 MB runs against the judgement in §4.5 that the 16 MB model is fetched on first use. We wrote the ArUco detection ourselves as well. Only four markers are printed on the paper, so there is no reason to port a dictionary of 50, and the path by which a candidate could be "corrected" into one of the other 46 disappears with it.</w:t>
            </w:r>
          </w:p>
          <w:p>
            <w:pPr>
              <w:spacing w:after="80" w:line="276" w:lineRule="auto"/>
              <w:jc w:val="both"/>
            </w:pPr>
            <w:r>
              <w:rPr>
                <w:rFonts w:ascii="Times New Roman" w:hAnsi="Times New Roman" w:eastAsia="바탕"/>
                <w:sz w:val="20"/>
              </w:rPr>
              <w:t>We kept the Python version rather than deleting it, because whether the two implementations give the same answer is the only way to judge whether the move was correct.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does not separate</w:t>
              <w:br/>
              <w:t xml:space="preserve">        values[name] = None</w:t>
              <w:br/>
              <w:t xml:space="preserve">        problems.append(</w:t>
              <w:br/>
              <w:t xml:space="preserve">            f"{name}: ambiguous ({best[0]}={best[1]:.2f}, {second[0]}={second[1]:.2f})"</w:t>
              <w:br/>
              <w:t xml:space="preserve">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6"/>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4.4.1 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25]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25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47"/>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(0.55–0.74 against 0.00–0.04) shows the reading was not a near miss at the boundary. The lowest of the chosen cells is Friday at 0.55 and the highest of the unchosen is Tuesday at 0.04; even at its narrowest the gap is a factor of fourteen.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48"/>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 (</w:t>
            </w:r>
            <w:r>
              <w:rPr>
                <w:rFonts w:ascii="Consolas" w:hAnsi="Consolas" w:eastAsia="Consolas"/>
                <w:sz w:val="19"/>
              </w:rPr>
              <w:t>public/sw.js</w:t>
            </w:r>
            <w:r>
              <w:rPr>
                <w:rFonts w:ascii="Times New Roman" w:hAnsi="Times New Roman" w:eastAsia="바탕"/>
                <w:sz w:val="20"/>
              </w:rPr>
              <w:t>). Only two long comments have been shortened; the code is as it stands in the file.</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(request.mode === 'navigate')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…the nutrition model (16 MB) and its config. Comment shortened</w:t>
              <w:br/>
              <w:t xml:space="preserve">    url.pathname.startsWith('/models/') ||</w:t>
              <w:br/>
              <w:t xml:space="preserve">    // …the OCR worker, core and language data</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26]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49"/>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Permissions the app does not use are closed at the browser level. The response header opens the camera and closes the microphone and location.</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That one line is also why the checking step of §3.8 has the user point at a picture rather than say the answer back. Carrying teach-back over as it stands would need speech recognition, and that is a permission we chose not to open. Opening a permission and not using it is different from closing it: the first can quietly begin to be used when the code changes, the second is refused by the browser.</w:t>
            </w:r>
          </w:p>
          <w:p>
            <w:pPr>
              <w:spacing w:after="80" w:line="276" w:lineRule="auto"/>
              <w:jc w:val="both"/>
            </w:pPr>
            <w:r>
              <w:rPr>
                <w:rFonts w:ascii="Times New Roman" w:hAnsi="Times New Roman" w:eastAsia="바탕"/>
                <w:sz w:val="20"/>
              </w:rPr>
              <w:t xml:space="preserve">The same middleware sends four more headers. The values are recorded here as confirmed on the deployment. </w:t>
            </w:r>
            <w:r>
              <w:rPr>
                <w:rFonts w:ascii="Consolas" w:hAnsi="Consolas" w:eastAsia="Consolas"/>
                <w:sz w:val="19"/>
              </w:rPr>
              <w:t>Content-Security-Policy</w:t>
            </w:r>
            <w:r>
              <w:rPr>
                <w:rFonts w:ascii="Times New Roman" w:hAnsi="Times New Roman" w:eastAsia="바탕"/>
                <w:sz w:val="20"/>
              </w:rPr>
              <w:t xml:space="preserve"> opens with </w:t>
            </w:r>
            <w:r>
              <w:rPr>
                <w:rFonts w:ascii="Consolas" w:hAnsi="Consolas" w:eastAsia="Consolas"/>
                <w:sz w:val="19"/>
              </w:rPr>
              <w:t>default-src 'self'</w:t>
            </w:r>
            <w:r>
              <w:rPr>
                <w:rFonts w:ascii="Times New Roman" w:hAnsi="Times New Roman" w:eastAsia="바탕"/>
                <w:sz w:val="20"/>
              </w:rPr>
              <w:t xml:space="preserve"> and pins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and </w:t>
            </w:r>
            <w:r>
              <w:rPr>
                <w:rFonts w:ascii="Consolas" w:hAnsi="Consolas" w:eastAsia="Consolas"/>
                <w:sz w:val="19"/>
              </w:rPr>
              <w:t>form-action 'self'</w:t>
            </w:r>
            <w:r>
              <w:rPr>
                <w:rFonts w:ascii="Times New Roman" w:hAnsi="Times New Roman" w:eastAsia="바탕"/>
                <w:sz w:val="20"/>
              </w:rPr>
              <w:t xml:space="preserve">. Its </w:t>
            </w:r>
            <w:r>
              <w:rPr>
                <w:rFonts w:ascii="Consolas" w:hAnsi="Consolas" w:eastAsia="Consolas"/>
                <w:sz w:val="19"/>
              </w:rPr>
              <w:t>connect-src</w:t>
            </w:r>
            <w:r>
              <w:rPr>
                <w:rFonts w:ascii="Times New Roman" w:hAnsi="Times New Roman" w:eastAsia="바탕"/>
                <w:sz w:val="20"/>
              </w:rPr>
              <w:t xml:space="preserve"> is only </w:t>
            </w:r>
            <w:r>
              <w:rPr>
                <w:rFonts w:ascii="Consolas" w:hAnsi="Consolas" w:eastAsia="Consolas"/>
                <w:sz w:val="19"/>
              </w:rPr>
              <w:t>'self'</w:t>
            </w:r>
            <w:r>
              <w:rPr>
                <w:rFonts w:ascii="Times New Roman" w:hAnsi="Times New Roman" w:eastAsia="바탕"/>
                <w:sz w:val="20"/>
              </w:rPr>
              <w:t xml:space="preserve"> and </w:t>
            </w:r>
            <w:r>
              <w:rPr>
                <w:rFonts w:ascii="Consolas" w:hAnsi="Consolas" w:eastAsia="Consolas"/>
                <w:sz w:val="19"/>
              </w:rPr>
              <w:t>https://snapcare-relay.fly.dev</w:t>
            </w:r>
            <w:r>
              <w:rPr>
                <w:rFonts w:ascii="Times New Roman" w:hAnsi="Times New Roman" w:eastAsia="바탕"/>
                <w:sz w:val="20"/>
              </w:rPr>
              <w:t xml:space="preserve">. That the app sends requests nowhere else is therefore not a rule but something the browser enforces, and this header is what makes the relay the single external channel described in §4.3. The other three are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and </w:t>
            </w:r>
            <w:r>
              <w:rPr>
                <w:rFonts w:ascii="Consolas" w:hAnsi="Consolas" w:eastAsia="Consolas"/>
                <w:sz w:val="19"/>
              </w:rPr>
              <w:t>Strict-Transport-Security: max-age=31536000; includeSubDomains</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There is a weak point in that policy and it belongs here too. </w:t>
            </w:r>
            <w:r>
              <w:rPr>
                <w:rFonts w:ascii="Consolas" w:hAnsi="Consolas" w:eastAsia="Consolas"/>
                <w:sz w:val="19"/>
              </w:rPr>
              <w:t>script-src</w:t>
            </w:r>
            <w:r>
              <w:rPr>
                <w:rFonts w:ascii="Times New Roman" w:hAnsi="Times New Roman" w:eastAsia="바탕"/>
                <w:sz w:val="20"/>
              </w:rPr>
              <w:t xml:space="preserve"> and </w:t>
            </w:r>
            <w:r>
              <w:rPr>
                <w:rFonts w:ascii="Consolas" w:hAnsi="Consolas" w:eastAsia="Consolas"/>
                <w:sz w:val="19"/>
              </w:rPr>
              <w:t>style-src</w:t>
            </w:r>
            <w:r>
              <w:rPr>
                <w:rFonts w:ascii="Times New Roman" w:hAnsi="Times New Roman" w:eastAsia="바탕"/>
                <w:sz w:val="20"/>
              </w:rPr>
              <w:t xml:space="preserve"> both carry </w:t>
            </w:r>
            <w:r>
              <w:rPr>
                <w:rFonts w:ascii="Consolas" w:hAnsi="Consolas" w:eastAsia="Consolas"/>
                <w:sz w:val="19"/>
              </w:rPr>
              <w:t>'unsafe-inline'</w:t>
            </w:r>
            <w:r>
              <w:rPr>
                <w:rFonts w:ascii="Times New Roman" w:hAnsi="Times New Roman" w:eastAsia="바탕"/>
                <w:sz w:val="20"/>
              </w:rPr>
              <w:t xml:space="preserve">, because Next.js emits its bootstrap script and styles inline, and the defence against cross-site scripting is that much shallower for it. A nonce would remove the need; we did not do it. </w:t>
            </w:r>
            <w:r>
              <w:rPr>
                <w:rFonts w:ascii="Consolas" w:hAnsi="Consolas" w:eastAsia="Consolas"/>
                <w:sz w:val="19"/>
              </w:rPr>
              <w:t>wasm-unsafe-eval</w:t>
            </w:r>
            <w:r>
              <w:rPr>
                <w:rFonts w:ascii="Times New Roman" w:hAnsi="Times New Roman" w:eastAsia="바탕"/>
                <w:sz w:val="20"/>
              </w:rPr>
              <w:t xml:space="preserve"> is open for the same kind of reason, because the on-device nutrition model and the OCR are WebAssembly (§4.1). Having a reason to leave something open is not the same as it being closed, so it is recorded as open.</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27] Composition of the repository (as of 3 August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The 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28]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Kind</w:t>
                  </w:r>
                </w:p>
              </w:tc>
              <w:tc>
                <w:tcPr>
                  <w:tcW w:type="dxa" w:w="2429"/>
                  <w:shd w:val="clear" w:fill="F2F2F2"/>
                </w:tcPr>
                <w:p>
                  <w:r>
                    <w:rPr>
                      <w:rFonts w:ascii="Times New Roman" w:hAnsi="Times New Roman" w:eastAsia="바탕"/>
                      <w:b/>
                      <w:sz w:val="18"/>
                    </w:rPr>
                    <w:t>Tests</w:t>
                  </w:r>
                </w:p>
              </w:tc>
              <w:tc>
                <w:tcPr>
                  <w:tcW w:type="dxa" w:w="2429"/>
                  <w:shd w:val="clear" w:fill="F2F2F2"/>
                </w:tcPr>
                <w:p>
                  <w:r>
                    <w:rPr>
                      <w:rFonts w:ascii="Times New Roman" w:hAnsi="Times New Roman" w:eastAsia="바탕"/>
                      <w:b/>
                      <w:sz w:val="18"/>
                    </w:rPr>
                    <w:t>Result</w:t>
                  </w:r>
                </w:p>
              </w:tc>
              <w:tc>
                <w:tcPr>
                  <w:tcW w:type="dxa" w:w="2429"/>
                  <w:shd w:val="clear" w:fill="F2F2F2"/>
                </w:tcPr>
                <w:p>
                  <w:r>
                    <w:rPr>
                      <w:rFonts w:ascii="Times New Roman" w:hAnsi="Times New Roman" w:eastAsia="바탕"/>
                      <w:b/>
                      <w:sz w:val="18"/>
                    </w:rPr>
                    <w:t>What it needs</w:t>
                  </w:r>
                </w:p>
              </w:tc>
            </w:tr>
            <w:tr>
              <w:tc>
                <w:tcPr>
                  <w:tcW w:type="dxa" w:w="2429"/>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347</w:t>
                  </w:r>
                </w:p>
              </w:tc>
              <w:tc>
                <w:tcPr>
                  <w:tcW w:type="dxa" w:w="2429"/>
                </w:tcPr>
                <w:p>
                  <w:r>
                    <w:rPr>
                      <w:rFonts w:ascii="Times New Roman" w:hAnsi="Times New Roman" w:eastAsia="바탕"/>
                      <w:sz w:val="18"/>
                    </w:rPr>
                    <w:t>346 pass · 1 fail</w:t>
                  </w:r>
                </w:p>
              </w:tc>
              <w:tc>
                <w:tcPr>
                  <w:tcW w:type="dxa" w:w="2429"/>
                </w:tcPr>
                <w:p>
                  <w:r>
                    <w:rPr>
                      <w:rFonts w:ascii="Times New Roman" w:hAnsi="Times New Roman" w:eastAsia="바탕"/>
                      <w:sz w:val="18"/>
                    </w:rPr>
                    <w:t>Node only</w:t>
                  </w:r>
                </w:p>
              </w:tc>
            </w:tr>
            <w:tr>
              <w:tc>
                <w:tcPr>
                  <w:tcW w:type="dxa" w:w="2429"/>
                </w:tcPr>
                <w:p>
                  <w:r>
                    <w:rPr>
                      <w:rFonts w:ascii="Times New Roman" w:hAnsi="Times New Roman" w:eastAsia="바탕"/>
                      <w:sz w:val="18"/>
                    </w:rPr>
                    <w:t>Paper form and cloud relay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pass · 3 skipped</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Device firmware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pass · 77 skipped</w:t>
                  </w:r>
                </w:p>
              </w:tc>
              <w:tc>
                <w:tcPr>
                  <w:tcW w:type="dxa" w:w="2429"/>
                </w:tcPr>
                <w:p>
                  <w:r>
                    <w:rPr>
                      <w:rFonts w:ascii="Times New Roman" w:hAnsi="Times New Roman" w:eastAsia="바탕"/>
                      <w:sz w:val="18"/>
                    </w:rPr>
                    <w:t>Python only</w:t>
                  </w:r>
                </w:p>
              </w:tc>
            </w:tr>
          </w:tbl>
          <w:p/>
          <w:p>
            <w:pPr>
              <w:spacing w:after="120"/>
            </w:pPr>
          </w:p>
          <w:p>
            <w:pPr>
              <w:spacing w:after="80" w:line="276" w:lineRule="auto"/>
              <w:jc w:val="both"/>
            </w:pPr>
            <w:r>
              <w:rPr>
                <w:rFonts w:ascii="Times New Roman" w:hAnsi="Times New Roman" w:eastAsia="바탕"/>
                <w:sz w:val="20"/>
              </w:rPr>
              <w:t>These are counts from running the suites on 3 August 2026, and the single web-app failure is set down as it stands. A default in the condition-tracking module changed and the test still holds the old expectation; it is not a defect in the feature, but leaving the failure out while reporting the passes would change what this table says.</w:t>
            </w:r>
          </w:p>
          <w:p>
            <w:pPr>
              <w:spacing w:after="80" w:line="276" w:lineRule="auto"/>
              <w:jc w:val="both"/>
            </w:pPr>
            <w:r>
              <w:rPr>
                <w:rFonts w:ascii="Times New Roman" w:hAnsi="Times New Roman" w:eastAsia="바탕"/>
                <w:sz w:val="20"/>
              </w:rPr>
              <w:t>That the firmware suite was for a while not running at all is also set down. Eight screen constants disappeared in one commit, and since every test file goes through that module, all of them stopped at import. Restoring them revealed 35 failures, and those 35 went away when the screen was redesigned around a single panel. They were missed not for want of tests but because the tests were not running, which is to say that counting passes and checking that the tests actually run are two different jobs.</w:t>
            </w: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23,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17 days 320 commits accumulated.</w:t>
            </w:r>
          </w:p>
          <w:p>
            <w:pPr>
              <w:spacing w:after="80" w:line="276" w:lineRule="auto"/>
              <w:jc w:val="both"/>
            </w:pPr>
            <w:r>
              <w:rPr>
                <w:rFonts w:ascii="Times New Roman" w:hAnsi="Times New Roman" w:eastAsia="바탕"/>
                <w:sz w:val="20"/>
              </w:rPr>
              <w:t xml:space="preserve">There is a condition attached here as well. This project used AI coding tools throughout development, and we do not hide it. Nowhere was what a tool produced left as it stood. The defects recorded in this document were all found by a person checking again. Of the 37 citations checked in the first pass, 12 differed from their sources (what was wrong in each is kept case by case in </w:t>
            </w:r>
            <w:r>
              <w:rPr>
                <w:rFonts w:ascii="Consolas" w:hAnsi="Consolas" w:eastAsia="Consolas"/>
                <w:sz w:val="19"/>
              </w:rPr>
              <w:t>citations.md</w:t>
            </w:r>
            <w:r>
              <w:rPr>
                <w:rFonts w:ascii="Times New Roman" w:hAnsi="Times New Roman" w:eastAsia="바탕"/>
                <w:sz w:val="20"/>
              </w:rPr>
              <w:t xml:space="preserve"> in the repository); the morpheme checker passed four rings as "four" (§5.2); and the sample prescriptions carried five clinical errors (§5.7).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29]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30]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0"/>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 xml:space="preserve">As established in §1.8, making a pictogram does not mean it will be read. Of 108 international standard pictograms, only 17 passed the ANSI 85%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31]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1"/>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Whether this procedure is justified we asked directly in §5.7. Both respondents in the HCI and design segment answered "justified with conditions attached", and each wrote a different condition.</w:t>
            </w:r>
          </w:p>
          <w:p>
            <w:pPr>
              <w:spacing w:after="40" w:line="276" w:lineRule="auto"/>
              <w:ind w:left="403"/>
            </w:pPr>
            <w:r>
              <w:rPr>
                <w:rFonts w:ascii="Times New Roman" w:hAnsi="Times New Roman" w:eastAsia="바탕"/>
                <w:i/>
                <w:color w:val="606068"/>
                <w:sz w:val="19"/>
              </w:rPr>
              <w:t>"For pre-screening rather than as a final conclusion, I think it can be used freely. Since it will ultimately be used with people, all that is needed is the resolve to discard the pre-screening result if testing with actual people shows it does not apply."</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40" w:line="276" w:lineRule="auto"/>
              <w:ind w:left="403"/>
            </w:pPr>
            <w:r>
              <w:rPr>
                <w:rFonts w:ascii="Times New Roman" w:hAnsi="Times New Roman" w:eastAsia="바탕"/>
                <w:i/>
                <w:color w:val="606068"/>
                <w:sz w:val="19"/>
              </w:rPr>
              <w:t>"If, in the process of screening information with a vision-language model, the researcher sets and understands the screening criteria clearly and those criteria can be shown valid on theoretical grounds, procedural justification can be secured."</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two conditions differ. The first asks whether the result can be thrown away; the second asks whether the criteria stand in advance. The second is answered to a degree by this section writing the criteria of both gates down beforehand, but the first cannot be answered because it has not been tested. If the field evaluation of §5.10 produces morphemes where the machine verdict and people's answers diverge, that is when this condition is tested. Being able to discard the machine's side at that point is what makes the procedure justified.</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5.2.1 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 xml:space="preserve">The checker already knows why something failed. Counting attempts without using that reason is the same as rolling the same die again, and each roll costs money. Instructions were therefore hooked to the reason. What follows is </w:t>
            </w:r>
            <w:r>
              <w:rPr>
                <w:rFonts w:ascii="Consolas" w:hAnsi="Consolas" w:eastAsia="Consolas"/>
                <w:sz w:val="19"/>
              </w:rPr>
              <w:t>engine/gen_glyphs.py</w:t>
            </w:r>
            <w:r>
              <w:rPr>
                <w:rFonts w:ascii="Times New Roman" w:hAnsi="Times New Roman" w:eastAsia="바탕"/>
                <w:sz w:val="20"/>
              </w:rPr>
              <w:t xml:space="preserve"> as it stands, with only the comments and the two guard lines above removed. The conditions match on Korean words because the checker writes its reasons in Korean: 뭉쳤다 is clotted, 가늘다 too thin, 개수 wrong count, 뜻이 안 맞는다 misread, 구멍/뭉갠다 holes closing up when shrunk.</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Design intent. The six branches push in six different directions. The last catches any reason the preceding five did not match.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5.2.2 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32]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33]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allergen_tree_nut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34]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allergen_soy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§5.7 added one that is not in this table. Sheron Sir Loon Goh, Pharmacy Lecturer, wrote that a capsule picture with one dot beside it does not read as "once a day"; without hearing the audio the relationship is not visible.</w:t>
            </w:r>
          </w:p>
          <w:p>
            <w:pPr>
              <w:spacing w:after="80" w:line="276" w:lineRule="auto"/>
              <w:jc w:val="both"/>
            </w:pPr>
            <w:r>
              <w:rPr>
                <w:rFonts w:ascii="Times New Roman" w:hAnsi="Times New Roman" w:eastAsia="바탕"/>
                <w:sz w:val="20"/>
              </w:rPr>
              <w:t>This is the kind the semantic check of §5.2 cannot catch. That check shows one morpheme on its own and asks what it looks like, whereas this problem is whether the relationship reads when two morphemes occupy one cell. One dot reads well as one dot and a capsule reads well as a capsule. Whether overlaying them yields "once a day" was never asked. That the procedure of §5.2 checks morphemes and not combinations shows here.</w:t>
            </w: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after="80" w:line="276" w:lineRule="auto"/>
              <w:jc w:val="both"/>
            </w:pPr>
            <w:r>
              <w:rPr>
                <w:rFonts w:ascii="Times New Roman" w:hAnsi="Times New Roman" w:eastAsia="바탕"/>
                <w:sz w:val="20"/>
              </w:rPr>
              <w:t xml:space="preserve">§5.7 added a fourth to those three. Asked how the set should be tested with AAC users, E. A. Draffan, retired speech and language therapist and visiting accessibility researcher at Global Symbols, answered that a trial is possible but that </w:t>
            </w:r>
            <w:r>
              <w:rPr>
                <w:rFonts w:ascii="Times New Roman" w:hAnsi="Times New Roman" w:eastAsia="바탕"/>
                <w:b/>
                <w:sz w:val="20"/>
              </w:rPr>
              <w:t>the level at which failure occurs will never be known</w:t>
            </w:r>
            <w:r>
              <w:rPr>
                <w:rFonts w:ascii="Times New Roman" w:hAnsi="Times New Roman" w:eastAsia="바탕"/>
                <w:sz w:val="20"/>
              </w:rPr>
              <w:t>, because there are too many variables.</w:t>
            </w:r>
          </w:p>
          <w:p>
            <w:pPr>
              <w:spacing w:after="80" w:line="276" w:lineRule="auto"/>
              <w:jc w:val="both"/>
            </w:pPr>
            <w:r>
              <w:rPr>
                <w:rFonts w:ascii="Times New Roman" w:hAnsi="Times New Roman" w:eastAsia="바탕"/>
                <w:sz w:val="20"/>
              </w:rPr>
              <w:t>That lands directly on the procedure of §5.2. When a morpheme fails the semantic check we read it as the drawing being wrong. But whether it failed because of the drawing, because of the 32-pixel size, or because the judge does not know the concept is something this procedure cannot separate. The five judged unimprovable in §5.3 rest on the same limitation. Three attempts failing three times and a concept not standing up as a silhouette are different statements, and we looked at the first and wrote down the second.</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35]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36]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3"/>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5.5.1 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37]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38]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after="80" w:line="276" w:lineRule="auto"/>
              <w:jc w:val="both"/>
            </w:pPr>
            <w:r>
              <w:rPr>
                <w:rFonts w:ascii="Times New Roman" w:hAnsi="Times New Roman" w:eastAsia="바탕"/>
                <w:sz w:val="20"/>
              </w:rPr>
              <w:t>What this measurement does not say is also recorded. Only a completely severed connection was measured, so as the fifth item of §5.9 records, a slow connection was not. And it was measured after the service worker had already filled its cache. Someone opening the app for the first time has to download 16 MB, and how long that download takes on the connections of the target regions was not measured either. What this section shows is behaviour after installation, not installation itself.</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before="120" w:after="20"/>
            </w:pPr>
            <w:r>
              <w:rPr>
                <w:rFonts w:ascii="Times New Roman" w:hAnsi="Times New Roman" w:eastAsia="바탕"/>
                <w:b/>
                <w:sz w:val="21"/>
              </w:rPr>
              <w:t>5.7.1 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39]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We wrote down separate rules for handling the list.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5.7.2 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We decided the language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We left a morpheme comprehension test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5.7.3 Who answered</w:t>
            </w:r>
          </w:p>
          <w:p>
            <w:pPr>
              <w:spacing w:after="80" w:line="276" w:lineRule="auto"/>
              <w:jc w:val="both"/>
            </w:pPr>
            <w:r>
              <w:rPr>
                <w:rFonts w:ascii="Times New Roman" w:hAnsi="Times New Roman" w:eastAsia="바탕"/>
                <w:sz w:val="20"/>
              </w:rPr>
              <w:t>As of 2 August 2026, 35 people had answered: 3.2% of those contacted, with 117 free-text responses alongside.</w:t>
            </w:r>
          </w:p>
          <w:p>
            <w:pPr>
              <w:spacing w:after="80" w:line="276" w:lineRule="auto"/>
              <w:jc w:val="both"/>
            </w:pPr>
            <w:r>
              <w:rPr>
                <w:rFonts w:ascii="Times New Roman" w:hAnsi="Times New Roman" w:eastAsia="바탕"/>
                <w:sz w:val="20"/>
              </w:rPr>
              <w:t>[Table 40] Composition of respondents (n = 35)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12</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The composition of the 35 respondents. Field on the left, continent on the right. Pharmacy and nursing account for three fifths at 21 people, and these two are the centre of the five segments we judged qualified to view the demonstration and rule on patient comprehension. That Asia accounts for 25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20 countries across five continents, with 17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41] The 35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(12)</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College of Pharmacy,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Institut Pasteur de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(5)</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b/>
                      <w:sz w:val="18"/>
                    </w:rPr>
                    <w:t>Other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Forty-three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5.7.4 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42] Could a patient who cannot read take their medicine correctly, alone, with only these screens? (five qualified segments,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9 of 12 answered that a pharmacist should review the instructions this app produces every time, with 3 answering that once at the start is enough. As to where it belongs, 7 chose a tool supporting the pharmacist's explanation, 3 a means for the patient to check alone at home, and 2 an alternative route for patients a pharmacist cannot reach. As to what must not be wrong medically, 7 named dose and frequency, 3 named contraindications and interactions, and one each named route of administration and not stopping early.</w:t>
            </w:r>
          </w:p>
          <w:p>
            <w:pPr>
              <w:spacing w:after="80" w:line="276" w:lineRule="auto"/>
              <w:jc w:val="both"/>
            </w:pPr>
            <w:r>
              <w:rPr>
                <w:rFonts w:ascii="Times New Roman" w:hAnsi="Times New Roman" w:eastAsia="바탕"/>
                <w:sz w:val="20"/>
              </w:rPr>
              <w:t>In the nursing and public health segment, asked whether it can change health outcomes, 8 of 9 answered that it can once the conditions are met, and one answered differently. Professor Raghupathy Anchala of the Public Health Foundation of India judged that dosing behaviour might change but not outcomes. It sits in the same place as the third item in §5.9, where we record that we make no claim about clinical outcomes, and although the split is eight to one, the side this document stands on is the one.</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5.7.5 How far the numbers can be pushed</w:t>
            </w:r>
          </w:p>
          <w:p>
            <w:pPr>
              <w:spacing w:after="80" w:line="276" w:lineRule="auto"/>
              <w:jc w:val="both"/>
            </w:pPr>
            <w:r>
              <w:rPr>
                <w:rFonts w:ascii="Times New Roman" w:hAnsi="Times New Roman" w:eastAsia="바탕"/>
                <w:sz w:val="20"/>
              </w:rPr>
              <w:t>The sample is small. The judgement question went only to the five qualified segments, so n = 25 there, and questions taking all respondents as the denominator have n = 35.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43] Proportions and 95% confidence intervals for the judgement question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Proportions and 95% confidence intervals for the judgement question (n = 25). The dot is the proportion, the line is the interval. The width of the intervals is the size of this sample, and what to read in this figure is the length of the lines rather than the position of the dots. Even with zero "No" answers, the interval reaches 13.3%.</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13.3%, and as many as three in 25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44]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5/21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4/12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35/1,062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0.637</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0/11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exceeds the corrected threshold</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Six tests were run, so the Bonferroni-corrected threshold is 0.0083. Two rows exceed it. We counted that number as five in an earlier version and wrote the threshold as 0.010. The error ran in our favour, so it is recorded here. The p in the fourth row is 0.0078 against a threshold of 0.0083, so the conclusion did not change, but the margin is 0.0005. That is a width one more response could overturn again. The last says people who stayed longer wrote more, which is not a finding about content. The fourth is different. Not one of the eleven who answered in Korean answered "possible", while half of the fourteen who answered in English did.</w:t>
            </w:r>
          </w:p>
          <w:p>
            <w:pPr>
              <w:spacing w:after="80" w:line="276" w:lineRule="auto"/>
              <w:jc w:val="both"/>
            </w:pPr>
            <w:r>
              <w:rPr>
                <w:rFonts w:ascii="Times New Roman" w:hAnsi="Times New Roman" w:eastAsia="바탕"/>
                <w:sz w:val="20"/>
              </w:rPr>
              <w:t xml:space="preserve">Here is why we do not turn that row into a claim. </w:t>
            </w:r>
            <w:r>
              <w:rPr>
                <w:rFonts w:ascii="Times New Roman" w:hAnsi="Times New Roman" w:eastAsia="바탕"/>
                <w:b/>
                <w:sz w:val="20"/>
              </w:rPr>
              <w:t>One person crossed the threshold.</w:t>
            </w:r>
            <w:r>
              <w:rPr>
                <w:rFonts w:ascii="Times New Roman" w:hAnsi="Times New Roman" w:eastAsia="바탕"/>
                <w:sz w:val="20"/>
              </w:rPr>
              <w:t xml:space="preserve"> At 34 responses the value was 0.019, short of the corrected threshold; adding one respondent who answered in Korean and chose something other than "possible" brought it to 0.0078. Where a conclusion turns on a single person, that fact is more accurate information than the conclusion. Up to the previous version this section read "nothing in this survey supports a claim of difference between groups", and we set this down as we correct that sentence.</w:t>
            </w:r>
          </w:p>
          <w:p>
            <w:pPr>
              <w:spacing w:after="80" w:line="276" w:lineRule="auto"/>
              <w:jc w:val="both"/>
            </w:pPr>
            <w:r>
              <w:rPr>
                <w:rFonts w:ascii="Times New Roman" w:hAnsi="Times New Roman" w:eastAsia="바탕"/>
                <w:sz w:val="20"/>
              </w:rPr>
              <w:t>The second reason is the one already given. Language is entangled with the respondent's country, occupation and screen. Seventeen of the eighteen Korean-language respondents recorded Korea only, and the median time taken splits 7.1 minutes against 24.0. Even if a difference exists, this data cannot separate whether it is due to language, to the time put into the response, or to the condition in §1.2 that encountering a low-literate patient is rare in Korea.</w:t>
            </w:r>
          </w:p>
          <w:p>
            <w:pPr>
              <w:spacing w:after="80" w:line="276" w:lineRule="auto"/>
              <w:jc w:val="both"/>
            </w:pPr>
            <w:r>
              <w:rPr>
                <w:rFonts w:ascii="Times New Roman" w:hAnsi="Times New Roman" w:eastAsia="바탕"/>
                <w:sz w:val="20"/>
              </w:rPr>
              <w:t>Dropping the non-significant tests and reporting only the significant one would be the worst thing that could be done with this sample, so everything that was run is recorded. Bolding the row that crossed the threshold is for the same reason. We do not hide that it crossed, and we put how it crossed beside it.</w:t>
            </w:r>
          </w:p>
          <w:p>
            <w:pPr>
              <w:spacing w:after="80" w:line="276" w:lineRule="auto"/>
              <w:jc w:val="both"/>
            </w:pPr>
            <w:r>
              <w:rPr>
                <w:rFonts w:ascii="Times New Roman" w:hAnsi="Times New Roman" w:eastAsia="바탕"/>
                <w:sz w:val="20"/>
              </w:rPr>
              <w:t>The sixth row is worth reading on its own. A rank correlation of 0.723 between time taken and free-text volume means that people who stayed longer did in fact write more, and it can serve as a proxy for the care taken over a response. The median time taken is 9.3 minutes, with quartiles at 6.0 and 40.5 minutes. E. A. Draffan, retired speech and language therapist and visiting accessibility researcher,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30 of the 35 respondents, 117 items in all. Counting by keyword how many people independently raised the same point gives 6 on the absence of validation, 5 on too many elements in one image, 6 on blind users, 4 on the prohibition marking and 4 on referring to existing sets. That count is by words we chose, however, so the body text uses the counts a person read and confirmed.</w:t>
            </w:r>
          </w:p>
          <w:p>
            <w:pPr>
              <w:spacing w:before="120" w:after="20"/>
            </w:pPr>
            <w:r>
              <w:rPr>
                <w:rFonts w:ascii="Times New Roman" w:hAnsi="Times New Roman" w:eastAsia="바탕"/>
                <w:b/>
                <w:sz w:val="21"/>
              </w:rPr>
              <w:t>5.7.6 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"In second example, the prescription read not to use the eyedrops in pregnancy while the pictogram showed a pregnant woman making the patient assume it is safe to use in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of the All Ukrainian NGO Coalition for Persons with Intellectual Disabilities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"The symbol do not show what it means. For me it means I do not need to finish the course as your black dots did not complete the fully. you may want to add a arrow symbol for direction so that its clearer?"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Senior Manager at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Senior Manager at the Korea Craft and Design Foundation,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after="80" w:line="276" w:lineRule="auto"/>
              <w:jc w:val="both"/>
            </w:pPr>
            <w:r>
              <w:rPr>
                <w:rFonts w:ascii="Times New Roman" w:hAnsi="Times New Roman" w:eastAsia="바탕"/>
                <w:sz w:val="20"/>
              </w:rPr>
              <w:t>Associate Professor Hangil Lee of the College of Pharmacy, Ewha Womans University, went one step further into it. Three things have to be separated.</w:t>
            </w:r>
          </w:p>
          <w:p>
            <w:pPr>
              <w:spacing w:after="40" w:line="276" w:lineRule="auto"/>
              <w:ind w:left="403"/>
            </w:pPr>
            <w:r>
              <w:rPr>
                <w:rFonts w:ascii="Times New Roman" w:hAnsi="Times New Roman" w:eastAsia="바탕"/>
                <w:i/>
                <w:color w:val="606068"/>
                <w:sz w:val="19"/>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Where the earlier five responses said "there are more blind people", this one divides that group again. A totally blind person cannot see the picture at all; low vision is a question of size and contrast; low literacy is a question of letters. The three ask for different things. And this response's verdict is that the place pictograms work is the last of the three. It attaches to the point in §1.5 where, having recorded 2.2 billion people with vision impairment, we noted that this source cannot tell us how far the two groups overlap; here is how those three actually divide in practice.</w:t>
            </w:r>
          </w:p>
          <w:p>
            <w:pPr>
              <w:spacing w:after="80" w:line="276" w:lineRule="auto"/>
              <w:jc w:val="both"/>
            </w:pPr>
            <w:r>
              <w:rPr>
                <w:rFonts w:ascii="Times New Roman" w:hAnsi="Times New Roman" w:eastAsia="바탕"/>
                <w:sz w:val="20"/>
              </w:rPr>
              <w:t>The same respondent pointed at institutional material we did not know about: a comparative study of domestic and international guidelines for braille labelling on medicines (Yakhak Hoeji), and the Ministry of Food and Drug Safety guideline on braille and voice and sign-language conversion codes for medicines and quasi-drugs. It means standards and guidance already exist for the layer we chose not to address, and it makes us look again at leaving blindness among the unverified items in §5.9. If this app ever does address that layer, it should follow that guidance rather than design something new.</w:t>
            </w:r>
          </w:p>
          <w:p>
            <w:pPr>
              <w:spacing w:before="120" w:after="20"/>
            </w:pPr>
            <w:r>
              <w:rPr>
                <w:rFonts w:ascii="Times New Roman" w:hAnsi="Times New Roman" w:eastAsia="바탕"/>
                <w:b/>
                <w:sz w:val="21"/>
              </w:rPr>
              <w:t>5.7.7 Individual findings</w:t>
            </w:r>
          </w:p>
          <w:p>
            <w:pPr>
              <w:spacing w:after="80" w:line="276" w:lineRule="auto"/>
              <w:jc w:val="both"/>
            </w:pPr>
            <w:r>
              <w:rPr>
                <w:rFonts w:ascii="Times New Roman" w:hAnsi="Times New Roman" w:eastAsia="바탕"/>
                <w:sz w:val="20"/>
              </w:rPr>
              <w:t>Foued Maaoui, a researcher at the Institut Pasteur de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Up to the survey we had tested only with printed samples, so it was a point we could not answer; after the survey we measured three times and answered it.</w:t>
            </w:r>
          </w:p>
          <w:p>
            <w:pPr>
              <w:spacing w:after="80" w:line="276" w:lineRule="auto"/>
              <w:jc w:val="both"/>
            </w:pPr>
            <w:r>
              <w:rPr>
                <w:rFonts w:ascii="Times New Roman" w:hAnsi="Times New Roman" w:eastAsia="바탕"/>
                <w:sz w:val="20"/>
              </w:rPr>
              <w:t xml:space="preserve">First we put in a real one: a public-domain (CC0) photograph of a handwritten prescription from the Eye Foundation Hospital in Lagos. The result was worse than the objection. It did not fail to work; it </w:t>
            </w:r>
            <w:r>
              <w:rPr>
                <w:rFonts w:ascii="Times New Roman" w:hAnsi="Times New Roman" w:eastAsia="바탕"/>
                <w:b/>
                <w:sz w:val="20"/>
              </w:rPr>
              <w:t>worked wrongly.</w:t>
            </w:r>
            <w:r>
              <w:rPr>
                <w:rFonts w:ascii="Times New Roman" w:hAnsi="Times New Roman" w:eastAsia="바탕"/>
                <w:sz w:val="20"/>
              </w:rPr>
              <w:t xml:space="preserve"> It read the paper's "8hrly" (every 8 hours) as "8mg", so a frequency became a dose; three dosing times the paper never mentions were attached; and a green verdict lit up on top. That is different from not reading. When it cannot read, the user asks a person; when it reads like this, it is confidently wrong. We fixed three things. Frequency abbreviations (hrly, od, bd, tds, nocte and so on) were built into recognition; times absent from the paper are no longer invented, the schedule is left empty; and when the model judges the writing handwritten, no green light comes on and the screen tells the user to ask a person while offering the paper form (§4.4) as another route. What is read is not erased. What is erased is the confidence.</w:t>
            </w:r>
          </w:p>
          <w:p>
            <w:pPr>
              <w:spacing w:after="80" w:line="276" w:lineRule="auto"/>
              <w:jc w:val="both"/>
            </w:pPr>
            <w:r>
              <w:rPr>
                <w:rFonts w:ascii="Times New Roman" w:hAnsi="Times New Roman" w:eastAsia="바탕"/>
                <w:sz w:val="20"/>
              </w:rPr>
              <w:t>Fixing it surfaced one more. The caution verdict was drawing a slash across the pictogram, so the moment the handwriting caution attached, a prohibition mark was drawn over the glaucoma eye-drop picture. That amounts to telling someone to stop their medicine because the paper is hard to read, the exact mirror image of the failure this app set out to prevent. The slash now goes out only on avoid, locked with a test.</w:t>
            </w:r>
          </w:p>
          <w:p>
            <w:pPr>
              <w:spacing w:after="80" w:line="276" w:lineRule="auto"/>
              <w:jc w:val="both"/>
            </w:pPr>
            <w:r>
              <w:rPr>
                <w:rFonts w:ascii="Times New Roman" w:hAnsi="Times New Roman" w:eastAsia="바탕"/>
                <w:sz w:val="20"/>
              </w:rPr>
              <w:t>One photograph is a case, not a measurement, so we measured again on public data: 500 samples from the test split of 5,578 handwritten drug names cut from real Bangladeshi prescriptions (RxHandBD, Zenodo 18478741, MIT licence). Bangladesh is the country of respondent Aliya Naheed, Senior Scientist. All 500 were read, with no failures. The result: read exactly, 45.2%; off by a character or two, 28.2%; read as something else entirely, 26.6%. The middle band is the more dangerous one. Escilex read as Eslilex, and one character away there can be a different real drug; this dataset itself contains Inderen and Indever side by side.</w:t>
            </w:r>
          </w:p>
          <w:p>
            <w:pPr>
              <w:spacing w:after="80" w:line="276" w:lineRule="auto"/>
              <w:jc w:val="both"/>
            </w:pPr>
            <w:r>
              <w:rPr>
                <w:rFonts w:ascii="Times New Roman" w:hAnsi="Times New Roman" w:eastAsia="바탕"/>
                <w:sz w:val="20"/>
              </w:rPr>
              <w:t>We also measured whether confidence can filter it. It cannot, and the way it fails is not what we first supposed.</w:t>
            </w:r>
          </w:p>
          <w:p>
            <w:pPr>
              <w:spacing w:after="80" w:line="276" w:lineRule="auto"/>
              <w:jc w:val="both"/>
            </w:pPr>
            <w:r>
              <w:rPr>
                <w:rFonts w:ascii="Times New Roman" w:hAnsi="Times New Roman" w:eastAsia="바탕"/>
                <w:sz w:val="20"/>
              </w:rPr>
              <w:t xml:space="preserve">At a threshold of 0.4, 45% survive and 71.6% of those are correct. At 0.5, 20.4% survive and accuracy peaks at 83.3%, and </w:t>
            </w:r>
            <w:r>
              <w:rPr>
                <w:rFonts w:ascii="Times New Roman" w:hAnsi="Times New Roman" w:eastAsia="바탕"/>
                <w:b/>
                <w:sz w:val="20"/>
              </w:rPr>
              <w:t>raising the threshold further makes accuracy fall rather than rise</w:t>
            </w:r>
            <w:r>
              <w:rPr>
                <w:rFonts w:ascii="Times New Roman" w:hAnsi="Times New Roman" w:eastAsia="바탕"/>
                <w:sz w:val="20"/>
              </w:rPr>
              <w:t>: 79.5% at 0.6, 76.9% at 0.7, 50.0% at 0.8. Allowing for the noise of a shrinking sample, the direction does not go up.</w:t>
            </w:r>
          </w:p>
          <w:p>
            <w:pPr>
              <w:spacing w:after="80" w:line="276" w:lineRule="auto"/>
              <w:jc w:val="both"/>
            </w:pPr>
            <w:r>
              <w:rPr>
                <w:rFonts w:ascii="Times New Roman" w:hAnsi="Times New Roman" w:eastAsia="바탕"/>
                <w:sz w:val="20"/>
              </w:rPr>
              <w:t xml:space="preserve">This is where the conclusion changed from the 200-sample run. Then it was that no threshold satisfies accuracy and coverage together. At 500 we can say something stronger: </w:t>
            </w:r>
            <w:r>
              <w:rPr>
                <w:rFonts w:ascii="Times New Roman" w:hAnsi="Times New Roman" w:eastAsia="바탕"/>
                <w:b/>
                <w:sz w:val="20"/>
              </w:rPr>
              <w:t>high confidence is not evidence of correctness.</w:t>
            </w:r>
            <w:r>
              <w:rPr>
                <w:rFonts w:ascii="Times New Roman" w:hAnsi="Times New Roman" w:eastAsia="바탕"/>
                <w:sz w:val="20"/>
              </w:rPr>
              <w:t xml:space="preserve"> The conclusion that confidence cannot serve as a filter is the same, but the reason is no longer narrow coverage; it is that the relationship does not continue upward.</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How 500 handwritten drug names were read, and why confidence cannot filter them. The right panel is the design basis: while the share surviving (grey) falls steeply, the accuracy of the survivors (blue) peaks at 0.5 and then falls again. Raising the threshold does not buy accuracy, so confidence cannot serve as a filter. The red bar on the left is the heaviest finding of this measurement. A name read as something else looks wrong; a name off by a character or two can be a different drug that actually exists.</w:t>
            </w:r>
          </w:p>
          <w:p>
            <w:pPr>
              <w:spacing w:after="80" w:line="276" w:lineRule="auto"/>
              <w:jc w:val="both"/>
            </w:pPr>
            <w:r>
              <w:rPr>
                <w:rFonts w:ascii="Times New Roman" w:hAnsi="Times New Roman" w:eastAsia="바탕"/>
                <w:sz w:val="20"/>
              </w:rPr>
              <w:t xml:space="preserve">We also measured what the user actually photographs, the full prescription page. All 200 Bangladeshi prescription pages annotated with the number of drug-name regions (Mendeley k62rfd23kz, CC BY 4.0) were sent not to the model but to the app's </w:t>
            </w:r>
            <w:r>
              <w:rPr>
                <w:rFonts w:ascii="Consolas" w:hAnsi="Consolas" w:eastAsia="Consolas"/>
                <w:sz w:val="19"/>
              </w:rPr>
              <w:t>/api/analyze</w:t>
            </w:r>
            <w:r>
              <w:rPr>
                <w:rFonts w:ascii="Times New Roman" w:hAnsi="Times New Roman" w:eastAsia="바탕"/>
                <w:sz w:val="20"/>
              </w:rPr>
              <w:t>, because a value only becomes the app's value after passing the deployed prompt and post-processing. The ground truth is a count, not text. This dataset has no drug-name text; it records how many medicines each page carries, and the count matters for a reason. If three of five medicines are read, two vanish silently, and the user takes the three on screen to be all of them.</w:t>
            </w:r>
          </w:p>
          <w:p>
            <w:pPr>
              <w:spacing w:after="80" w:line="276" w:lineRule="auto"/>
              <w:jc w:val="both"/>
            </w:pPr>
            <w:r>
              <w:rPr>
                <w:rFonts w:ascii="Times New Roman" w:hAnsi="Times New Roman" w:eastAsia="바탕"/>
                <w:sz w:val="20"/>
              </w:rPr>
              <w:t xml:space="preserve">This measurement found a defect. On the first run 11 of the 60 pages failed outright, and not at random: every one carried 5 to 12 medicines, and the same pages failed on every rerun. </w:t>
            </w:r>
            <w:r>
              <w:rPr>
                <w:rFonts w:ascii="Times New Roman" w:hAnsi="Times New Roman" w:eastAsia="바탕"/>
                <w:b/>
                <w:sz w:val="20"/>
              </w:rPr>
              <w:t>It was failing against exactly the people who need it most.</w:t>
            </w:r>
            <w:r>
              <w:rPr>
                <w:rFonts w:ascii="Times New Roman" w:hAnsi="Times New Roman" w:eastAsia="바탕"/>
                <w:sz w:val="20"/>
              </w:rPr>
              <w:t xml:space="preserve"> The person taking ten medicines needs this app most, and that very person's prescription would not read. What happened and why is in the comment of the fixed code, carried over as written:</w:t>
            </w:r>
          </w:p>
          <w:p>
            <w:pPr>
              <w:spacing w:after="160"/>
            </w:pPr>
            <w:r>
              <w:rPr>
                <w:rFonts w:ascii="Consolas" w:hAnsi="Consolas" w:eastAsia="Consolas"/>
                <w:sz w:val="18"/>
              </w:rPr>
              <w:t xml:space="preserve">      /*</w:t>
              <w:br/>
              <w:t xml:space="preserve">        It was 700. Right there, **prescriptions with many medicines were failing</w:t>
              <w:br/>
              <w:t xml:space="preserve">        outright.**</w:t>
              <w:br/>
              <w:br/>
              <w:t xml:space="preserve">        It surfaced while measuring on 60 whole Bangladeshi prescription pages.</w:t>
              <w:br/>
              <w:t xml:space="preserve">        Eleven failed, and not at random — every one of them listed 5 to 12</w:t>
              <w:br/>
              <w:t xml:space="preserve">        medicines, and it was the same pages every time. The answer was cut off at</w:t>
              <w:br/>
              <w:t xml:space="preserve">        700 tokens (`stop_reason: max_tokens`), the cut JSON failed to parse, the</w:t>
              <w:br/>
              <w:t xml:space="preserve">        failure was caught above, and the screen said "could not read it."</w:t>
              <w:br/>
              <w:t xml:space="preserve">        The actual tail of one admission order sheet:</w:t>
              <w:br/>
              <w:t xml:space="preserve">        `…urinary catheterization. 20.` — cut mid-sentence.</w:t>
              <w:br/>
              <w:br/>
              <w:t xml:space="preserve">        **It was failing against exactly the people who need it most.** Someone</w:t>
              <w:br/>
              <w:t xml:space="preserve">        taking ten medicines needs this app most, and theirs is precisely the</w:t>
              <w:br/>
              <w:t xml:space="preserve">        prescription that does not get read.</w:t>
              <w:br/>
              <w:br/>
              <w:t xml:space="preserve">        A nutrition answer fits in 700, but dosing instructions grow with the</w:t>
              <w:br/>
              <w:t xml:space="preserve">        number of medicines. Give it room — short answers end short anyway</w:t>
              <w:br/>
              <w:t xml:space="preserve">        (end_turn), so this value does not raise the cost.</w:t>
              <w:br/>
              <w:t xml:space="preserve">      */</w:t>
              <w:br/>
              <w:t xml:space="preserve">      max_tokens: 3000,</w:t>
            </w:r>
          </w:p>
          <w:p>
            <w:pPr>
              <w:spacing w:after="80" w:line="276" w:lineRule="auto"/>
              <w:jc w:val="both"/>
            </w:pPr>
            <w:r>
              <w:rPr>
                <w:rFonts w:ascii="Times New Roman" w:hAnsi="Times New Roman" w:eastAsia="바탕"/>
                <w:sz w:val="20"/>
              </w:rPr>
              <w:t>The same measurement surfaced one more defect. When a call failed briefly, the app was saying "this server has no photo recognition." A permanent statement about a passing event, and whoever hears it does not try again, because it sounds like something that cannot be fixed. The two are now split: a momentary backlog (503) says try again in a moment, and only the genuine absence of means (501) says there are none.</w:t>
            </w:r>
          </w:p>
          <w:p>
            <w:pPr>
              <w:spacing w:after="80" w:line="276" w:lineRule="auto"/>
              <w:jc w:val="both"/>
            </w:pPr>
            <w:r>
              <w:rPr>
                <w:rFonts w:ascii="Times New Roman" w:hAnsi="Times New Roman" w:eastAsia="바탕"/>
                <w:sz w:val="20"/>
              </w:rPr>
              <w:t xml:space="preserve">After the fix all 200 pages were measured again. Recognition as a prescription rose from 95.5% to </w:t>
            </w:r>
            <w:r>
              <w:rPr>
                <w:rFonts w:ascii="Times New Roman" w:hAnsi="Times New Roman" w:eastAsia="바탕"/>
                <w:b/>
                <w:sz w:val="20"/>
              </w:rPr>
              <w:t>100%</w:t>
            </w:r>
            <w:r>
              <w:rPr>
                <w:rFonts w:ascii="Times New Roman" w:hAnsi="Times New Roman" w:eastAsia="바탕"/>
                <w:sz w:val="20"/>
              </w:rPr>
              <w:t xml:space="preserve"> (200 of 200, no failures) and recall of the medicine count from 83.2% to </w:t>
            </w:r>
            <w:r>
              <w:rPr>
                <w:rFonts w:ascii="Times New Roman" w:hAnsi="Times New Roman" w:eastAsia="바탕"/>
                <w:b/>
                <w:sz w:val="20"/>
              </w:rPr>
              <w:t>86.9%</w:t>
            </w:r>
            <w:r>
              <w:rPr>
                <w:rFonts w:ascii="Times New Roman" w:hAnsi="Times New Roman" w:eastAsia="바탕"/>
                <w:sz w:val="20"/>
              </w:rPr>
              <w:t xml:space="preserve"> (944 of 1,086 annotated). The 4.5% that disappeared is exactly the prescriptions carrying the most medicines, which belong to the people who need this app most.</w:t>
            </w:r>
          </w:p>
          <w:p>
            <w:pPr>
              <w:spacing w:after="80" w:line="276" w:lineRule="auto"/>
              <w:jc w:val="both"/>
            </w:pPr>
            <w:r>
              <w:rPr>
                <w:rFonts w:ascii="Times New Roman" w:hAnsi="Times New Roman" w:eastAsia="바탕"/>
                <w:sz w:val="20"/>
              </w:rPr>
              <w:t xml:space="preserve">Handwriting was flagged on 94.5%. Opening all eleven pages that were not flagged showed computer-printed prescriptions without a single handwritten character. Since this dataset states that it mixes handwriting and print, that is a correct discrimination rather than a miss. The fourteen pages carrying a schedule were likewise all reading notation actually on the paper, the Bangladeshi </w:t>
            </w:r>
            <w:r>
              <w:rPr>
                <w:rFonts w:ascii="Consolas" w:hAnsi="Consolas" w:eastAsia="Consolas"/>
                <w:sz w:val="19"/>
              </w:rPr>
              <w:t>1+0+1</w:t>
            </w:r>
            <w:r>
              <w:rPr>
                <w:rFonts w:ascii="Times New Roman" w:hAnsi="Times New Roman" w:eastAsia="바탕"/>
                <w:sz w:val="20"/>
              </w:rPr>
              <w:t xml:space="preserve"> style.</w:t>
            </w:r>
          </w:p>
          <w:p>
            <w:pPr>
              <w:spacing w:after="80" w:line="276" w:lineRule="auto"/>
              <w:jc w:val="both"/>
            </w:pPr>
            <w:r>
              <w:rPr>
                <w:rFonts w:ascii="Times New Roman" w:hAnsi="Times New Roman" w:eastAsia="바탕"/>
                <w:sz w:val="20"/>
              </w:rPr>
              <w:t xml:space="preserve">One more limit belongs here. This measurement was sent straight to </w:t>
            </w:r>
            <w:r>
              <w:rPr>
                <w:rFonts w:ascii="Consolas" w:hAnsi="Consolas" w:eastAsia="Consolas"/>
                <w:sz w:val="19"/>
              </w:rPr>
              <w:t>/api/analyze</w:t>
            </w:r>
            <w:r>
              <w:rPr>
                <w:rFonts w:ascii="Times New Roman" w:hAnsi="Times New Roman" w:eastAsia="바탕"/>
                <w:sz w:val="20"/>
              </w:rPr>
              <w:t>, so it measures the vision-model route rather than the app's default path. A real camera runs OCR on the device first and never calls the model for a printed prescription (§3.3). Handwriting falls through to this route because OCR cannot hold it, which is what makes these figures meaningful; but rolled up as a "prescription recognition rate" they would be wrong at exactly that point.</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57"/>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43]</w:t>
            </w:r>
            <w:r>
              <w:rPr>
                <w:rFonts w:ascii="Times New Roman" w:hAnsi="Times New Roman" w:eastAsia="바탕"/>
                <w:color w:val="606068"/>
                <w:sz w:val="18"/>
              </w:rPr>
              <w:t xml:space="preserve"> All 200 full prescription pages measured before and after the fix. The gap in the left pair is the pages that failed outright because the reply was truncated. A caveat belongs beside it: the two values must not be multiplied together. The 86.9% recall is a count, not letter accuracy; letter accuracy is the 45.2% of Figure 42. Different sample, different task.</w:t>
            </w:r>
          </w:p>
          <w:p>
            <w:pPr>
              <w:spacing w:after="80" w:line="276" w:lineRule="auto"/>
              <w:jc w:val="both"/>
            </w:pPr>
            <w:r>
              <w:rPr>
                <w:rFonts w:ascii="Times New Roman" w:hAnsi="Times New Roman" w:eastAsia="바탕"/>
                <w:sz w:val="20"/>
              </w:rPr>
              <w:t>Enlarging the sample overturned one thing we had written. At 200 samples, nothing carrying confidence of 0.8 or higher was wrong, and we took that as grounds for saying the model says it cannot read what it cannot read. At 500 there is one: Folzin (folic acid) read as Naprosyn (naproxen) with confidence 0.85. One in 500 is 0.2% and a small number, but not a small number given that what we were about to build on it was "let anything confident through." Had we not enlarged the sample, we would have put a design on top of a safety that was not there.</w:t>
            </w:r>
          </w:p>
          <w:p>
            <w:pPr>
              <w:spacing w:after="80" w:line="276" w:lineRule="auto"/>
              <w:jc w:val="both"/>
            </w:pPr>
            <w:r>
              <w:rPr>
                <w:rFonts w:ascii="Times New Roman" w:hAnsi="Times New Roman" w:eastAsia="바탕"/>
                <w:sz w:val="20"/>
              </w:rPr>
              <w:t>In sum, Professor Celia's point is confirmed by three measurements. This app cannot read handwriting. Two things have changed: the screen now knows it, and what the app does everywhere else is now stated in numbers.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retired speech and language therapist and visiting accessibility researcher at Global Symbols and the University of Southampton,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What working through WCAG 2.2 found, and what we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Assistant Manager at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PhD and pharmacist at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Pharmacy Lecturer,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four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 "Not for use in pregnancy" on the eye-drop sample is wrong too. The NHS writes that "Chloramphenicol eye treatments and ear drops can be used in pregnancy" and treats them as first choice for an eye infection in pregnancy, because systemic absorption is minimal.</w:t>
            </w:r>
          </w:p>
          <w:p>
            <w:pPr>
              <w:spacing w:after="80" w:line="276" w:lineRule="auto"/>
              <w:jc w:val="both"/>
            </w:pPr>
            <w:r>
              <w:rPr>
                <w:rFonts w:ascii="Times New Roman" w:hAnsi="Times New Roman" w:eastAsia="바탕"/>
                <w:sz w:val="20"/>
              </w:rPr>
              <w:t>All four errors are of one character. When making the samples we filled the warnings box with plausible-sounding wording, and plausible and correct are different things. Three of the four were pregnancy contraindications, which is the easiest line to put in a warnings box, and the more so because that is what we wanted to demonstrate.</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We corrected the samples. The amoxicillin warnings were changed to penicillin allergy and finishing the course, and the eye drops to not wearing contact lenses and not sharing the bottle.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5.7.8 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5.7.9 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5.7.10 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9 of the 12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after="80" w:line="276" w:lineRule="auto"/>
              <w:jc w:val="both"/>
            </w:pPr>
            <w:r>
              <w:rPr>
                <w:rFonts w:ascii="Times New Roman" w:hAnsi="Times New Roman" w:eastAsia="바탕"/>
                <w:sz w:val="20"/>
              </w:rPr>
              <w:t>A response in the same direction raised the question of order. Asked whether the app could fit a pharmacy workflow, Associate Professor Hangil Lee withheld judgement and gave the reason.</w:t>
            </w:r>
          </w:p>
          <w:p>
            <w:pPr>
              <w:spacing w:after="40" w:line="276" w:lineRule="auto"/>
              <w:ind w:left="403"/>
            </w:pPr>
            <w:r>
              <w:rPr>
                <w:rFonts w:ascii="Times New Roman" w:hAnsi="Times New Roman" w:eastAsia="바탕"/>
                <w:i/>
                <w:color w:val="606068"/>
                <w:sz w:val="19"/>
              </w:rPr>
              <w:t>"The accuracy of the app has to be secured before its convenience for it to be usable in practice, and I think it should be used as an auxiliary tool for the pharmacist."</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That stings, because what this document measures from §5.1 to §5.6 is largely arrival and operation rather than accuracy. This respondent is telling us to measure first the thing we did not measure. And the first item in §5.9, that there has been no comprehension testing with people, is exactly that place.</w:t>
            </w:r>
          </w:p>
          <w:p>
            <w:pPr>
              <w:spacing w:after="80" w:line="276" w:lineRule="auto"/>
              <w:jc w:val="both"/>
            </w:pPr>
            <w:r>
              <w:rPr>
                <w:rFonts w:ascii="Times New Roman" w:hAnsi="Times New Roman" w:eastAsia="바탕"/>
                <w:sz w:val="20"/>
              </w:rPr>
              <w:t>The same respondent left a line about what must not be conveyed by picture and speech alone. Only one option could be selected, so they chose contraindications, but side effects and cases needing dose adjustment belong there too. The respondent filled in the limits of our question design for us, and it is why this section has to read the multiple-choice results alongside the free text.</w:t>
            </w:r>
          </w:p>
          <w:p>
            <w:pPr>
              <w:spacing w:before="120" w:after="20"/>
            </w:pPr>
            <w:r>
              <w:rPr>
                <w:rFonts w:ascii="Times New Roman" w:hAnsi="Times New Roman" w:eastAsia="바탕"/>
                <w:b/>
                <w:sz w:val="21"/>
              </w:rPr>
              <w:t>5.7.11 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researcher at the Institut Pasteur de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 xml:space="preserve">Myojung Choi, researcher at the Korea Disabled People's Development Institute, cited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Senior Manager at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Sheron Sir Loon Goh, Pharmacy Lecturer, asked for one more thing ahead of the test: before launching the app, seek professional advice from local pharmacists on whether the symbols are appropriate in the local context. That five clinical errors turned up in our sample prescriptions in §5.7 shows why that advice is needed. We corrected them against public sources without review, and for the 78 morphemes we have not even done that much checking.</w:t>
            </w:r>
          </w:p>
          <w:p>
            <w:pPr>
              <w:spacing w:after="80" w:line="276" w:lineRule="auto"/>
              <w:jc w:val="both"/>
            </w:pPr>
            <w:r>
              <w:rPr>
                <w:rFonts w:ascii="Times New Roman" w:hAnsi="Times New Roman" w:eastAsia="바탕"/>
                <w:sz w:val="20"/>
              </w:rPr>
              <w:t xml:space="preserve">The same respondent also pointed us to a reference: a study testing pictograms designed in Malaysia on that country's population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We record why its results are not used in the body: all three routes, the publisher, DOAJ and Semantic Scholar, failed to open the abstract, and we could not confirm the figures in the search summary at a primary source. What is recorded here is only that the survey pointed us to literature we did not know.</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5.7.12 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45]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Hard to say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5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44]</w:t>
            </w:r>
            <w:r>
              <w:rPr>
                <w:rFonts w:ascii="Times New Roman" w:hAnsi="Times New Roman" w:eastAsia="바탕"/>
                <w:color w:val="606068"/>
                <w:sz w:val="18"/>
              </w:rPr>
              <w:t xml:space="preserve"> What the 12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Ten of the twelve pharmacy respondents answered that there are things which must not be conveyed by picture and speech alone: contraindications and interactions for 5,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5.7.13 What was fixed after the survey</w:t>
            </w:r>
          </w:p>
          <w:p>
            <w:pPr>
              <w:spacing w:after="80" w:line="276" w:lineRule="auto"/>
              <w:jc w:val="both"/>
            </w:pPr>
            <w:r>
              <w:rPr>
                <w:rFonts w:ascii="Times New Roman" w:hAnsi="Times New Roman" w:eastAsia="바탕"/>
                <w:sz w:val="20"/>
              </w:rPr>
              <w:t>This survey was carried out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Pharmacy Lecturer,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We added a pixel-level check for similar pairs as well.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We kept the wording for a morpheme standing alone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Pharmacy Lecturer,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allergen_tree_nut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Senior Manager at the Korea Craft and Design Foundation, exactly: a hand under a running tap.</w:t>
            </w:r>
          </w:p>
          <w:p>
            <w:pPr>
              <w:spacing w:after="80" w:line="276" w:lineRule="auto"/>
              <w:jc w:val="both"/>
            </w:pPr>
            <w:r>
              <w:rPr>
                <w:rFonts w:ascii="Times New Roman" w:hAnsi="Times New Roman" w:eastAsia="바탕"/>
                <w:sz w:val="20"/>
              </w:rPr>
              <w:t>We went through the accessibility criteria. Checking WCAG 2.2 item by item, as E. A. Draffan, retired speech and language therapist and visiting accessibility researcher,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19 in §3.7. What should be recorded here is that we would not have done this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 xml:space="preserve">The speech was given the languages of six countries. Professor Kyogu Lee of Seoul National University proposed multilingual expansion, and the target user does not speak English in the first place. Only the spoken side was translated. The screen text stays in English, because the channels that reach the target user are the pictures and the sound, and the screen text is for the carer and the reviewer standing beside them. The languages were chosen from where the respondents work: Urdu (Pakistan), Hausa (Nigeria), Indonesian, Bengali (Bangladesh), Romanian (Moldova) and Korean, 72 morpheme sentences × 6 = 432 entries. Swapping words alone does not make a sentence, so each bundle carries its own word order, and doing that revealed that the storage instruction is a separate act rather than a modifier, so the sentence was split; the English improved with it. </w:t>
            </w:r>
            <w:r>
              <w:rPr>
                <w:rFonts w:ascii="Times New Roman" w:hAnsi="Times New Roman" w:eastAsia="바탕"/>
                <w:b/>
                <w:sz w:val="20"/>
              </w:rPr>
              <w:t>No native-speaker clinical review has been done</w:t>
            </w:r>
            <w:r>
              <w:rPr>
                <w:rFonts w:ascii="Times New Roman" w:hAnsi="Times New Roman" w:eastAsia="바탕"/>
                <w:sz w:val="20"/>
              </w:rPr>
              <w:t>, and that fact is recorded in both the code and on screen. The wording that goes out on screen, carried over as written:</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(Settings screen, below the language picker)</w:t>
            </w:r>
          </w:p>
          <w:p>
            <w:pPr>
              <w:spacing w:after="80" w:line="276" w:lineRule="auto"/>
              <w:jc w:val="both"/>
            </w:pPr>
            <w:r>
              <w:rPr>
                <w:rFonts w:ascii="Times New Roman" w:hAnsi="Times New Roman" w:eastAsia="바탕"/>
                <w:sz w:val="20"/>
              </w:rPr>
              <w:t>Including English is the point. It is not only the translations that are unreviewed; the source sentences are unreviewed too, and that is not hidden behind a note about translation. A mistranslated dosing instruction causes exactly the harm this app exists to prevent. Seven languages appear in Settings; English is the source, so six were translated.</w:t>
            </w:r>
          </w:p>
          <w:p>
            <w:pPr>
              <w:spacing w:before="160" w:after="60"/>
              <w:jc w:val="center"/>
            </w:pPr>
            <w:r>
              <w:drawing>
                <wp:inline xmlns:a="http://schemas.openxmlformats.org/drawingml/2006/main" xmlns:pic="http://schemas.openxmlformats.org/drawingml/2006/picture">
                  <wp:extent cx="1320800" cy="4754880"/>
                  <wp:docPr id="45" name="Picture 45"/>
                  <wp:cNvGraphicFramePr>
                    <a:graphicFrameLocks noChangeAspect="1"/>
                  </wp:cNvGraphicFramePr>
                  <a:graphic>
                    <a:graphicData uri="http://schemas.openxmlformats.org/drawingml/2006/picture">
                      <pic:pic>
                        <pic:nvPicPr>
                          <pic:cNvPr id="0" name="fig14_language.png"/>
                          <pic:cNvPicPr/>
                        </pic:nvPicPr>
                        <pic:blipFill>
                          <a:blip r:embed="rId59"/>
                          <a:stretch>
                            <a:fillRect/>
                          </a:stretch>
                        </pic:blipFill>
                        <pic:spPr>
                          <a:xfrm>
                            <a:off x="0" y="0"/>
                            <a:ext cx="13208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45]</w:t>
            </w:r>
            <w:r>
              <w:rPr>
                <w:rFonts w:ascii="Times New Roman" w:hAnsi="Times New Roman" w:eastAsia="바탕"/>
                <w:color w:val="606068"/>
                <w:sz w:val="18"/>
              </w:rPr>
              <w:t xml:space="preserve"> The language picker in Settings, captured from the deployment (https://snapcare.fly.dev) as it stands. The note underneath is the point of this screen: the display stays in English and only the voice changes, and the translations have not been checked by a clinician who speaks the language, English included. That is to say it is not only the translations that are unreviewed; the source sentences are not either.</w:t>
            </w:r>
          </w:p>
          <w:p>
            <w:pPr>
              <w:spacing w:after="80" w:line="276" w:lineRule="auto"/>
              <w:jc w:val="both"/>
            </w:pPr>
            <w:r>
              <w:rPr>
                <w:rFonts w:ascii="Times New Roman" w:hAnsi="Times New Roman" w:eastAsia="바탕"/>
                <w:sz w:val="20"/>
              </w:rPr>
              <w:t>Urdu and Hausa can be seen dimmed and carrying "no voice on this phone" with a mute mark. These are the marks §5.7 describes, and this figure confirms that description.</w:t>
            </w:r>
          </w:p>
          <w:p>
            <w:pPr>
              <w:spacing w:after="80" w:line="276" w:lineRule="auto"/>
              <w:jc w:val="both"/>
            </w:pPr>
            <w:r>
              <w:rPr>
                <w:rFonts w:ascii="Times New Roman" w:hAnsi="Times New Roman" w:eastAsia="바탕"/>
                <w:sz w:val="20"/>
              </w:rPr>
              <w:t xml:space="preserve">Getting this figure took one failure. The earlier capture did not carry those marks, and we had a paragraph in the body excusing it: the browser was headless, its voice list empty, so the marks did not appear. The cause was not the browser but our capture procedure. The voice list is filled asynchronously by </w:t>
            </w:r>
            <w:r>
              <w:rPr>
                <w:rFonts w:ascii="Consolas" w:hAnsi="Consolas" w:eastAsia="Consolas"/>
                <w:sz w:val="19"/>
              </w:rPr>
              <w:t>speechSynthesis</w:t>
            </w:r>
            <w:r>
              <w:rPr>
                <w:rFonts w:ascii="Times New Roman" w:hAnsi="Times New Roman" w:eastAsia="바탕"/>
                <w:sz w:val="20"/>
              </w:rPr>
              <w:t>, and we waited only for the heading of the list before taking the shot, so the shot was taken before the marks were attached. It now waits for the marks themselves to appear on screen.</w:t>
            </w:r>
          </w:p>
          <w:p>
            <w:pPr>
              <w:spacing w:after="80" w:line="276" w:lineRule="auto"/>
              <w:jc w:val="both"/>
            </w:pPr>
            <w:r>
              <w:rPr>
                <w:rFonts w:ascii="Times New Roman" w:hAnsi="Times New Roman" w:eastAsia="바탕"/>
                <w:sz w:val="20"/>
              </w:rPr>
              <w:t>One more thing should be read from it. The disclosure sits below the red line, which is to say it is reached only by scrolling. Putting a disclosure on the screen and the user seeing it are different things, and this screen currently satisfies only the first. Someone choosing a language stops when they find their own in the list and has no reason to go further down. Whether the disclosure should move above the list is left as an item to settle with people present, in the field evaluation of §5.10.</w:t>
            </w:r>
          </w:p>
          <w:p>
            <w:pPr>
              <w:spacing w:after="80" w:line="276" w:lineRule="auto"/>
              <w:jc w:val="both"/>
            </w:pPr>
            <w:r>
              <w:rPr>
                <w:rFonts w:ascii="Times New Roman" w:hAnsi="Times New Roman" w:eastAsia="바탕"/>
                <w:sz w:val="20"/>
              </w:rPr>
              <w:t>The dispenser now calls the phone when it presents a dose. The same respondent proposed dosing-time notifications. The release button is visible only while the app is open, so without a place that calls, this feature works only for whoever happens to have the app open. It does not call while you are watching, it does not disappear until touched, and permission is asked right after pairing the box: to someone who has just claimed the box, "shall we tell you when a dose is ready" is a continuation, whereas a dialogue at first launch gets refused before its purpose is known.</w:t>
            </w:r>
          </w:p>
          <w:p>
            <w:pPr>
              <w:spacing w:after="80" w:line="276" w:lineRule="auto"/>
              <w:jc w:val="both"/>
            </w:pPr>
            <w:r>
              <w:rPr>
                <w:rFonts w:ascii="Times New Roman" w:hAnsi="Times New Roman" w:eastAsia="바탕"/>
                <w:sz w:val="20"/>
              </w:rPr>
              <w:t>A checking step was built. It responds to the absence of teach-back raised by Foued Maaoui, researcher at the Institut Pasteur de Tunis,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web app test count went from 231 to 347 (Table 28).</w:t>
            </w:r>
          </w:p>
          <w:p>
            <w:pPr>
              <w:spacing w:before="120" w:after="20"/>
            </w:pPr>
            <w:r>
              <w:rPr>
                <w:rFonts w:ascii="Times New Roman" w:hAnsi="Times New Roman" w:eastAsia="바탕"/>
                <w:b/>
                <w:sz w:val="21"/>
              </w:rPr>
              <w:t>5.7.14 Limits of this survey</w:t>
            </w:r>
          </w:p>
          <w:p>
            <w:pPr>
              <w:spacing w:after="80" w:line="276" w:lineRule="auto"/>
              <w:jc w:val="both"/>
            </w:pPr>
            <w:r>
              <w:rPr>
                <w:rFonts w:ascii="Times New Roman" w:hAnsi="Times New Roman" w:eastAsia="바탕"/>
                <w:sz w:val="20"/>
              </w:rPr>
              <w:t>The sample is self-selected. Thirty-five of 1,103 answered, and those who answered are people with an interest in the subject. The judgement of the 1,068 who did not answer is unknown.</w:t>
            </w:r>
          </w:p>
          <w:p>
            <w:pPr>
              <w:spacing w:after="80" w:line="276" w:lineRule="auto"/>
              <w:jc w:val="both"/>
            </w:pPr>
            <w:r>
              <w:rPr>
                <w:rFonts w:ascii="Times New Roman" w:hAnsi="Times New Roman" w:eastAsia="바탕"/>
                <w:sz w:val="20"/>
              </w:rPr>
              <w:t>The denominators are small. The largest segment, pharmacy, is 12 people. Written as a percentage, one person moves 8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Three respondents told us the survey instrument itself was flawed. Professor Atif Usman of The Islamia University of Bahawalpur asked that multiple responses be allowed in every segment, and Associate Professor Hangil Lee of Ewha Womans University wrote that only one option could be selected so he chose contraindications, though side effects and dose adjustment belong in the same place. Professor Namsoo Park of Hyupsung University said the same thing: asked where an older patient living alone fails first, he answered that operating the screen, managing the device and trust arrive together.</w:t>
            </w:r>
          </w:p>
          <w:p>
            <w:pPr>
              <w:spacing w:after="80" w:line="276" w:lineRule="auto"/>
              <w:jc w:val="both"/>
            </w:pPr>
            <w:r>
              <w:rPr>
                <w:rFonts w:ascii="Times New Roman" w:hAnsi="Times New Roman" w:eastAsia="바탕"/>
                <w:sz w:val="20"/>
              </w:rPr>
              <w:t>The distributions for single-choice questions in this section therefore do not hold everything the respondents wanted to choose. That has to be read alongside the figures in Table 45, and it is why this section presents the free text next to the multiple choice.</w:t>
            </w:r>
          </w:p>
          <w:p>
            <w:pPr>
              <w:spacing w:after="80" w:line="276" w:lineRule="auto"/>
              <w:jc w:val="both"/>
            </w:pPr>
            <w:r>
              <w:rPr>
                <w:rFonts w:ascii="Times New Roman" w:hAnsi="Times New Roman" w:eastAsia="바탕"/>
                <w:sz w:val="20"/>
              </w:rPr>
              <w:t>E. A. Draffan, retired speech and language therapist and visiting accessibility researcher at Global Symbols, told us of another flaw: they only realised at the end that there was a button back to the screen showing the 78 morphemes. How many responses were given without being able to look at the morphemes again, we do not know. The same respondent suggested putting a link back to the morphemes inside the questions.</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35, 30 answered on a desktop, 3 on mobile and 2 on a tablet.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the first 34 were all recorded as not pressed. It was fixed during the survey, so only later responses are valid. In other words, of the responses to the judgement question in this section, how many were answered after hearing the audio cannot be known.</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46]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In 2019, deaths directly attributable to bacterial resistance numbered 1.27 million, more than HIV/AIDS or malaria (Murray, C. J. L. et al. (Antimicrobial Resistance Collaborators), "Global burden of bacterial antimicrobial resistance in 2019," </w:t>
            </w:r>
            <w:r>
              <w:rPr>
                <w:rFonts w:ascii="Times New Roman" w:hAnsi="Times New Roman" w:eastAsia="바탕"/>
                <w:i/>
                <w:sz w:val="20"/>
              </w:rPr>
              <w:t>The Lancet</w:t>
            </w:r>
            <w:r>
              <w:rPr>
                <w:rFonts w:ascii="Times New Roman" w:hAnsi="Times New Roman" w:eastAsia="바탕"/>
                <w:sz w:val="20"/>
              </w:rPr>
              <w:t xml:space="preserve">, 399(10325):629–655,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Broken down by region, this problem too is concentrated where we are aimed. In South-East Asia and the Eastern Mediterranean one in three reported infections showed resistance, in Africa one in five and in the Americas one in seven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The regions with the lowest literacy in §1.1 appear here again.</w:t>
            </w:r>
          </w:p>
          <w:p>
            <w:pPr>
              <w:spacing w:before="160" w:after="60"/>
              <w:jc w:val="center"/>
            </w:pPr>
            <w:r>
              <w:drawing>
                <wp:inline xmlns:a="http://schemas.openxmlformats.org/drawingml/2006/main" xmlns:pic="http://schemas.openxmlformats.org/drawingml/2006/picture">
                  <wp:extent cx="5486400" cy="2377440"/>
                  <wp:docPr id="46" name="Picture 46"/>
                  <wp:cNvGraphicFramePr>
                    <a:graphicFrameLocks noChangeAspect="1"/>
                  </wp:cNvGraphicFramePr>
                  <a:graphic>
                    <a:graphicData uri="http://schemas.openxmlformats.org/drawingml/2006/picture">
                      <pic:pic>
                        <pic:nvPicPr>
                          <pic:cNvPr id="0" name="chart14_amr_region.png"/>
                          <pic:cNvPicPr/>
                        </pic:nvPicPr>
                        <pic:blipFill>
                          <a:blip r:embed="rId6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46]</w:t>
            </w:r>
            <w:r>
              <w:rPr>
                <w:rFonts w:ascii="Times New Roman" w:hAnsi="Times New Roman" w:eastAsia="바탕"/>
                <w:color w:val="606068"/>
                <w:sz w:val="18"/>
              </w:rPr>
              <w:t xml:space="preserve"> Share of reported bacterial infections showing antibiotic resistance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expert survey in §5.7 is not that test: it asked people who deal with such patients daily, whereas a comprehension test has to ask the patients.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 xml:space="preserve">Second, cultural adaptation has not been verified. In the controlled comparison showing two sets to the same 46 people, 20 of 23 locally made pictograms passed the ANSI criterion while USP-DI managed 11 of 23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Ownby et al. (2024), cited in §1.4, makes this item heavier. Three hundred and fifteen people with low health literacy were given an app with lowered reading difficulty and audio, and medication adherence did not move. We hold that changing the medium is different, but whether that holds can only be known by measuring, and we have not measured it.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9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Five clinical errors came to light after the fact. One storage condition was raised by a respondent, and four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users with intellectual disability were not addressed. Raisa Kravchenko, Deputy Director of the All Ukrainian NGO Coalition for Persons with Intellectual Disabilities in Ukraine, wrote that the sounds are good but the pictograms should be improved and tested with people with intellectual disability. This app was designed for low literacy, and intellectual disability is a different condition. The checking step of §3.8 is the feature closest to that direction, but it was not designed for that group.</w:t>
            </w:r>
          </w:p>
          <w:p>
            <w:pPr>
              <w:spacing w:after="80" w:line="276" w:lineRule="auto"/>
              <w:jc w:val="both"/>
            </w:pPr>
            <w:r>
              <w:rPr>
                <w:rFonts w:ascii="Times New Roman" w:hAnsi="Times New Roman" w:eastAsia="바탕"/>
                <w:sz w:val="20"/>
              </w:rPr>
              <w:t>Ninth, cross-cultural misreading was not measured. Professor Afonso Cavaco of the Universidade de Lisboa wrote that the design needs robust testing and that interpretation errors may happen, especially in cross-cultural practice. Table 6 and Figure 10 in §1.8 already show this, and our set was designed in Korea and has not yet been tested anywhere. It sits in the same place as the second item in this section, but where that item states the absence of cultural adaptation, this one states that we have not measured in which direction misreading occurs before adaptation.</w:t>
            </w:r>
          </w:p>
          <w:p>
            <w:pPr>
              <w:spacing w:after="80" w:line="276" w:lineRule="auto"/>
              <w:jc w:val="both"/>
            </w:pPr>
            <w:r>
              <w:rPr>
                <w:rFonts w:ascii="Times New Roman" w:hAnsi="Times New Roman" w:eastAsia="바탕"/>
                <w:sz w:val="20"/>
              </w:rPr>
              <w:t>Tenth, the spoken translations in six languages have had no native-speaker clinical review. The 72 morpheme sentences were carried into six languages by us and a machine, not by anyone who has counselled patients in those languages. A mistranslated dosing instruction causes exactly the harm this app exists to prevent, so until reviewed these translations hold the same status as the sample prescriptions of §5.7: plausible, and unconfirmed.</w:t>
            </w:r>
          </w:p>
          <w:p>
            <w:pPr>
              <w:spacing w:after="80" w:line="276" w:lineRule="auto"/>
              <w:jc w:val="both"/>
            </w:pPr>
            <w:r>
              <w:rPr>
                <w:rFonts w:ascii="Times New Roman" w:hAnsi="Times New Roman" w:eastAsia="바탕"/>
                <w:sz w:val="20"/>
              </w:rPr>
              <w:t>Eleventh,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[Table 47]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35.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117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(https://huggingface.co/spaces/Supertone/supertonic-3).</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 plan is needed to reflect the fact that circumstances differ by country.</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They may not know what the picture means, or may interpret it wrongly.</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 half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There could also be cases of drug therapy being stopped because unnecessary information was given to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It is compound content, too much to explain by picture alone. Only one option could be selected so I chose contraindications, but side effects and cases needing dose adjustment are also places where a pharmacist's explanation is needed beyond the picture and the audio.</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https://health.kr/mediCounsel/pictogram.asp — pictogram information for pharmacists worldwide can be found here.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Yakhak Hoeji, a comparative analysis of domestic and international guidelines for braille labelling on medicines; and the Ministry of Food and Drug Safety guideline on braille and voice/sign-language conversion codes for medicines and quasi-drugs.</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The accuracy of the app has to be secured before its convenience for it to be usable in practice, and I think it should be used as an auxiliary tool for the pharmacist.</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For older people with many chronic conditions, health outcomes can change if adherence improves.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All of 1, 2 and 3 above are possible.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It should be built so that the patient and the carer can both understand it at the same time.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12</w:t>
                  </w:r>
                </w:p>
              </w:tc>
              <w:tc>
                <w:tcPr>
                  <w:tcW w:type="dxa" w:w="3238"/>
                </w:tcPr>
                <w:p>
                  <w:r>
                    <w:rPr>
                      <w:rFonts w:ascii="Times New Roman" w:hAnsi="Times New Roman" w:eastAsia="바탕"/>
                      <w:sz w:val="18"/>
                    </w:rPr>
                    <w:t>34%</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 Id="rId54" Type="http://schemas.openxmlformats.org/officeDocument/2006/relationships/image" Target="media/image41.png"/><Relationship Id="rId55" Type="http://schemas.openxmlformats.org/officeDocument/2006/relationships/image" Target="media/image42.png"/><Relationship Id="rId56" Type="http://schemas.openxmlformats.org/officeDocument/2006/relationships/image" Target="media/image43.png"/><Relationship Id="rId57" Type="http://schemas.openxmlformats.org/officeDocument/2006/relationships/image" Target="media/image44.png"/><Relationship Id="rId58" Type="http://schemas.openxmlformats.org/officeDocument/2006/relationships/image" Target="media/image45.png"/><Relationship Id="rId59" Type="http://schemas.openxmlformats.org/officeDocument/2006/relationships/image" Target="media/image46.png"/><Relationship Id="rId60" Type="http://schemas.openxmlformats.org/officeDocument/2006/relationships/image" Target="media/image4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