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 (남윤수)</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 · Natalia SCHIȚCO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 (김도훈)</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adults with low literacy and older adults who cannot read, or read only with difficulty, can take their medicine and choose their food on their own. Worldwide 739 million adults lack basic literacy skills and even across 31 developed countries 18% of adults fall below the most elementary level, and these people are cut off from the content of a prescription from the moment they receive it, which exposes them to dosing errors, treatment failure and antibiotic resistance.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adult literacy rate rose from 86% in 2015 to 88% in 2024, so on the numbers alone the situation is improving (UNESCO, 2025).</w:t>
            </w:r>
          </w:p>
          <w:p>
            <w:pPr>
              <w:spacing w:after="80" w:line="276" w:lineRule="auto"/>
              <w:jc w:val="both"/>
            </w:pPr>
            <w:r>
              <w:rPr>
                <w:rFonts w:ascii="Times New Roman" w:hAnsi="Times New Roman" w:eastAsia="바탕"/>
                <w:sz w:val="20"/>
              </w:rPr>
              <w:t>There are regions, however, where the improvement in the rate has not kept pace with population growth. In sub-Saharan Africa the literacy rate rose from 65% to 69% over the same period, yet the absolute number of non-literate adults grew from 196 million to 225 million (UNESCO, 2025). Central and Southern Asia follows with 347 million, the second largest total after sub-Saharan Africa (UNESCO, 2025). More than half of all non-literate adults, 441 million people, are concentrated in ten countries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Averages hide the size of the problem. The fifteen countries with the lowest adult literacy rates fall between 29% and 60%, and Chad stands at 28%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[Table 1] Countries with low adult literacy rates (2015–2024 census round,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[Table 2] The ten countries with the most non-literate adults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while among men in parts of Europe and North America it is 99% (UNESCO, 2025).</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and adult literacy in these countries has stagnated or declined since 2012 (UNESCO, 2025, citing PIAAC).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pooling data from 18 countries, wrote that at least one third show low health literacy,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Based on 155 dispensing errors found by pharmacists (Anacleto et al., 2007).</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et al.,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delivers not only speech but pictures that depict the action.</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In the United States the cost of medication non-adherence is estimated at 100 billion dollars a year in direct costs and as much as 300 billion including indirect costs, with roughly 125,000 deaths a year and at least 10% of hospitalisations cited as associated with non-adherence (Duke Health, "Medication Nonadherence Increases Health Costs, Hospital Readmissions").</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In 2017 the World Health Organization declared Medication Without Harm as its third Global Patient Safety Challenge, setting a goal of reducing severe avoidable medication-related harm by 50% within five years (WHO, 2017). It identified three priority areas: high-risk situations, polypharmacy and transitions of care (WHO,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(WHO,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421 preventable errors arose in, prescribing accounts for 58.4% and monitoring for 60.8%, alongside </w:t>
            </w:r>
            <w:r>
              <w:rPr>
                <w:rFonts w:ascii="Times New Roman" w:hAnsi="Times New Roman" w:eastAsia="바탕"/>
                <w:b/>
                <w:sz w:val="20"/>
              </w:rPr>
              <w:t>21.1% at the patient adherence stage</w:t>
            </w:r>
            <w:r>
              <w:rPr>
                <w:rFonts w:ascii="Times New Roman" w:hAnsi="Times New Roman" w:eastAsia="바탕"/>
                <w:sz w:val="20"/>
              </w:rPr>
              <w:t xml:space="preserv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(WHO,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eight of the eleven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11th ed., 2025). Three in four adults with diabetes live in low- and middle-income countries. The figure is projected to reach 853 million (13%) by 2050, and in 2024 alone diabetes caused 3.4 million deaths, one every nine seconds (IDF,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2025). Prescriptions and nutrition labels are printed in a country's official language or in English, so among those counted as "able to read" in literacy statistics there are people who cannot read the paper in front of them. Pictures and speech step over both layers at once.</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[Table 5] Smartphone ownership by age group (United States,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3"/>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 And the share of that age group with adequate health literacy is 40.3% (Korea Disease Control and Prevention Agency,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Being a migrant sample, it cannot be transferred directly to the population inside Moldova. What we take from this study is not the figures but </w:t>
            </w:r>
            <w:r>
              <w:rPr>
                <w:rFonts w:ascii="Times New Roman" w:hAnsi="Times New Roman" w:eastAsia="바탕"/>
                <w:b/>
                <w:sz w:val="20"/>
              </w:rPr>
              <w:t>the relationship, that health literacy is in fact linked to primary care use</w:t>
            </w:r>
            <w:r>
              <w:rPr>
                <w:rFonts w:ascii="Times New Roman" w:hAnsi="Times New Roman" w:eastAsia="바탕"/>
                <w:sz w:val="20"/>
              </w:rPr>
              <w:t>, and confirming that relationship in Moldova itself belongs to the field evaluation in §5.9.</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Filipino adults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et al.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et al.,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4"/>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et al.,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(Dowse et al., 2023: </w:t>
            </w:r>
            <w:r>
              <w:rPr>
                <w:rFonts w:ascii="Times New Roman" w:hAnsi="Times New Roman" w:eastAsia="바탕"/>
                <w:i/>
                <w:sz w:val="20"/>
              </w:rPr>
              <w:t>p</w:t>
            </w:r>
            <w:r>
              <w:rPr>
                <w:rFonts w:ascii="Times New Roman" w:hAnsi="Times New Roman" w:eastAsia="바탕"/>
                <w:sz w:val="20"/>
              </w:rPr>
              <w:t xml:space="preserve"> = 0.002), with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and non-adherence fell from 38.0% to 9.3%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dividing 60 low-literate adults with seven years of schooling or less into control and experimental groups,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To summarise, this field has observed two things together. Well-made pictures do in fact reduce errors (Yin et al., 2008: 47.8% to 5.4%). And making them does not mean making them well (Gutierrez et al., 2022: 17 of 108). The first is the reason to take this approach, and the second is the reason to measure afterwards.</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comprehensibility alongside.</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5"/>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The most widely used pharmaceutical pictogram standard at present is the 81-symbol set from the United States Pharmacopeia (USP). Work began in 1987 and the current set was completed in 1997, organised into three categories: mandatory (square), prohibition (circle with slash) and warning (inverted triangle) (U.S. Pharmacopeia).</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The USP licence prohibits altering the pictograms or using them together with symbols not created by USP without USP's permission (U.S. Pharmacopeia, </w:t>
            </w:r>
            <w:r>
              <w:rPr>
                <w:rFonts w:ascii="Times New Roman" w:hAnsi="Times New Roman" w:eastAsia="바탕"/>
                <w:i/>
                <w:sz w:val="20"/>
              </w:rPr>
              <w:t>USP Pictogram Library License Agreement</w:t>
            </w:r>
            <w:r>
              <w:rPr>
                <w:rFonts w:ascii="Times New Roman" w:hAnsi="Times New Roman" w:eastAsia="바탕"/>
                <w:sz w:val="20"/>
              </w:rPr>
              <w:t>). Combination will therefore remain impossible for as long as the standard is observed.</w:t>
            </w:r>
          </w:p>
          <w:p>
            <w:pPr>
              <w:spacing w:after="80" w:line="276" w:lineRule="auto"/>
              <w:jc w:val="both"/>
            </w:pPr>
            <w:r>
              <w:rPr>
                <w:rFonts w:ascii="Times New Roman" w:hAnsi="Times New Roman" w:eastAsia="바탕"/>
                <w:sz w:val="20"/>
              </w:rPr>
              <w:t>The second of those clauses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6"/>
                          <a:stretch>
                            <a:fillRect/>
                          </a:stretch>
                        </pic:blipFill>
                        <pic:spPr>
                          <a:xfrm>
                            <a:off x="0" y="0"/>
                            <a:ext cx="5486400" cy="2286000"/>
                          </a:xfrm>
                          <a:prstGeom prst="rect"/>
                        </pic:spPr>
                      </pic:pic>
                    </a:graphicData>
                  </a:graphic>
                </wp:inline>
              </w:drawing>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confirmed that the barriers involve not only literacy but cognitive difficulty, cultural etiquette, prior exposure, intimidation, mediation, motivation, cost, power relations and social standing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First, scale. There are 739 million non-literate adults, and in some regions the absolute number is rising (UNESCO, 2025). Applying a health literacy criterion widens the target further. Health literacy is not sufficient for 39.6% of Korean adults and 59.7% of those aged 65 and over (Korea Disease Control and Prevention Agency, 2023).</w:t>
            </w:r>
          </w:p>
          <w:p>
            <w:pPr>
              <w:spacing w:after="80" w:line="276" w:lineRule="auto"/>
              <w:jc w:val="both"/>
            </w:pPr>
            <w:r>
              <w:rPr>
                <w:rFonts w:ascii="Times New Roman" w:hAnsi="Times New Roman" w:eastAsia="바탕"/>
                <w:sz w:val="20"/>
              </w:rPr>
              <w:t xml:space="preserve">Second, cost. Medication errors generate 42 billion dollars a year in costs (WHO,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Third, the effect and the limits of visual methods. Pictures are remembered better than text (Houts et al., 2006), yet of 108 pharmaceutical pictograms actually produced only 17 passed the ANSI criterion (Gutierrez et al.,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Fifth, an open delivery channel. Seventy-eight percent of United States adults aged 65 and over already own a smartphone (Pew Research Center, 2025).</w:t>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The red line beneath it is what this section is careful about.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27"/>
                          <a:stretch>
                            <a:fillRect/>
                          </a:stretch>
                        </pic:blipFill>
                        <pic:spPr>
                          <a:xfrm>
                            <a:off x="0" y="0"/>
                            <a:ext cx="5486400" cy="3474720"/>
                          </a:xfrm>
                          <a:prstGeom prst="rect"/>
                        </pic:spPr>
                      </pic:pic>
                    </a:graphicData>
                  </a:graphic>
                </wp:inline>
              </w:drawing>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et al., 2022), and a hierarchy is itself a barrier (Medhi et al., 2013).</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and spoken guidance is indeed the most common approach in this field.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1600610" cy="4754880"/>
                  <wp:docPr id="14" name="Picture 14"/>
                  <wp:cNvGraphicFramePr>
                    <a:graphicFrameLocks noChangeAspect="1"/>
                  </wp:cNvGraphicFramePr>
                  <a:graphic>
                    <a:graphicData uri="http://schemas.openxmlformats.org/drawingml/2006/picture">
                      <pic:pic>
                        <pic:nvPicPr>
                          <pic:cNvPr id="0" name="fig01_home.png"/>
                          <pic:cNvPicPr/>
                        </pic:nvPicPr>
                        <pic:blipFill>
                          <a:blip r:embed="rId28"/>
                          <a:stretch>
                            <a:fillRect/>
                          </a:stretch>
                        </pic:blipFill>
                        <pic:spPr>
                          <a:xfrm>
                            <a:off x="0" y="0"/>
                            <a:ext cx="160061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Home screen, cropped to exactly what is visible without scrolling. This is the screen actually met on opening the app. The largest element on it is a single capture button, and there is no menu and no search box. Having only one choice is the response to the hierarchy barrier established in §1.10.</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7]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8]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5" name="Picture 15"/>
                  <wp:cNvGraphicFramePr>
                    <a:graphicFrameLocks noChangeAspect="1"/>
                  </wp:cNvGraphicFramePr>
                  <a:graphic>
                    <a:graphicData uri="http://schemas.openxmlformats.org/drawingml/2006/picture">
                      <pic:pic>
                        <pic:nvPicPr>
                          <pic:cNvPr id="0" name="chart17_morpheme_map.png"/>
                          <pic:cNvPicPr/>
                        </pic:nvPicPr>
                        <pic:blipFill>
                          <a:blip r:embed="rId29"/>
                          <a:stretch>
                            <a:fillRect/>
                          </a:stretch>
                        </pic:blipFill>
                        <pic:spPr>
                          <a:xfrm>
                            <a:off x="0" y="0"/>
                            <a:ext cx="5486400" cy="2743200"/>
                          </a:xfrm>
                          <a:prstGeom prst="rect"/>
                        </pic:spPr>
                      </pic:pic>
                    </a:graphicData>
                  </a:graphic>
                </wp:inline>
              </w:drawing>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It should be noted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exactly one child</w:t>
              <w:br/>
              <w:t xml:space="preserve">        if self._peek() != "{":</w:t>
              <w:br/>
              <w:t xml:space="preserve">            raise ParseError(f"\\{name} requires a child: \\{name}{{...}}")</w:t>
              <w:br/>
              <w:t xml:space="preserve">        ...</w:t>
              <w:br/>
              <w:t xml:space="preserve">        return Node(name=name, kind=NodeKind.OPERATOR, children=[child])</w:t>
              <w:br/>
              <w:br/>
              <w:t xml:space="preserve">    if self.m.is_head(name):                         # head — slots take modifiers only</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modifier — cannot stand alone</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Design intent. Each of the three branches is one clause of the grammar. A modifier outside a slot fails to parse,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6" name="Picture 16"/>
                  <wp:cNvGraphicFramePr>
                    <a:graphicFrameLocks noChangeAspect="1"/>
                  </wp:cNvGraphicFramePr>
                  <a:graphic>
                    <a:graphicData uri="http://schemas.openxmlformats.org/drawingml/2006/picture">
                      <pic:pic>
                        <pic:nvPicPr>
                          <pic:cNvPr id="0" name="fig02_sigil_sheet.png"/>
                          <pic:cNvPicPr/>
                        </pic:nvPicPr>
                        <pic:blipFill>
                          <a:blip r:embed="rId30"/>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before="160" w:after="60"/>
              <w:jc w:val="center"/>
            </w:pPr>
            <w:r>
              <w:drawing>
                <wp:inline xmlns:a="http://schemas.openxmlformats.org/drawingml/2006/main" xmlns:pic="http://schemas.openxmlformats.org/drawingml/2006/picture">
                  <wp:extent cx="5486400" cy="4377923"/>
                  <wp:docPr id="17" name="Picture 17"/>
                  <wp:cNvGraphicFramePr>
                    <a:graphicFrameLocks noChangeAspect="1"/>
                  </wp:cNvGraphicFramePr>
                  <a:graphic>
                    <a:graphicData uri="http://schemas.openxmlformats.org/drawingml/2006/picture">
                      <pic:pic>
                        <pic:nvPicPr>
                          <pic:cNvPr id="0" name="fig03_dsl.png"/>
                          <pic:cNvPicPr/>
                        </pic:nvPicPr>
                        <pic:blipFill>
                          <a:blip r:embed="rId31"/>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Usability ratings among older users are consistently lower than among younger users and they complete fewer tasks, with most of the difficulty arising from ambiguous options, speech rate and the length of options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Younger users voiced the same complaints but mostly worked past them, whereas older users often did not. Playing speech is therefore not enough on its own, and what not to say becomes the core of the design.</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before="160" w:after="60"/>
              <w:jc w:val="center"/>
            </w:pPr>
            <w:r>
              <w:drawing>
                <wp:inline xmlns:a="http://schemas.openxmlformats.org/drawingml/2006/main" xmlns:pic="http://schemas.openxmlformats.org/drawingml/2006/picture">
                  <wp:extent cx="5486400" cy="3017520"/>
                  <wp:docPr id="18" name="Picture 18"/>
                  <wp:cNvGraphicFramePr>
                    <a:graphicFrameLocks noChangeAspect="1"/>
                  </wp:cNvGraphicFramePr>
                  <a:graphic>
                    <a:graphicData uri="http://schemas.openxmlformats.org/drawingml/2006/picture">
                      <pic:pic>
                        <pic:nvPicPr>
                          <pic:cNvPr id="0" name="fig26_voca.png"/>
                          <pic:cNvPicPr/>
                        </pic:nvPicPr>
                        <pic:blipFill>
                          <a:blip r:embed="rId32"/>
                          <a:stretch>
                            <a:fillRect/>
                          </a:stretch>
                        </pic:blipFill>
                        <pic:spPr>
                          <a:xfrm>
                            <a:off x="0" y="0"/>
                            <a:ext cx="5486400" cy="3017520"/>
                          </a:xfrm>
                          <a:prstGeom prst="rect"/>
                        </pic:spPr>
                      </pic:pic>
                    </a:graphicData>
                  </a:graphic>
                </wp:inline>
              </w:drawing>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It is not only the verb that changes but the body site.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9]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21(b)). If the user cannot see where a verdict came from, there is no way for them to examine it.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before="160" w:after="60"/>
              <w:jc w:val="center"/>
            </w:pPr>
            <w:r>
              <w:drawing>
                <wp:inline xmlns:a="http://schemas.openxmlformats.org/drawingml/2006/main" xmlns:pic="http://schemas.openxmlformats.org/drawingml/2006/picture">
                  <wp:extent cx="5486400" cy="2651760"/>
                  <wp:docPr id="19" name="Picture 19"/>
                  <wp:cNvGraphicFramePr>
                    <a:graphicFrameLocks noChangeAspect="1"/>
                  </wp:cNvGraphicFramePr>
                  <a:graphic>
                    <a:graphicData uri="http://schemas.openxmlformats.org/drawingml/2006/picture">
                      <pic:pic>
                        <pic:nvPicPr>
                          <pic:cNvPr id="0" name="fig15_verdict_flow.png"/>
                          <pic:cNvPicPr/>
                        </pic:nvPicPr>
                        <pic:blipFill>
                          <a:blip r:embed="rId33"/>
                          <a:stretch>
                            <a:fillRect/>
                          </a:stretch>
                        </pic:blipFill>
                        <pic:spPr>
                          <a:xfrm>
                            <a:off x="0" y="0"/>
                            <a:ext cx="5486400" cy="2651760"/>
                          </a:xfrm>
                          <a:prstGeom prst="rect"/>
                        </pic:spPr>
                      </pic:pic>
                    </a:graphicData>
                  </a:graphic>
                </wp:inline>
              </w:drawing>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As established in the previous section, about 43% of adults with diabetes do not know they have it (IDF,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10]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ate it, unwell</w:t>
              <w:br/>
              <w:t xml:space="preserve">    const b = withIt.length - a;                                     // ate it, fine</w:t>
              <w:br/>
              <w:t xml:space="preserve">    const c = without.filter((m) =&gt; m.reaction === 'unwell').length; // didn't, unwell</w:t>
              <w:br/>
              <w:t xml:space="preserve">    const d = without.length - c;                                    // didn't, fine</w:t>
              <w:br/>
              <w:br/>
              <w:t xml:space="preserve">    if (a &lt; MIN_UNWELL || withIt.length &lt; MIN_EATEN</w:t>
              <w:br/>
              <w:t xml:space="preserve">                       || without.length &lt; MIN_CONTROL) continue;     // too little evidence</w:t>
              <w:br/>
              <w:t xml:space="preserve">    if (fisherRightTail(a, b, c, d) &gt; threshold) continue;            // within chance</w:t>
              <w:br/>
              <w:t xml:space="preserve">    ...</w:t>
              <w:br/>
              <w:t xml:space="preserve">  }</w:t>
              <w:br/>
              <w:t>}</w:t>
            </w:r>
          </w:p>
          <w:p>
            <w:pPr>
              <w:spacing w:after="80" w:line="276" w:lineRule="auto"/>
              <w:jc w:val="both"/>
            </w:pPr>
            <w:r>
              <w:rPr>
                <w:rFonts w:ascii="Times New Roman" w:hAnsi="Times New Roman" w:eastAsia="바탕"/>
                <w:sz w:val="20"/>
              </w:rPr>
              <w:t xml:space="preserve">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"What are you allergic to" split into three. The width of the three boxes is the argument. The first two exist so that the people who cannot answer the third are not filtered out at the first screen.</w:t>
            </w:r>
          </w:p>
          <w:p>
            <w:pPr>
              <w:spacing w:before="160" w:after="60"/>
              <w:jc w:val="center"/>
            </w:pPr>
            <w:r>
              <w:drawing>
                <wp:inline xmlns:a="http://schemas.openxmlformats.org/drawingml/2006/main" xmlns:pic="http://schemas.openxmlformats.org/drawingml/2006/picture">
                  <wp:extent cx="5486400" cy="2011680"/>
                  <wp:docPr id="20" name="Picture 20"/>
                  <wp:cNvGraphicFramePr>
                    <a:graphicFrameLocks noChangeAspect="1"/>
                  </wp:cNvGraphicFramePr>
                  <a:graphic>
                    <a:graphicData uri="http://schemas.openxmlformats.org/drawingml/2006/picture">
                      <pic:pic>
                        <pic:nvPicPr>
                          <pic:cNvPr id="0" name="fig16_conditions.png"/>
                          <pic:cNvPicPr/>
                        </pic:nvPicPr>
                        <pic:blipFill>
                          <a:blip r:embed="rId34"/>
                          <a:stretch>
                            <a:fillRect/>
                          </a:stretch>
                        </pic:blipFill>
                        <pic:spPr>
                          <a:xfrm>
                            <a:off x="0" y="0"/>
                            <a:ext cx="5486400" cy="2011680"/>
                          </a:xfrm>
                          <a:prstGeom prst="rect"/>
                        </pic:spPr>
                      </pic:pic>
                    </a:graphicData>
                  </a:graphic>
                </wp:inline>
              </w:drawing>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11]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Item</w:t>
                  </w:r>
                </w:p>
              </w:tc>
              <w:tc>
                <w:tcPr>
                  <w:tcW w:type="dxa" w:w="2441"/>
                  <w:shd w:val="clear" w:fill="F2F2F2"/>
                </w:tcPr>
                <w:p>
                  <w:r>
                    <w:rPr>
                      <w:rFonts w:ascii="Times New Roman" w:hAnsi="Times New Roman" w:eastAsia="바탕"/>
                      <w:b/>
                      <w:sz w:val="18"/>
                    </w:rPr>
                    <w:t>General health app</w:t>
                  </w:r>
                </w:p>
              </w:tc>
              <w:tc>
                <w:tcPr>
                  <w:tcW w:type="dxa" w:w="2441"/>
                  <w:shd w:val="clear" w:fill="F2F2F2"/>
                </w:tcPr>
                <w:p>
                  <w:r>
                    <w:rPr>
                      <w:rFonts w:ascii="Times New Roman" w:hAnsi="Times New Roman" w:eastAsia="바탕"/>
                      <w:b/>
                      <w:sz w:val="18"/>
                    </w:rPr>
                    <w:t>USP pictogram standard</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Input</w:t>
                  </w:r>
                </w:p>
              </w:tc>
              <w:tc>
                <w:tcPr>
                  <w:tcW w:type="dxa" w:w="2441"/>
                </w:tcPr>
                <w:p>
                  <w:r>
                    <w:rPr>
                      <w:rFonts w:ascii="Times New Roman" w:hAnsi="Times New Roman" w:eastAsia="바탕"/>
                      <w:sz w:val="18"/>
                    </w:rPr>
                    <w:t>Typing and search</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One photograph</w:t>
                  </w:r>
                </w:p>
              </w:tc>
            </w:tr>
            <w:tr>
              <w:tc>
                <w:tcPr>
                  <w:tcW w:type="dxa" w:w="2441"/>
                </w:tcPr>
                <w:p>
                  <w:r>
                    <w:rPr>
                      <w:rFonts w:ascii="Times New Roman" w:hAnsi="Times New Roman" w:eastAsia="바탕"/>
                      <w:sz w:val="18"/>
                    </w:rPr>
                    <w:t>Output</w:t>
                  </w:r>
                </w:p>
              </w:tc>
              <w:tc>
                <w:tcPr>
                  <w:tcW w:type="dxa" w:w="2441"/>
                </w:tcPr>
                <w:p>
                  <w:r>
                    <w:rPr>
                      <w:rFonts w:ascii="Times New Roman" w:hAnsi="Times New Roman" w:eastAsia="바탕"/>
                      <w:sz w:val="18"/>
                    </w:rPr>
                    <w:t>Mostly text</w:t>
                  </w:r>
                </w:p>
              </w:tc>
              <w:tc>
                <w:tcPr>
                  <w:tcW w:type="dxa" w:w="2441"/>
                </w:tcPr>
                <w:p>
                  <w:r>
                    <w:rPr>
                      <w:rFonts w:ascii="Times New Roman" w:hAnsi="Times New Roman" w:eastAsia="바탕"/>
                      <w:sz w:val="18"/>
                    </w:rPr>
                    <w:t>81 static pictures</w:t>
                  </w:r>
                </w:p>
              </w:tc>
              <w:tc>
                <w:tcPr>
                  <w:tcW w:type="dxa" w:w="2441"/>
                </w:tcPr>
                <w:p>
                  <w:r>
                    <w:rPr>
                      <w:rFonts w:ascii="Times New Roman" w:hAnsi="Times New Roman" w:eastAsia="바탕"/>
                      <w:sz w:val="18"/>
                    </w:rPr>
                    <w:t>Composed pictogram + speech + colour</w:t>
                  </w:r>
                </w:p>
              </w:tc>
            </w:tr>
            <w:tr>
              <w:tc>
                <w:tcPr>
                  <w:tcW w:type="dxa" w:w="2441"/>
                </w:tcPr>
                <w:p>
                  <w:r>
                    <w:rPr>
                      <w:rFonts w:ascii="Times New Roman" w:hAnsi="Times New Roman" w:eastAsia="바탕"/>
                      <w:sz w:val="18"/>
                    </w:rPr>
                    <w:t>Combination</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Prohibited by licence</w:t>
                  </w:r>
                </w:p>
              </w:tc>
              <w:tc>
                <w:tcPr>
                  <w:tcW w:type="dxa" w:w="2441"/>
                </w:tcPr>
                <w:p>
                  <w:r>
                    <w:rPr>
                      <w:rFonts w:ascii="Times New Roman" w:hAnsi="Times New Roman" w:eastAsia="바탕"/>
                      <w:sz w:val="18"/>
                    </w:rPr>
                    <w:t>Combined by grammar</w:t>
                  </w:r>
                </w:p>
              </w:tc>
            </w:tr>
            <w:tr>
              <w:tc>
                <w:tcPr>
                  <w:tcW w:type="dxa" w:w="2441"/>
                </w:tcPr>
                <w:p>
                  <w:r>
                    <w:rPr>
                      <w:rFonts w:ascii="Times New Roman" w:hAnsi="Times New Roman" w:eastAsia="바탕"/>
                      <w:sz w:val="18"/>
                    </w:rPr>
                    <w:t>Verdict threshold</w:t>
                  </w:r>
                </w:p>
              </w:tc>
              <w:tc>
                <w:tcPr>
                  <w:tcW w:type="dxa" w:w="2441"/>
                </w:tcPr>
                <w:p>
                  <w:r>
                    <w:rPr>
                      <w:rFonts w:ascii="Times New Roman" w:hAnsi="Times New Roman" w:eastAsia="바탕"/>
                      <w:sz w:val="18"/>
                    </w:rPr>
                    <w:t>Fixed table or none</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Derived from personal energy requirement</w:t>
                  </w:r>
                </w:p>
              </w:tc>
            </w:tr>
            <w:tr>
              <w:tc>
                <w:tcPr>
                  <w:tcW w:type="dxa" w:w="2441"/>
                </w:tcPr>
                <w:p>
                  <w:r>
                    <w:rPr>
                      <w:rFonts w:ascii="Times New Roman" w:hAnsi="Times New Roman" w:eastAsia="바탕"/>
                      <w:sz w:val="18"/>
                    </w:rPr>
                    <w:t>Assumption</w:t>
                  </w:r>
                </w:p>
              </w:tc>
              <w:tc>
                <w:tcPr>
                  <w:tcW w:type="dxa" w:w="2441"/>
                </w:tcPr>
                <w:p>
                  <w:r>
                    <w:rPr>
                      <w:rFonts w:ascii="Times New Roman" w:hAnsi="Times New Roman" w:eastAsia="바탕"/>
                      <w:sz w:val="18"/>
                    </w:rPr>
                    <w:t>User knows their diagnosis</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No diagnosis assumed</w:t>
                  </w:r>
                </w:p>
              </w:tc>
            </w:tr>
            <w:tr>
              <w:tc>
                <w:tcPr>
                  <w:tcW w:type="dxa" w:w="2441"/>
                </w:tcPr>
                <w:p>
                  <w:r>
                    <w:rPr>
                      <w:rFonts w:ascii="Times New Roman" w:hAnsi="Times New Roman" w:eastAsia="바탕"/>
                      <w:sz w:val="18"/>
                    </w:rPr>
                    <w:t>Comprehension check</w:t>
                  </w:r>
                </w:p>
              </w:tc>
              <w:tc>
                <w:tcPr>
                  <w:tcW w:type="dxa" w:w="2441"/>
                </w:tcPr>
                <w:p>
                  <w:r>
                    <w:rPr>
                      <w:rFonts w:ascii="Times New Roman" w:hAnsi="Times New Roman" w:eastAsia="바탕"/>
                      <w:sz w:val="18"/>
                    </w:rPr>
                    <w:t>None</w:t>
                  </w:r>
                </w:p>
              </w:tc>
              <w:tc>
                <w:tcPr>
                  <w:tcW w:type="dxa" w:w="2441"/>
                </w:tcPr>
                <w:p>
                  <w:r>
                    <w:rPr>
                      <w:rFonts w:ascii="Times New Roman" w:hAnsi="Times New Roman" w:eastAsia="바탕"/>
                      <w:sz w:val="18"/>
                    </w:rPr>
                    <w:t>Only post hoc studies</w:t>
                  </w:r>
                </w:p>
              </w:tc>
              <w:tc>
                <w:tcPr>
                  <w:tcW w:type="dxa" w:w="2441"/>
                </w:tcPr>
                <w:p>
                  <w:r>
                    <w:rPr>
                      <w:rFonts w:ascii="Times New Roman" w:hAnsi="Times New Roman" w:eastAsia="바탕"/>
                      <w:sz w:val="18"/>
                    </w:rPr>
                    <w:t>Measured automatically before release</w:t>
                  </w:r>
                </w:p>
              </w:tc>
            </w:tr>
            <w:tr>
              <w:tc>
                <w:tcPr>
                  <w:tcW w:type="dxa" w:w="2441"/>
                </w:tcPr>
                <w:p>
                  <w:r>
                    <w:rPr>
                      <w:rFonts w:ascii="Times New Roman" w:hAnsi="Times New Roman" w:eastAsia="바탕"/>
                      <w:sz w:val="18"/>
                    </w:rPr>
                    <w:t>Network</w:t>
                  </w:r>
                </w:p>
              </w:tc>
              <w:tc>
                <w:tcPr>
                  <w:tcW w:type="dxa" w:w="2441"/>
                </w:tcPr>
                <w:p>
                  <w:r>
                    <w:rPr>
                      <w:rFonts w:ascii="Times New Roman" w:hAnsi="Times New Roman" w:eastAsia="바탕"/>
                      <w:sz w:val="18"/>
                    </w:rPr>
                    <w:t>Required</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00897"/>
                  <wp:docPr id="21" name="Picture 21"/>
                  <wp:cNvGraphicFramePr>
                    <a:graphicFrameLocks noChangeAspect="1"/>
                  </wp:cNvGraphicFramePr>
                  <a:graphic>
                    <a:graphicData uri="http://schemas.openxmlformats.org/drawingml/2006/picture">
                      <pic:pic>
                        <pic:nvPicPr>
                          <pic:cNvPr id="0" name="panelA_flow.png"/>
                          <pic:cNvPicPr/>
                        </pic:nvPicPr>
                        <pic:blipFill>
                          <a:blip r:embed="rId35"/>
                          <a:stretch>
                            <a:fillRect/>
                          </a:stretch>
                        </pic:blipFill>
                        <pic:spPr>
                          <a:xfrm>
                            <a:off x="0" y="0"/>
                            <a:ext cx="5486400" cy="4300897"/>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486400" cy="4496734"/>
                  <wp:docPr id="22" name="Picture 22"/>
                  <wp:cNvGraphicFramePr>
                    <a:graphicFrameLocks noChangeAspect="1"/>
                  </wp:cNvGraphicFramePr>
                  <a:graphic>
                    <a:graphicData uri="http://schemas.openxmlformats.org/drawingml/2006/picture">
                      <pic:pic>
                        <pic:nvPicPr>
                          <pic:cNvPr id="0" name="panelB_nutrition.png"/>
                          <pic:cNvPicPr/>
                        </pic:nvPicPr>
                        <pic:blipFill>
                          <a:blip r:embed="rId36"/>
                          <a:stretch>
                            <a:fillRect/>
                          </a:stretch>
                        </pic:blipFill>
                        <pic:spPr>
                          <a:xfrm>
                            <a:off x="0" y="0"/>
                            <a:ext cx="5486400" cy="4496734"/>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(DS3231).</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3" name="Picture 23"/>
                  <wp:cNvGraphicFramePr>
                    <a:graphicFrameLocks noChangeAspect="1"/>
                  </wp:cNvGraphicFramePr>
                  <a:graphic>
                    <a:graphicData uri="http://schemas.openxmlformats.org/drawingml/2006/picture">
                      <pic:pic>
                        <pic:nvPicPr>
                          <pic:cNvPr id="0" name="fig10_dispenser.png"/>
                          <pic:cNvPicPr/>
                        </pic:nvPicPr>
                        <pic:blipFill>
                          <a:blip r:embed="rId37"/>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SnapCare's user flow is built on the principle of running from a single photograph to a verdict without branching. As cited in the previous section, a deep hierarchy takes non-literate users 65.5 seconds on average against 25 seconds for a flat list (Medhi et al., 2013).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4" name="Picture 24"/>
                  <wp:cNvGraphicFramePr>
                    <a:graphicFrameLocks noChangeAspect="1"/>
                  </wp:cNvGraphicFramePr>
                  <a:graphic>
                    <a:graphicData uri="http://schemas.openxmlformats.org/drawingml/2006/picture">
                      <pic:pic>
                        <pic:nvPicPr>
                          <pic:cNvPr id="0" name="fig11_userflow.png"/>
                          <pic:cNvPicPr/>
                        </pic:nvPicPr>
                        <pic:blipFill>
                          <a:blip r:embed="rId38"/>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12]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First-run guide</w:t>
                  </w:r>
                </w:p>
              </w:tc>
              <w:tc>
                <w:tcPr>
                  <w:tcW w:type="dxa" w:w="2429"/>
                </w:tcPr>
                <w:p>
                  <w:r>
                    <w:rPr>
                      <w:rFonts w:ascii="Times New Roman" w:hAnsi="Times New Roman" w:eastAsia="바탕"/>
                      <w:sz w:val="18"/>
                    </w:rPr>
                    <w:t>Press next (skippable)</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12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leads through five guide cards to profile setup. This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real questions that follow, age and conditions, read with the same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31920" cy="4754880"/>
                  <wp:docPr id="25" name="Picture 25"/>
                  <wp:cNvGraphicFramePr>
                    <a:graphicFrameLocks noChangeAspect="1"/>
                  </wp:cNvGraphicFramePr>
                  <a:graphic>
                    <a:graphicData uri="http://schemas.openxmlformats.org/drawingml/2006/picture">
                      <pic:pic>
                        <pic:nvPicPr>
                          <pic:cNvPr id="0" name="panelC_onboarding.png"/>
                          <pic:cNvPicPr/>
                        </pic:nvPicPr>
                        <pic:blipFill>
                          <a:blip r:embed="rId39"/>
                          <a:stretch>
                            <a:fillRect/>
                          </a:stretch>
                        </pic:blipFill>
                        <pic:spPr>
                          <a:xfrm>
                            <a:off x="0" y="0"/>
                            <a:ext cx="39319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First run. (a) Five guide cards. Each is a picture and one sentence, and on arrival the screen reads that sentence aloud by itself. (b)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Nothing has to be pressed in order to learn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before="160" w:after="60"/>
              <w:jc w:val="center"/>
            </w:pPr>
            <w:r>
              <w:drawing>
                <wp:inline xmlns:a="http://schemas.openxmlformats.org/drawingml/2006/main" xmlns:pic="http://schemas.openxmlformats.org/drawingml/2006/picture">
                  <wp:extent cx="5486400" cy="2743200"/>
                  <wp:docPr id="26" name="Picture 26"/>
                  <wp:cNvGraphicFramePr>
                    <a:graphicFrameLocks noChangeAspect="1"/>
                  </wp:cNvGraphicFramePr>
                  <a:graphic>
                    <a:graphicData uri="http://schemas.openxmlformats.org/drawingml/2006/picture">
                      <pic:pic>
                        <pic:nvPicPr>
                          <pic:cNvPr id="0" name="fig19_recognition.png"/>
                          <pic:cNvPicPr/>
                        </pic:nvPicPr>
                        <pic:blipFill>
                          <a:blip r:embed="rId40"/>
                          <a:stretch>
                            <a:fillRect/>
                          </a:stretch>
                        </pic:blipFill>
                        <pic:spPr>
                          <a:xfrm>
                            <a:off x="0" y="0"/>
                            <a:ext cx="5486400" cy="2743200"/>
                          </a:xfrm>
                          <a:prstGeom prst="rect"/>
                        </pic:spPr>
                      </pic:pic>
                    </a:graphicData>
                  </a:graphic>
                </wp:inline>
              </w:drawing>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13]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Showing the percentage rather than hiding it is deliberate. One of the barriers identified in research on low-literate users is intimidation (Medhi, Cutrell &amp; Toyama,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14]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before="160" w:after="60"/>
              <w:jc w:val="center"/>
            </w:pPr>
            <w:r>
              <w:drawing>
                <wp:inline xmlns:a="http://schemas.openxmlformats.org/drawingml/2006/main" xmlns:pic="http://schemas.openxmlformats.org/drawingml/2006/picture">
                  <wp:extent cx="5486400" cy="3291840"/>
                  <wp:docPr id="27" name="Picture 27"/>
                  <wp:cNvGraphicFramePr>
                    <a:graphicFrameLocks noChangeAspect="1"/>
                  </wp:cNvGraphicFramePr>
                  <a:graphic>
                    <a:graphicData uri="http://schemas.openxmlformats.org/drawingml/2006/picture">
                      <pic:pic>
                        <pic:nvPicPr>
                          <pic:cNvPr id="0" name="fig22_verdict_order.png"/>
                          <pic:cNvPicPr/>
                        </pic:nvPicPr>
                        <pic:blipFill>
                          <a:blip r:embed="rId41"/>
                          <a:stretch>
                            <a:fillRect/>
                          </a:stretch>
                        </pic:blipFill>
                        <pic:spPr>
                          <a:xfrm>
                            <a:off x="0" y="0"/>
                            <a:ext cx="5486400" cy="3291840"/>
                          </a:xfrm>
                          <a:prstGeom prst="rect"/>
                        </pic:spPr>
                      </pic:pic>
                    </a:graphicData>
                  </a:graphic>
                </wp:inline>
              </w:drawing>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15]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21(b)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16]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before="160" w:after="60"/>
              <w:jc w:val="center"/>
            </w:pPr>
            <w:r>
              <w:drawing>
                <wp:inline xmlns:a="http://schemas.openxmlformats.org/drawingml/2006/main" xmlns:pic="http://schemas.openxmlformats.org/drawingml/2006/picture">
                  <wp:extent cx="5486400" cy="2377440"/>
                  <wp:docPr id="28" name="Picture 28"/>
                  <wp:cNvGraphicFramePr>
                    <a:graphicFrameLocks noChangeAspect="1"/>
                  </wp:cNvGraphicFramePr>
                  <a:graphic>
                    <a:graphicData uri="http://schemas.openxmlformats.org/drawingml/2006/picture">
                      <pic:pic>
                        <pic:nvPicPr>
                          <pic:cNvPr id="0" name="fig25_failure.png"/>
                          <pic:cNvPicPr/>
                        </pic:nvPicPr>
                        <pic:blipFill>
                          <a:blip r:embed="rId42"/>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17]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Listen marker on each line</w:t>
                  </w:r>
                </w:p>
              </w:tc>
              <w:tc>
                <w:tcPr>
                  <w:tcW w:type="dxa" w:w="3238"/>
                </w:tcPr>
                <w:p>
                  <w:r>
                    <w:rPr>
                      <w:rFonts w:ascii="Times New Roman" w:hAnsi="Times New Roman" w:eastAsia="바탕"/>
                      <w:sz w:val="18"/>
                    </w:rPr>
                    <w:t>The pressable target is the whole line, the marker only signals that audio exists there</w:t>
                  </w:r>
                </w:p>
              </w:tc>
              <w:tc>
                <w:tcPr>
                  <w:tcW w:type="dxa" w:w="3238"/>
                </w:tcPr>
                <w:p>
                  <w:r>
                    <w:rPr>
                      <w:rFonts w:ascii="Times New Roman" w:hAnsi="Times New Roman" w:eastAsia="바탕"/>
                      <w:sz w:val="18"/>
                    </w:rPr>
                    <w:t>It does not ask a trembling hand to aim at a small circle</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listen button is 44 pixels. That is roughly the area a fingertip covers on the screen, and anything smaller starts to demand aim.</w:t>
            </w:r>
          </w:p>
          <w:p>
            <w:pPr>
              <w:spacing w:before="120" w:after="20"/>
            </w:pPr>
            <w:r>
              <w:rPr>
                <w:rFonts w:ascii="Times New Roman" w:hAnsi="Times New Roman" w:eastAsia="바탕"/>
                <w:b/>
                <w:sz w:val="21"/>
              </w:rPr>
              <w:t>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18]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18 dims but that the sentence does not read.</w:t>
            </w:r>
          </w:p>
          <w:p>
            <w:pPr>
              <w:spacing w:after="80" w:line="276" w:lineRule="auto"/>
              <w:jc w:val="both"/>
            </w:pPr>
            <w:r>
              <w:rPr>
                <w:rFonts w:ascii="Times New Roman" w:hAnsi="Times New Roman" w:eastAsia="바탕"/>
                <w:sz w:val="20"/>
              </w:rPr>
              <w:t xml:space="preserve">[Table 19]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the scope of the sweep is what separates "passed" from "not checked".</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is the point Foued Maaoui, a researcher at the Institut Pasteur de Tunis, raised in §5.7. However clear the screen, without a procedure for confirming that the person who saw it understood it there is no returning signal, and from a patient-safety standpoint the absence of that loop is a serious risk.</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20]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Three things were not conceded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was decided not to ask should also be recorded.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21]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DS3231</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tc>
            </w:tr>
          </w:tbl>
          <w:p/>
          <w:p>
            <w:pPr>
              <w:spacing w:after="120"/>
            </w:pP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22]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five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23]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before="160" w:after="60"/>
              <w:jc w:val="center"/>
            </w:pPr>
            <w:r>
              <w:drawing>
                <wp:inline xmlns:a="http://schemas.openxmlformats.org/drawingml/2006/main" xmlns:pic="http://schemas.openxmlformats.org/drawingml/2006/picture">
                  <wp:extent cx="5486400" cy="3108960"/>
                  <wp:docPr id="29" name="Picture 29"/>
                  <wp:cNvGraphicFramePr>
                    <a:graphicFrameLocks noChangeAspect="1"/>
                  </wp:cNvGraphicFramePr>
                  <a:graphic>
                    <a:graphicData uri="http://schemas.openxmlformats.org/drawingml/2006/picture">
                      <pic:pic>
                        <pic:nvPicPr>
                          <pic:cNvPr id="0" name="fig17_gate.png"/>
                          <pic:cNvPicPr/>
                        </pic:nvPicPr>
                        <pic:blipFill>
                          <a:blip r:embed="rId43"/>
                          <a:stretch>
                            <a:fillRect/>
                          </a:stretch>
                        </pic:blipFill>
                        <pic:spPr>
                          <a:xfrm>
                            <a:off x="0" y="0"/>
                            <a:ext cx="5486400" cy="3108960"/>
                          </a:xfrm>
                          <a:prstGeom prst="rect"/>
                        </pic:spPr>
                      </pic:pic>
                    </a:graphicData>
                  </a:graphic>
                </wp:inline>
              </w:drawing>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24]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24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Adding a relay path</w:t>
            </w:r>
          </w:p>
          <w:p>
            <w:pPr>
              <w:spacing w:after="80" w:line="276" w:lineRule="auto"/>
              <w:jc w:val="both"/>
            </w:pPr>
            <w:r>
              <w:rPr>
                <w:rFonts w:ascii="Times New Roman" w:hAnsi="Times New Roman" w:eastAsia="바탕"/>
                <w:sz w:val="20"/>
              </w:rPr>
              <w:t>The reason for excluding the cloud broker in the third row of Table 24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before="160" w:after="60"/>
              <w:jc w:val="center"/>
            </w:pPr>
            <w:r>
              <w:drawing>
                <wp:inline xmlns:a="http://schemas.openxmlformats.org/drawingml/2006/main" xmlns:pic="http://schemas.openxmlformats.org/drawingml/2006/picture">
                  <wp:extent cx="5486400" cy="2194560"/>
                  <wp:docPr id="30" name="Picture 30"/>
                  <wp:cNvGraphicFramePr>
                    <a:graphicFrameLocks noChangeAspect="1"/>
                  </wp:cNvGraphicFramePr>
                  <a:graphic>
                    <a:graphicData uri="http://schemas.openxmlformats.org/drawingml/2006/picture">
                      <pic:pic>
                        <pic:nvPicPr>
                          <pic:cNvPr id="0" name="fig20_relay_keys.png"/>
                          <pic:cNvPicPr/>
                        </pic:nvPicPr>
                        <pic:blipFill>
                          <a:blip r:embed="rId44"/>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DS3231. Whether the relay is down, unreachable or never configured at all, nobody's dose is missed. The judgement in Table 24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ArUco detection was written directly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The Python version was kept rather than deleted,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problems.append(f"{name}: two boxes filled ... erase one and retake")</w:t>
              <w:br/>
              <w:br/>
              <w:t xml:space="preserve">    elif best[1] - second[1] &lt; margin:         # ③ does not separate</w:t>
              <w:br/>
              <w:t xml:space="preserve">        values[name] = None</w:t>
              <w:br/>
              <w:t xml:space="preserve">        problems.append(f"{name}: ambiguous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3_formsheet.png"/>
                          <pic:cNvPicPr/>
                        </pic:nvPicPr>
                        <pic:blipFill>
                          <a:blip r:embed="rId45"/>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25]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25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2" name="Picture 32"/>
                  <wp:cNvGraphicFramePr>
                    <a:graphicFrameLocks noChangeAspect="1"/>
                  </wp:cNvGraphicFramePr>
                  <a:graphic>
                    <a:graphicData uri="http://schemas.openxmlformats.org/drawingml/2006/picture">
                      <pic:pic>
                        <pic:nvPicPr>
                          <pic:cNvPr id="0" name="fig14_formsheet.png"/>
                          <pic:cNvPicPr/>
                        </pic:nvPicPr>
                        <pic:blipFill>
                          <a:blip r:embed="rId46"/>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(0.67–0.71 against 0.00–0.04) shows the reading was not a near miss at the boundary.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1_sw.png"/>
                          <pic:cNvPicPr/>
                        </pic:nvPicPr>
                        <pic:blipFill>
                          <a:blip r:embed="rId47"/>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w:t>
            </w:r>
          </w:p>
          <w:p>
            <w:pPr>
              <w:spacing w:after="160"/>
            </w:pPr>
            <w:r>
              <w:rPr>
                <w:rFonts w:ascii="Consolas" w:hAnsi="Consolas" w:eastAsia="Consolas"/>
                <w:sz w:val="18"/>
              </w:rPr>
              <w:t>self.addEventListener('fetch', (event) =&gt; {</w:t>
              <w:br/>
              <w:t xml:space="preserve">  const url = new URL(event.request.url);</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(event.request.mode === 'navigate') {</w:t>
              <w:br/>
              <w:t xml:space="preserve">    event.respondWith(networkFirst(event.request));   // navigation: latest first</w:t>
              <w:br/>
              <w:t xml:space="preserve">    return;</w:t>
              <w:br/>
              <w:t xml:space="preserve">  }</w:t>
              <w:br/>
              <w:br/>
              <w:t xml:space="preserve">  if (url.pathname.startsWith('/_next/static/') ||</w:t>
              <w:br/>
              <w:t xml:space="preserve">      url.pathname.startsWith('/pictograms/') ||</w:t>
              <w:br/>
              <w:t xml:space="preserve">      url.pathname.startsWith('/models/') ||          // 16 MB nutrition model</w:t>
              <w:br/>
              <w:t xml:space="preserve">      url.pathname.startsWith('/ocr/')) {             // OCR worker, core, language data</w:t>
              <w:br/>
              <w:t xml:space="preserve">    event.respondWith(cacheFirst(event.request));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26]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before="160" w:after="60"/>
              <w:jc w:val="center"/>
            </w:pPr>
            <w:r>
              <w:drawing>
                <wp:inline xmlns:a="http://schemas.openxmlformats.org/drawingml/2006/main" xmlns:pic="http://schemas.openxmlformats.org/drawingml/2006/picture">
                  <wp:extent cx="5486400" cy="2103120"/>
                  <wp:docPr id="34" name="Picture 34"/>
                  <wp:cNvGraphicFramePr>
                    <a:graphicFrameLocks noChangeAspect="1"/>
                  </wp:cNvGraphicFramePr>
                  <a:graphic>
                    <a:graphicData uri="http://schemas.openxmlformats.org/drawingml/2006/picture">
                      <pic:pic>
                        <pic:nvPicPr>
                          <pic:cNvPr id="0" name="fig24_sign.png"/>
                          <pic:cNvPicPr/>
                        </pic:nvPicPr>
                        <pic:blipFill>
                          <a:blip r:embed="rId48"/>
                          <a:stretch>
                            <a:fillRect/>
                          </a:stretch>
                        </pic:blipFill>
                        <pic:spPr>
                          <a:xfrm>
                            <a:off x="0" y="0"/>
                            <a:ext cx="5486400" cy="2103120"/>
                          </a:xfrm>
                          <a:prstGeom prst="rect"/>
                        </pic:spPr>
                      </pic:pic>
                    </a:graphicData>
                  </a:graphic>
                </wp:inline>
              </w:drawing>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27] Composition of the repository (as of 29 July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41</w:t>
                  </w:r>
                </w:p>
              </w:tc>
              <w:tc>
                <w:tcPr>
                  <w:tcW w:type="dxa" w:w="2429"/>
                </w:tcPr>
                <w:p>
                  <w:r>
                    <w:rPr>
                      <w:rFonts w:ascii="Times New Roman" w:hAnsi="Times New Roman" w:eastAsia="바탕"/>
                      <w:sz w:val="18"/>
                    </w:rPr>
                    <w:t>5,439</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68</w:t>
                  </w:r>
                </w:p>
              </w:tc>
              <w:tc>
                <w:tcPr>
                  <w:tcW w:type="dxa" w:w="2429"/>
                </w:tcPr>
                <w:p>
                  <w:r>
                    <w:rPr>
                      <w:rFonts w:ascii="Times New Roman" w:hAnsi="Times New Roman" w:eastAsia="바탕"/>
                      <w:sz w:val="18"/>
                    </w:rPr>
                    <w:t>7,143</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13,934</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109</w:t>
                  </w:r>
                </w:p>
              </w:tc>
              <w:tc>
                <w:tcPr>
                  <w:tcW w:type="dxa" w:w="2429"/>
                </w:tcPr>
                <w:p>
                  <w:r>
                    <w:rPr>
                      <w:rFonts w:ascii="Times New Roman" w:hAnsi="Times New Roman" w:eastAsia="바탕"/>
                      <w:sz w:val="18"/>
                    </w:rPr>
                    <w:t>22,032</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59,083</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43</w:t>
                  </w:r>
                </w:p>
              </w:tc>
              <w:tc>
                <w:tcPr>
                  <w:tcW w:type="dxa" w:w="2429"/>
                </w:tcPr>
                <w:p>
                  <w:r>
                    <w:rPr>
                      <w:rFonts w:ascii="Times New Roman" w:hAnsi="Times New Roman" w:eastAsia="바탕"/>
                      <w:sz w:val="18"/>
                    </w:rPr>
                    <w:t>43,700</w:t>
                  </w:r>
                </w:p>
              </w:tc>
              <w:tc>
                <w:tcPr>
                  <w:tcW w:type="dxa" w:w="2429"/>
                </w:tcPr>
                <w:p>
                  <w:r>
                    <w:rPr>
                      <w:rFonts w:ascii="Times New Roman" w:hAnsi="Times New Roman" w:eastAsia="바탕"/>
                      <w:sz w:val="18"/>
                    </w:rPr>
                    <w:t>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28]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Kind</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What it needs</w:t>
                  </w:r>
                </w:p>
              </w:tc>
            </w:tr>
            <w:tr>
              <w:tc>
                <w:tcPr>
                  <w:tcW w:type="dxa" w:w="3238"/>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3238"/>
                </w:tcPr>
                <w:p>
                  <w:r>
                    <w:rPr>
                      <w:rFonts w:ascii="Times New Roman" w:hAnsi="Times New Roman" w:eastAsia="바탕"/>
                      <w:sz w:val="18"/>
                    </w:rPr>
                    <w:t>174</w:t>
                  </w:r>
                </w:p>
              </w:tc>
              <w:tc>
                <w:tcPr>
                  <w:tcW w:type="dxa" w:w="3238"/>
                </w:tcPr>
                <w:p>
                  <w:r>
                    <w:rPr>
                      <w:rFonts w:ascii="Times New Roman" w:hAnsi="Times New Roman" w:eastAsia="바탕"/>
                      <w:sz w:val="18"/>
                    </w:rPr>
                    <w:t>Node only</w:t>
                  </w:r>
                </w:p>
              </w:tc>
            </w:tr>
            <w:tr>
              <w:tc>
                <w:tcPr>
                  <w:tcW w:type="dxa" w:w="3238"/>
                </w:tcPr>
                <w:p>
                  <w:r>
                    <w:rPr>
                      <w:rFonts w:ascii="Times New Roman" w:hAnsi="Times New Roman" w:eastAsia="바탕"/>
                      <w:sz w:val="18"/>
                    </w:rPr>
                    <w:t>Paper form and scheduling (</w:t>
                  </w:r>
                  <w:r>
                    <w:rPr>
                      <w:rFonts w:ascii="Consolas" w:hAnsi="Consolas" w:eastAsia="Consolas"/>
                      <w:sz w:val="17"/>
                    </w:rPr>
                    <w:t>pytest</w:t>
                  </w:r>
                  <w:r>
                    <w:rPr>
                      <w:rFonts w:ascii="Times New Roman" w:hAnsi="Times New Roman" w:eastAsia="바탕"/>
                      <w:sz w:val="18"/>
                    </w:rPr>
                    <w:t>)</w:t>
                  </w:r>
                </w:p>
              </w:tc>
              <w:tc>
                <w:tcPr>
                  <w:tcW w:type="dxa" w:w="3238"/>
                </w:tcPr>
                <w:p>
                  <w:r>
                    <w:rPr>
                      <w:rFonts w:ascii="Times New Roman" w:hAnsi="Times New Roman" w:eastAsia="바탕"/>
                      <w:sz w:val="18"/>
                    </w:rPr>
                    <w:t>105</w:t>
                  </w:r>
                </w:p>
              </w:tc>
              <w:tc>
                <w:tcPr>
                  <w:tcW w:type="dxa" w:w="3238"/>
                </w:tcPr>
                <w:p>
                  <w:r>
                    <w:rPr>
                      <w:rFonts w:ascii="Times New Roman" w:hAnsi="Times New Roman" w:eastAsia="바탕"/>
                      <w:sz w:val="18"/>
                    </w:rPr>
                    <w:t>OpenCV</w:t>
                  </w:r>
                </w:p>
              </w:tc>
            </w:tr>
            <w:tr>
              <w:tc>
                <w:tcPr>
                  <w:tcW w:type="dxa" w:w="3238"/>
                </w:tcPr>
                <w:p>
                  <w:r>
                    <w:rPr>
                      <w:rFonts w:ascii="Times New Roman" w:hAnsi="Times New Roman" w:eastAsia="바탕"/>
                      <w:sz w:val="18"/>
                    </w:rPr>
                    <w:t>Firmware protocol and scheduler</w:t>
                  </w:r>
                </w:p>
              </w:tc>
              <w:tc>
                <w:tcPr>
                  <w:tcW w:type="dxa" w:w="3238"/>
                </w:tcPr>
                <w:p>
                  <w:r>
                    <w:rPr>
                      <w:rFonts w:ascii="Times New Roman" w:hAnsi="Times New Roman" w:eastAsia="바탕"/>
                      <w:sz w:val="18"/>
                    </w:rPr>
                    <w:t>Host build</w:t>
                  </w:r>
                </w:p>
              </w:tc>
              <w:tc>
                <w:tcPr>
                  <w:tcW w:type="dxa" w:w="3238"/>
                </w:tcPr>
                <w:p>
                  <w:r>
                    <w:rPr>
                      <w:rFonts w:ascii="Times New Roman" w:hAnsi="Times New Roman" w:eastAsia="바탕"/>
                      <w:sz w:val="18"/>
                    </w:rPr>
                    <w:t>A C++ compiler only</w:t>
                  </w:r>
                </w:p>
              </w:tc>
            </w:tr>
          </w:tbl>
          <w:p/>
          <w:p>
            <w:pPr>
              <w:spacing w:after="120"/>
            </w:pP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22,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11 days 194 commits accumulated.</w:t>
            </w:r>
          </w:p>
          <w:p>
            <w:pPr>
              <w:spacing w:after="80" w:line="276" w:lineRule="auto"/>
              <w:jc w:val="both"/>
            </w:pPr>
            <w:r>
              <w:rPr>
                <w:rFonts w:ascii="Times New Roman" w:hAnsi="Times New Roman" w:eastAsia="바탕"/>
                <w:sz w:val="20"/>
              </w:rPr>
              <w:t>There is a condition attached here as well. This project used AI coding tools throughout development, and we do not hide it. Nowhere was what a tool produced left as it stood. The defects recorded in this document, such as 12 of 37 citations differing from their sources (§5.9) or the morpheme checker passing four rings as "four" (§5.2), were all found by a person checking again.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29]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30]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5" name="Picture 35"/>
                  <wp:cNvGraphicFramePr>
                    <a:graphicFrameLocks noChangeAspect="1"/>
                  </wp:cNvGraphicFramePr>
                  <a:graphic>
                    <a:graphicData uri="http://schemas.openxmlformats.org/drawingml/2006/picture">
                      <pic:pic>
                        <pic:nvPicPr>
                          <pic:cNvPr id="0" name="chart06_formative.png"/>
                          <pic:cNvPicPr/>
                        </pic:nvPicPr>
                        <pic:blipFill>
                          <a:blip r:embed="rId49"/>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As established in §1.8, making a pictogram does not mean it will be read. Of 108 international standard pictograms, only 17 passed the ANSI 85% criterion (Gutierrez et al.,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31]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before="160" w:after="60"/>
              <w:jc w:val="center"/>
            </w:pPr>
            <w:r>
              <w:drawing>
                <wp:inline xmlns:a="http://schemas.openxmlformats.org/drawingml/2006/main" xmlns:pic="http://schemas.openxmlformats.org/drawingml/2006/picture">
                  <wp:extent cx="5486400" cy="2377440"/>
                  <wp:docPr id="36" name="Picture 36"/>
                  <wp:cNvGraphicFramePr>
                    <a:graphicFrameLocks noChangeAspect="1"/>
                  </wp:cNvGraphicFramePr>
                  <a:graphic>
                    <a:graphicData uri="http://schemas.openxmlformats.org/drawingml/2006/picture">
                      <pic:pic>
                        <pic:nvPicPr>
                          <pic:cNvPr id="0" name="fig18_pictogram_gate.png"/>
                          <pic:cNvPicPr/>
                        </pic:nvPicPr>
                        <pic:blipFill>
                          <a:blip r:embed="rId50"/>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The checker already knows why something failed. Counting attempts without using that reason is the same as rolling the same die again, and each roll costs money. Instructions were therefore hooked to the reason.</w:t>
            </w:r>
          </w:p>
          <w:p>
            <w:pPr>
              <w:spacing w:after="160"/>
            </w:pPr>
            <w:r>
              <w:rPr>
                <w:rFonts w:ascii="Consolas" w:hAnsi="Consolas" w:eastAsia="Consolas"/>
                <w:sz w:val="18"/>
              </w:rPr>
              <w:t>def escalate(c: 'Check | None') -&gt; str:</w:t>
              <w:br/>
              <w:t xml:space="preserve">    """Retry **according to the reason** for the previous failure."""</w:t>
              <w:br/>
              <w:t xml:space="preserve">    r = ' · '.join(c.reasons)</w:t>
              <w:br/>
              <w:br/>
              <w:t xml:space="preserve">    if 'clotted'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'too thin' in r:</w:t>
              <w:br/>
              <w:t xml:space="preserve">        return (' The shape came out too thin and sparse. Make every black part much thicker and '</w:t>
              <w:br/>
              <w:t xml:space="preserve">                'heavier, and let it fill more of the frame.')</w:t>
              <w:br/>
              <w:t xml:space="preserve">    if 'count' in r:</w:t>
              <w:br/>
              <w:t xml:space="preserve">        return (' The number of separate shapes was wrong. Draw exactly the number stated, each '</w:t>
              <w:br/>
              <w:t xml:space="preserve">                'one fully detached from the others with wide white space between them.')</w:t>
              <w:br/>
              <w:t xml:space="preserve">    if 'misread'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Design intent. The four branches push in four different directions.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32]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7" name="Picture 37"/>
                  <wp:cNvGraphicFramePr>
                    <a:graphicFrameLocks noChangeAspect="1"/>
                  </wp:cNvGraphicFramePr>
                  <a:graphic>
                    <a:graphicData uri="http://schemas.openxmlformats.org/drawingml/2006/picture">
                      <pic:pic>
                        <pic:nvPicPr>
                          <pic:cNvPr id="0" name="chart07_glyph_check.png"/>
                          <pic:cNvPicPr/>
                        </pic:nvPicPr>
                        <pic:blipFill>
                          <a:blip r:embed="rId5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33]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34]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35]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36]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38" name="Picture 38"/>
                  <wp:cNvGraphicFramePr>
                    <a:graphicFrameLocks noChangeAspect="1"/>
                  </wp:cNvGraphicFramePr>
                  <a:graphic>
                    <a:graphicData uri="http://schemas.openxmlformats.org/drawingml/2006/picture">
                      <pic:pic>
                        <pic:nvPicPr>
                          <pic:cNvPr id="0" name="chart08_model_mae.png"/>
                          <pic:cNvPicPr/>
                        </pic:nvPicPr>
                        <pic:blipFill>
                          <a:blip r:embed="rId52"/>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37]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38]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before="120" w:after="20"/>
            </w:pPr>
            <w:r>
              <w:rPr>
                <w:rFonts w:ascii="Times New Roman" w:hAnsi="Times New Roman" w:eastAsia="바탕"/>
                <w:b/>
                <w:sz w:val="21"/>
              </w:rPr>
              <w:t>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39]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Rules for handling the list were written down separately.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Language was decided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A morpheme comprehension test was left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Who answered</w:t>
            </w:r>
          </w:p>
          <w:p>
            <w:pPr>
              <w:spacing w:after="80" w:line="276" w:lineRule="auto"/>
              <w:jc w:val="both"/>
            </w:pPr>
            <w:r>
              <w:rPr>
                <w:rFonts w:ascii="Times New Roman" w:hAnsi="Times New Roman" w:eastAsia="바탕"/>
                <w:sz w:val="20"/>
              </w:rPr>
              <w:t>As of 2 August 2026, 34 people had answered: 3.1% of those contacted, with 93 free-text responses alongside.</w:t>
            </w:r>
          </w:p>
          <w:p>
            <w:pPr>
              <w:spacing w:after="80" w:line="276" w:lineRule="auto"/>
              <w:jc w:val="both"/>
            </w:pPr>
            <w:r>
              <w:rPr>
                <w:rFonts w:ascii="Times New Roman" w:hAnsi="Times New Roman" w:eastAsia="바탕"/>
                <w:sz w:val="20"/>
              </w:rPr>
              <w:t>[Table 40] Composition of respondents (n = 34)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11</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9" name="Picture 39"/>
                  <wp:cNvGraphicFramePr>
                    <a:graphicFrameLocks noChangeAspect="1"/>
                  </wp:cNvGraphicFramePr>
                  <a:graphic>
                    <a:graphicData uri="http://schemas.openxmlformats.org/drawingml/2006/picture">
                      <pic:pic>
                        <pic:nvPicPr>
                          <pic:cNvPr id="0" name="chart15_survey_who.png"/>
                          <pic:cNvPicPr/>
                        </pic:nvPicPr>
                        <pic:blipFill>
                          <a:blip r:embed="rId5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The composition of the 34 respondents. Field on the left, continent on the right. Pharmacy and nursing account for two thirds at 20 people, and these two are the centre of the five segments we judged qualified to view the demonstration and rule on patient comprehension. That Asia accounts for 24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19 countries across five continents, with 16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41] The 34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(11)</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Institut Pasteur de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(5)</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b/>
                      <w:sz w:val="18"/>
                    </w:rPr>
                    <w:t>Other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Forty-four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42] Could a patient who cannot read take their medicine correctly, alone, with only these screens? (five qualified segments, n = 24)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16</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8 of 11 answered that a pharmacist should review the instructions this app produces every time, with 3 answering that once at the start is enough. As to where it belongs, 6 chose a tool supporting the pharmacist's explanation, 3 a means for the patient to check alone at home, and 2 an alternative route for patients a pharmacist cannot reach. As to what must not be wrong medically, 6 named dose and frequency and 3 named contraindications and interactions.</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How far the numbers can be pushed</w:t>
            </w:r>
          </w:p>
          <w:p>
            <w:pPr>
              <w:spacing w:after="80" w:line="276" w:lineRule="auto"/>
              <w:jc w:val="both"/>
            </w:pPr>
            <w:r>
              <w:rPr>
                <w:rFonts w:ascii="Times New Roman" w:hAnsi="Times New Roman" w:eastAsia="바탕"/>
                <w:sz w:val="20"/>
              </w:rPr>
              <w:t>An n of 34 is small.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43] Proportions and 95% confidence intervals for the judgement question (n = 24)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16 / 24</w:t>
                  </w:r>
                </w:p>
              </w:tc>
              <w:tc>
                <w:tcPr>
                  <w:tcW w:type="dxa" w:w="2429"/>
                </w:tcPr>
                <w:p>
                  <w:r>
                    <w:rPr>
                      <w:rFonts w:ascii="Times New Roman" w:hAnsi="Times New Roman" w:eastAsia="바탕"/>
                      <w:sz w:val="18"/>
                    </w:rPr>
                    <w:t>66.7%</w:t>
                  </w:r>
                </w:p>
              </w:tc>
              <w:tc>
                <w:tcPr>
                  <w:tcW w:type="dxa" w:w="2429"/>
                </w:tcPr>
                <w:p>
                  <w:r>
                    <w:rPr>
                      <w:rFonts w:ascii="Times New Roman" w:hAnsi="Times New Roman" w:eastAsia="바탕"/>
                      <w:sz w:val="18"/>
                    </w:rPr>
                    <w:t>46.7% – 82.0%</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24</w:t>
                  </w:r>
                </w:p>
              </w:tc>
              <w:tc>
                <w:tcPr>
                  <w:tcW w:type="dxa" w:w="2429"/>
                </w:tcPr>
                <w:p>
                  <w:r>
                    <w:rPr>
                      <w:rFonts w:ascii="Times New Roman" w:hAnsi="Times New Roman" w:eastAsia="바탕"/>
                      <w:sz w:val="18"/>
                    </w:rPr>
                    <w:t>29.2%</w:t>
                  </w:r>
                </w:p>
              </w:tc>
              <w:tc>
                <w:tcPr>
                  <w:tcW w:type="dxa" w:w="2429"/>
                </w:tcPr>
                <w:p>
                  <w:r>
                    <w:rPr>
                      <w:rFonts w:ascii="Times New Roman" w:hAnsi="Times New Roman" w:eastAsia="바탕"/>
                      <w:sz w:val="18"/>
                    </w:rPr>
                    <w:t>14.9% – 49.2%</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24</w:t>
                  </w:r>
                </w:p>
              </w:tc>
              <w:tc>
                <w:tcPr>
                  <w:tcW w:type="dxa" w:w="2429"/>
                </w:tcPr>
                <w:p>
                  <w:r>
                    <w:rPr>
                      <w:rFonts w:ascii="Times New Roman" w:hAnsi="Times New Roman" w:eastAsia="바탕"/>
                      <w:sz w:val="18"/>
                    </w:rPr>
                    <w:t>4.2%</w:t>
                  </w:r>
                </w:p>
              </w:tc>
              <w:tc>
                <w:tcPr>
                  <w:tcW w:type="dxa" w:w="2429"/>
                </w:tcPr>
                <w:p>
                  <w:r>
                    <w:rPr>
                      <w:rFonts w:ascii="Times New Roman" w:hAnsi="Times New Roman" w:eastAsia="바탕"/>
                      <w:sz w:val="18"/>
                    </w:rPr>
                    <w:t>0.7% – 20.2%</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24</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13.8%</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0_survey.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Proportions and 95% confidence intervals for the judgement question (n = 24). The dot is the proportion, the line is the interval. The width of the intervals is the size of this sample, and what to read in this figure is the length of the lines rather than the position of the dots. Even with zero "No" answers, the interval reaches 13.8%.</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13.8%, and as many as three in 24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44]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5/20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0.552</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4/11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34/1,062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0.634</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0/10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0.019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0.034</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0.717</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Five tests were run, so the Bonferroni-corrected threshold is 0.010. Only the last row exceeds it, and that says people who stayed longer wrote more, which is not a finding about content. In other words, nothing in this survey supports a claim of difference between groups. Dropping the non-significant tests and reporting only the significant one would be the worst thing that could be done with this sample, so everything that was run is recorded.</w:t>
            </w:r>
          </w:p>
          <w:p>
            <w:pPr>
              <w:spacing w:after="80" w:line="276" w:lineRule="auto"/>
              <w:jc w:val="both"/>
            </w:pPr>
            <w:r>
              <w:rPr>
                <w:rFonts w:ascii="Times New Roman" w:hAnsi="Times New Roman" w:eastAsia="바탕"/>
                <w:sz w:val="20"/>
              </w:rPr>
              <w:t>The fourth and fifth rows are interesting but are not made into claims. That not one of the ten who answered in Korean answered "possible" while half of the fourteen who answered in English did, and that Korean respondents stayed far more briefly than English respondents, are significant before correction and not after. And language is entangled with the respondent's country and occupation, so even if a difference exists, this data cannot separate whether it is due to language or to something else.</w:t>
            </w:r>
          </w:p>
          <w:p>
            <w:pPr>
              <w:spacing w:after="80" w:line="276" w:lineRule="auto"/>
              <w:jc w:val="both"/>
            </w:pPr>
            <w:r>
              <w:rPr>
                <w:rFonts w:ascii="Times New Roman" w:hAnsi="Times New Roman" w:eastAsia="바탕"/>
                <w:sz w:val="20"/>
              </w:rPr>
              <w:t>The sixth row is worth reading on its own. A rank correlation of 0.717 between time taken and free-text volume means that people who stayed longer did in fact write more, and it can serve as a proxy for the care taken over a response. The median time taken is 10.3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29 of the 34 respondents, 113 items in all. Counting by keyword how many people independently raised the same point gives 6 on the absence of validation, 5 on too many elements in one image, 5 on blind users, 4 on the prohibition marking and 3 on referring to existing sets. That count is by words we chose, however, so the body text uses the counts a person read and confirmed.</w:t>
            </w:r>
          </w:p>
          <w:p>
            <w:pPr>
              <w:spacing w:before="120" w:after="20"/>
            </w:pPr>
            <w:r>
              <w:rPr>
                <w:rFonts w:ascii="Times New Roman" w:hAnsi="Times New Roman" w:eastAsia="바탕"/>
                <w:b/>
                <w:sz w:val="21"/>
              </w:rPr>
              <w:t>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"The prescription says not to use during pregnancy, yet the pictogram shows a pregnant woman, which makes the patient think it is safe to use during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in the pregnancy symbol alone does not convey that it is unsafe, so an X mark should be added."</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"As the black dots are not filled to the end, to me it reads as meaning I do not have to finish the course."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before="120" w:after="20"/>
            </w:pPr>
            <w:r>
              <w:rPr>
                <w:rFonts w:ascii="Times New Roman" w:hAnsi="Times New Roman" w:eastAsia="바탕"/>
                <w:b/>
                <w:sz w:val="21"/>
              </w:rPr>
              <w:t>Individual findings</w:t>
            </w:r>
          </w:p>
          <w:p>
            <w:pPr>
              <w:spacing w:after="80" w:line="276" w:lineRule="auto"/>
              <w:jc w:val="both"/>
            </w:pPr>
            <w:r>
              <w:rPr>
                <w:rFonts w:ascii="Times New Roman" w:hAnsi="Times New Roman" w:eastAsia="바탕"/>
                <w:sz w:val="20"/>
              </w:rPr>
              <w:t>Foued Maaoui, a researcher at the Institut Pasteur de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We tested only with printed samples.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The result of the WCAG 2.2 sweep and what was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The samples were corrected.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8 of the 11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before="120" w:after="20"/>
            </w:pPr>
            <w:r>
              <w:rPr>
                <w:rFonts w:ascii="Times New Roman" w:hAnsi="Times New Roman" w:eastAsia="바탕"/>
                <w:b/>
                <w:sz w:val="21"/>
              </w:rPr>
              <w:t>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Institut Pasteur de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Myojung Choi, researcher at the Korea Disabled People's Development Institute, cited Nielsen and Landauer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45]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(11)</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(11)</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(11)</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(11)</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(11)</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1" name="Picture 41"/>
                  <wp:cNvGraphicFramePr>
                    <a:graphicFrameLocks noChangeAspect="1"/>
                  </wp:cNvGraphicFramePr>
                  <a:graphic>
                    <a:graphicData uri="http://schemas.openxmlformats.org/drawingml/2006/picture">
                      <pic:pic>
                        <pic:nvPicPr>
                          <pic:cNvPr id="0" name="chart18_field_answers.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What the 11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Nine of the eleven pharmacy respondents answered that there are things which must not be conveyed by picture and speech alone: contraindications and interactions for 4,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What was fixed after the survey</w:t>
            </w:r>
          </w:p>
          <w:p>
            <w:pPr>
              <w:spacing w:after="80" w:line="276" w:lineRule="auto"/>
              <w:jc w:val="both"/>
            </w:pPr>
            <w:r>
              <w:rPr>
                <w:rFonts w:ascii="Times New Roman" w:hAnsi="Times New Roman" w:eastAsia="바탕"/>
                <w:sz w:val="20"/>
              </w:rPr>
              <w:t>This survey was carried out in order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A pixel-level check for similar pairs was added too.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The wording for standing alone was kept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The accessibility criteria were swept.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19 in §3.7. What should be recorded here is that this sweep is something we would not have done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A checking step was built. It responds to the absence of teach-back raised by Foued Maaoui, researcher at the Institut Pasteur de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test count went from 231 to 311.</w:t>
            </w:r>
          </w:p>
          <w:p>
            <w:pPr>
              <w:spacing w:before="120" w:after="20"/>
            </w:pPr>
            <w:r>
              <w:rPr>
                <w:rFonts w:ascii="Times New Roman" w:hAnsi="Times New Roman" w:eastAsia="바탕"/>
                <w:b/>
                <w:sz w:val="21"/>
              </w:rPr>
              <w:t>Limits of this survey</w:t>
            </w:r>
          </w:p>
          <w:p>
            <w:pPr>
              <w:spacing w:after="80" w:line="276" w:lineRule="auto"/>
              <w:jc w:val="both"/>
            </w:pPr>
            <w:r>
              <w:rPr>
                <w:rFonts w:ascii="Times New Roman" w:hAnsi="Times New Roman" w:eastAsia="바탕"/>
                <w:sz w:val="20"/>
              </w:rPr>
              <w:t>The sample is self-selected. Thirty-four of 1,103 answered, and those who answered are people with an interest in the subject. The judgement of the 1,069 who did not answer is unknown.</w:t>
            </w:r>
          </w:p>
          <w:p>
            <w:pPr>
              <w:spacing w:after="80" w:line="276" w:lineRule="auto"/>
              <w:jc w:val="both"/>
            </w:pPr>
            <w:r>
              <w:rPr>
                <w:rFonts w:ascii="Times New Roman" w:hAnsi="Times New Roman" w:eastAsia="바탕"/>
                <w:sz w:val="20"/>
              </w:rPr>
              <w:t>The denominators are small. The largest segment, pharmacy, is 11 people. Written as a percentage, one person moves 9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34, 29 answered on a desktop, 3 on mobile and 2 on a tablet.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all 34 were recorded as not pressed. It was fixed during the survey, so only later responses are valid. In other words, of the responses to the judgement question in this section, how many were answered after hearing the audio cannot be known.</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46]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(WHO GLASS, 2025). In 2019, deaths directly attributable to bacterial resistance numbered 1.27 million, more than HIV/AIDS or malaria (Murray et al.,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Broken down by region, this problem too is concentrated where we are aimed. In South-East Asia and the Eastern Mediterranean one in three reported infections showed resistance, in Africa one in five and in the Americas one in seven (WHO GLASS, 2025). The regions with the lowest literacy in §1.1 appear here again.</w:t>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Share of reported bacterial infections showing antibiotic resistance (WHO GLASS,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14_amr_region.png"/>
                          <pic:cNvPicPr/>
                        </pic:nvPicPr>
                        <pic:blipFill>
                          <a:blip r:embed="rId56"/>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Second, cultural adaptation has not been verified. In the controlled comparison showing two sets to the same 46 people, 20 of 23 locally made pictograms passed the ANSI criterion while USP-DI managed 11 of 23 (Dowse &amp; Ehlers,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9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[Table 47]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34.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in order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113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(https://huggingface.co/spaces/Supertone/supertonic-3).</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https://health.kr/mediCounsel/pictogram.asp — pictogram information for pharmacists worldwide can be found here.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11</w:t>
                  </w:r>
                </w:p>
              </w:tc>
              <w:tc>
                <w:tcPr>
                  <w:tcW w:type="dxa" w:w="3238"/>
                </w:tcPr>
                <w:p>
                  <w:r>
                    <w:rPr>
                      <w:rFonts w:ascii="Times New Roman" w:hAnsi="Times New Roman" w:eastAsia="바탕"/>
                      <w:sz w:val="18"/>
                    </w:rPr>
                    <w:t>32%</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14</w:t>
                  </w:r>
                </w:p>
              </w:tc>
              <w:tc>
                <w:tcPr>
                  <w:tcW w:type="dxa" w:w="3238"/>
                </w:tcPr>
                <w:p>
                  <w:r>
                    <w:rPr>
                      <w:rFonts w:ascii="Times New Roman" w:hAnsi="Times New Roman" w:eastAsia="바탕"/>
                      <w:sz w:val="18"/>
                    </w:rPr>
                    <w:t>41%</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12%</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29%</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73%</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27%</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55%</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27%</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73%</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