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Contents</w:t>
            </w:r>
          </w:p>
          <w:p>
            <w:pPr>
              <w:spacing w:after="80" w:line="276" w:lineRule="auto"/>
              <w:jc w:val="both"/>
            </w:pPr>
            <w:r>
              <w:rPr>
                <w:rFonts w:ascii="Times New Roman" w:hAnsi="Times New Roman" w:eastAsia="바탕"/>
                <w:sz w:val="20"/>
              </w:rPr>
              <w:t>No page numbers are given; sections are found by their number.</w:t>
            </w:r>
          </w:p>
          <w:p>
            <w:pPr>
              <w:spacing w:after="80" w:line="276" w:lineRule="auto"/>
              <w:jc w:val="both"/>
            </w:pPr>
            <w:r>
              <w:rPr>
                <w:rFonts w:ascii="Times New Roman" w:hAnsi="Times New Roman" w:eastAsia="바탕"/>
                <w:b/>
                <w:sz w:val="20"/>
              </w:rPr>
              <w:t>Contents</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The size and trend of the non-literate population</w:t>
            </w:r>
          </w:p>
          <w:p>
            <w:pPr>
              <w:spacing w:after="80" w:line="276" w:lineRule="auto"/>
              <w:jc w:val="both"/>
            </w:pPr>
            <w:r>
              <w:rPr>
                <w:rFonts w:ascii="Times New Roman" w:hAnsi="Times New Roman" w:eastAsia="바탕"/>
                <w:sz w:val="20"/>
              </w:rPr>
              <w:t>1.2  The distribution of health literacy</w:t>
            </w:r>
          </w:p>
          <w:p>
            <w:pPr>
              <w:spacing w:after="80" w:line="276" w:lineRule="auto"/>
              <w:jc w:val="both"/>
            </w:pPr>
            <w:r>
              <w:rPr>
                <w:rFonts w:ascii="Times New Roman" w:hAnsi="Times New Roman" w:eastAsia="바탕"/>
                <w:sz w:val="20"/>
              </w:rPr>
              <w:t>1.3  The types of medication error and what they cost</w:t>
            </w:r>
          </w:p>
          <w:p>
            <w:pPr>
              <w:spacing w:after="80" w:line="276" w:lineRule="auto"/>
              <w:jc w:val="both"/>
            </w:pPr>
            <w:r>
              <w:rPr>
                <w:rFonts w:ascii="Times New Roman" w:hAnsi="Times New Roman" w:eastAsia="바탕"/>
                <w:sz w:val="20"/>
              </w:rPr>
              <w:t>1.4  International policy and its blind spot</w:t>
            </w:r>
          </w:p>
          <w:p>
            <w:pPr>
              <w:spacing w:after="80" w:line="276" w:lineRule="auto"/>
              <w:jc w:val="both"/>
            </w:pPr>
            <w:r>
              <w:rPr>
                <w:rFonts w:ascii="Times New Roman" w:hAnsi="Times New Roman" w:eastAsia="바탕"/>
                <w:sz w:val="20"/>
              </w:rPr>
              <w:t>1.5  The undiagnosed population as a precondition</w:t>
            </w:r>
          </w:p>
          <w:p>
            <w:pPr>
              <w:spacing w:after="80" w:line="276" w:lineRule="auto"/>
              <w:jc w:val="both"/>
            </w:pPr>
            <w:r>
              <w:rPr>
                <w:rFonts w:ascii="Times New Roman" w:hAnsi="Times New Roman" w:eastAsia="바탕"/>
                <w:sz w:val="20"/>
              </w:rPr>
              <w:t>1.6  How widely the delivery medium has spread</w:t>
            </w:r>
          </w:p>
          <w:p>
            <w:pPr>
              <w:spacing w:after="80" w:line="276" w:lineRule="auto"/>
              <w:jc w:val="both"/>
            </w:pPr>
            <w:r>
              <w:rPr>
                <w:rFonts w:ascii="Times New Roman" w:hAnsi="Times New Roman" w:eastAsia="바탕"/>
                <w:sz w:val="20"/>
              </w:rPr>
              <w:t>1.7  The scale of population ageing and its geographic shift</w:t>
            </w:r>
          </w:p>
          <w:p>
            <w:pPr>
              <w:spacing w:after="80" w:line="276" w:lineRule="auto"/>
              <w:jc w:val="both"/>
            </w:pPr>
            <w:r>
              <w:rPr>
                <w:rFonts w:ascii="Times New Roman" w:hAnsi="Times New Roman" w:eastAsia="바탕"/>
                <w:sz w:val="20"/>
              </w:rPr>
              <w:t>1.8  The effect and the limits of visual delivery</w:t>
            </w:r>
          </w:p>
          <w:p>
            <w:pPr>
              <w:spacing w:after="80" w:line="276" w:lineRule="auto"/>
              <w:jc w:val="both"/>
            </w:pPr>
            <w:r>
              <w:rPr>
                <w:rFonts w:ascii="Times New Roman" w:hAnsi="Times New Roman" w:eastAsia="바탕"/>
                <w:sz w:val="20"/>
              </w:rPr>
              <w:t>1.9  Structural constraints of the existing pictogram standard</w:t>
            </w:r>
          </w:p>
          <w:p>
            <w:pPr>
              <w:spacing w:after="80" w:line="276" w:lineRule="auto"/>
              <w:jc w:val="both"/>
            </w:pPr>
            <w:r>
              <w:rPr>
                <w:rFonts w:ascii="Times New Roman" w:hAnsi="Times New Roman" w:eastAsia="바탕"/>
                <w:sz w:val="20"/>
              </w:rPr>
              <w:t>1.10  Prior work on interfaces for low-literate users</w:t>
            </w:r>
          </w:p>
          <w:p>
            <w:pPr>
              <w:spacing w:after="80" w:line="276" w:lineRule="auto"/>
              <w:jc w:val="both"/>
            </w:pPr>
            <w:r>
              <w:rPr>
                <w:rFonts w:ascii="Times New Roman" w:hAnsi="Times New Roman" w:eastAsia="바탕"/>
                <w:sz w:val="20"/>
              </w:rPr>
              <w:t>1.11  The problem in summary</w:t>
            </w:r>
          </w:p>
          <w:p>
            <w:pPr>
              <w:spacing w:after="80" w:line="276" w:lineRule="auto"/>
              <w:jc w:val="both"/>
            </w:pPr>
            <w:r>
              <w:rPr>
                <w:rFonts w:ascii="Times New Roman" w:hAnsi="Times New Roman" w:eastAsia="바탕"/>
                <w:sz w:val="20"/>
              </w:rPr>
              <w:t>1.12  How this problem looks in our own two countries</w:t>
            </w:r>
          </w:p>
          <w:p>
            <w:pPr>
              <w:spacing w:after="80" w:line="276" w:lineRule="auto"/>
              <w:jc w:val="both"/>
            </w:pPr>
            <w:r>
              <w:rPr>
                <w:rFonts w:ascii="Times New Roman" w:hAnsi="Times New Roman" w:eastAsia="바탕"/>
                <w:sz w:val="20"/>
              </w:rPr>
              <w:t>1.13  The range of the target and the design standard</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Design principle</w:t>
            </w:r>
          </w:p>
          <w:p>
            <w:pPr>
              <w:spacing w:after="80" w:line="276" w:lineRule="auto"/>
              <w:jc w:val="both"/>
            </w:pPr>
            <w:r>
              <w:rPr>
                <w:rFonts w:ascii="Times New Roman" w:hAnsi="Times New Roman" w:eastAsia="바탕"/>
                <w:sz w:val="20"/>
              </w:rPr>
              <w:t>2.2  SIGIL, the pictogram composition engine</w:t>
            </w:r>
          </w:p>
          <w:p>
            <w:pPr>
              <w:spacing w:after="80" w:line="276" w:lineRule="auto"/>
              <w:jc w:val="both"/>
            </w:pPr>
            <w:r>
              <w:rPr>
                <w:rFonts w:ascii="Times New Roman" w:hAnsi="Times New Roman" w:eastAsia="바탕"/>
                <w:sz w:val="20"/>
              </w:rPr>
              <w:t>2.3  VOCA, the spoken instruction engine</w:t>
            </w:r>
          </w:p>
          <w:p>
            <w:pPr>
              <w:spacing w:after="80" w:line="276" w:lineRule="auto"/>
              <w:jc w:val="both"/>
            </w:pPr>
            <w:r>
              <w:rPr>
                <w:rFonts w:ascii="Times New Roman" w:hAnsi="Times New Roman" w:eastAsia="바탕"/>
                <w:sz w:val="20"/>
              </w:rPr>
              <w:t>2.4  Deriving a per-person verdict threshold</w:t>
            </w:r>
          </w:p>
          <w:p>
            <w:pPr>
              <w:spacing w:after="80" w:line="276" w:lineRule="auto"/>
              <w:jc w:val="both"/>
            </w:pPr>
            <w:r>
              <w:rPr>
                <w:rFonts w:ascii="Times New Roman" w:hAnsi="Times New Roman" w:eastAsia="바탕"/>
                <w:sz w:val="20"/>
              </w:rPr>
              <w:t>2.5  Collecting conditions and inferring allergies</w:t>
            </w:r>
          </w:p>
          <w:p>
            <w:pPr>
              <w:spacing w:after="80" w:line="276" w:lineRule="auto"/>
              <w:jc w:val="both"/>
            </w:pPr>
            <w:r>
              <w:rPr>
                <w:rFonts w:ascii="Times New Roman" w:hAnsi="Times New Roman" w:eastAsia="바탕"/>
                <w:sz w:val="20"/>
              </w:rPr>
              <w:t>2.6  How this differs from existing approaches</w:t>
            </w:r>
          </w:p>
          <w:p>
            <w:pPr>
              <w:spacing w:after="80" w:line="276" w:lineRule="auto"/>
              <w:jc w:val="both"/>
            </w:pPr>
            <w:r>
              <w:rPr>
                <w:rFonts w:ascii="Times New Roman" w:hAnsi="Times New Roman" w:eastAsia="바탕"/>
                <w:sz w:val="20"/>
              </w:rPr>
              <w:t>2.7  The three core functions</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The overall flow</w:t>
            </w:r>
          </w:p>
          <w:p>
            <w:pPr>
              <w:spacing w:after="80" w:line="276" w:lineRule="auto"/>
              <w:jc w:val="both"/>
            </w:pPr>
            <w:r>
              <w:rPr>
                <w:rFonts w:ascii="Times New Roman" w:hAnsi="Times New Roman" w:eastAsia="바탕"/>
                <w:sz w:val="20"/>
              </w:rPr>
              <w:t>3.2  First run and profile setup</w:t>
            </w:r>
          </w:p>
          <w:p>
            <w:pPr>
              <w:spacing w:after="80" w:line="276" w:lineRule="auto"/>
              <w:jc w:val="both"/>
            </w:pPr>
            <w:r>
              <w:rPr>
                <w:rFonts w:ascii="Times New Roman" w:hAnsi="Times New Roman" w:eastAsia="바탕"/>
                <w:sz w:val="20"/>
              </w:rPr>
              <w:t>3.3  From capture to verdict</w:t>
            </w:r>
          </w:p>
          <w:p>
            <w:pPr>
              <w:spacing w:after="80" w:line="276" w:lineRule="auto"/>
              <w:jc w:val="both"/>
            </w:pPr>
            <w:r>
              <w:rPr>
                <w:rFonts w:ascii="Times New Roman" w:hAnsi="Times New Roman" w:eastAsia="바탕"/>
                <w:sz w:val="20"/>
              </w:rPr>
              <w:t>3.4  The path when recognition fails</w:t>
            </w:r>
          </w:p>
          <w:p>
            <w:pPr>
              <w:spacing w:after="80" w:line="276" w:lineRule="auto"/>
              <w:jc w:val="both"/>
            </w:pPr>
            <w:r>
              <w:rPr>
                <w:rFonts w:ascii="Times New Roman" w:hAnsi="Times New Roman" w:eastAsia="바탕"/>
                <w:sz w:val="20"/>
              </w:rPr>
              <w:t>3.5  Routes to the audio</w:t>
            </w:r>
          </w:p>
          <w:p>
            <w:pPr>
              <w:spacing w:after="80" w:line="276" w:lineRule="auto"/>
              <w:jc w:val="both"/>
            </w:pPr>
            <w:r>
              <w:rPr>
                <w:rFonts w:ascii="Times New Roman" w:hAnsi="Times New Roman" w:eastAsia="바탕"/>
                <w:sz w:val="20"/>
              </w:rPr>
              <w:t>3.6  Sharing a device and separating household members</w:t>
            </w:r>
          </w:p>
          <w:p>
            <w:pPr>
              <w:spacing w:after="80" w:line="276" w:lineRule="auto"/>
              <w:jc w:val="both"/>
            </w:pPr>
            <w:r>
              <w:rPr>
                <w:rFonts w:ascii="Times New Roman" w:hAnsi="Times New Roman" w:eastAsia="바탕"/>
                <w:sz w:val="20"/>
              </w:rPr>
              <w:t>3.7  Channels other than colour</w:t>
            </w:r>
          </w:p>
          <w:p>
            <w:pPr>
              <w:spacing w:after="80" w:line="276" w:lineRule="auto"/>
              <w:jc w:val="both"/>
            </w:pPr>
            <w:r>
              <w:rPr>
                <w:rFonts w:ascii="Times New Roman" w:hAnsi="Times New Roman" w:eastAsia="바탕"/>
                <w:sz w:val="20"/>
              </w:rPr>
              <w:t>3.8  Checking that it was understood</w:t>
            </w:r>
          </w:p>
          <w:p>
            <w:pPr>
              <w:spacing w:after="80" w:line="276" w:lineRule="auto"/>
              <w:jc w:val="both"/>
            </w:pPr>
            <w:r>
              <w:rPr>
                <w:rFonts w:ascii="Times New Roman" w:hAnsi="Times New Roman" w:eastAsia="바탕"/>
                <w:sz w:val="20"/>
              </w:rPr>
              <w:t>3.9  Medication routine and the last four weeks</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Overview of the stack</w:t>
            </w:r>
          </w:p>
          <w:p>
            <w:pPr>
              <w:spacing w:after="80" w:line="276" w:lineRule="auto"/>
              <w:jc w:val="both"/>
            </w:pPr>
            <w:r>
              <w:rPr>
                <w:rFonts w:ascii="Times New Roman" w:hAnsi="Times New Roman" w:eastAsia="바탕"/>
                <w:sz w:val="20"/>
              </w:rPr>
              <w:t>4.2  Physical checks in the verdict engine</w:t>
            </w:r>
          </w:p>
          <w:p>
            <w:pPr>
              <w:spacing w:after="80" w:line="276" w:lineRule="auto"/>
              <w:jc w:val="both"/>
            </w:pPr>
            <w:r>
              <w:rPr>
                <w:rFonts w:ascii="Times New Roman" w:hAnsi="Times New Roman" w:eastAsia="바탕"/>
                <w:sz w:val="20"/>
              </w:rPr>
              <w:t>4.3  Choosing the hardware link</w:t>
            </w:r>
          </w:p>
          <w:p>
            <w:pPr>
              <w:spacing w:after="80" w:line="276" w:lineRule="auto"/>
              <w:jc w:val="both"/>
            </w:pPr>
            <w:r>
              <w:rPr>
                <w:rFonts w:ascii="Times New Roman" w:hAnsi="Times New Roman" w:eastAsia="바탕"/>
                <w:sz w:val="20"/>
              </w:rPr>
              <w:t>4.4  Reading the paper form</w:t>
            </w:r>
          </w:p>
          <w:p>
            <w:pPr>
              <w:spacing w:after="80" w:line="276" w:lineRule="auto"/>
              <w:jc w:val="both"/>
            </w:pPr>
            <w:r>
              <w:rPr>
                <w:rFonts w:ascii="Times New Roman" w:hAnsi="Times New Roman" w:eastAsia="바탕"/>
                <w:sz w:val="20"/>
              </w:rPr>
              <w:t>4.5  Offline operation</w:t>
            </w:r>
          </w:p>
          <w:p>
            <w:pPr>
              <w:spacing w:after="80" w:line="276" w:lineRule="auto"/>
              <w:jc w:val="both"/>
            </w:pPr>
            <w:r>
              <w:rPr>
                <w:rFonts w:ascii="Times New Roman" w:hAnsi="Times New Roman" w:eastAsia="바탕"/>
                <w:sz w:val="20"/>
              </w:rPr>
              <w:t>4.6  Privacy</w:t>
            </w:r>
          </w:p>
          <w:p>
            <w:pPr>
              <w:spacing w:after="80" w:line="276" w:lineRule="auto"/>
              <w:jc w:val="both"/>
            </w:pPr>
            <w:r>
              <w:rPr>
                <w:rFonts w:ascii="Times New Roman" w:hAnsi="Times New Roman" w:eastAsia="바탕"/>
                <w:sz w:val="20"/>
              </w:rPr>
              <w:t>4.7  The repository and how the team worked</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Formative evaluation: whether the information arrives</w:t>
            </w:r>
          </w:p>
          <w:p>
            <w:pPr>
              <w:spacing w:after="80" w:line="276" w:lineRule="auto"/>
              <w:jc w:val="both"/>
            </w:pPr>
            <w:r>
              <w:rPr>
                <w:rFonts w:ascii="Times New Roman" w:hAnsi="Times New Roman" w:eastAsia="바탕"/>
                <w:sz w:val="20"/>
              </w:rPr>
              <w:t>5.2  A procedure for verifying pictogram comprehension</w:t>
            </w:r>
          </w:p>
          <w:p>
            <w:pPr>
              <w:spacing w:after="80" w:line="276" w:lineRule="auto"/>
              <w:jc w:val="both"/>
            </w:pPr>
            <w:r>
              <w:rPr>
                <w:rFonts w:ascii="Times New Roman" w:hAnsi="Times New Roman" w:eastAsia="바탕"/>
                <w:sz w:val="20"/>
              </w:rPr>
              <w:t>5.3  Morphemes judged unimprovable</w:t>
            </w:r>
          </w:p>
          <w:p>
            <w:pPr>
              <w:spacing w:after="80" w:line="276" w:lineRule="auto"/>
              <w:jc w:val="both"/>
            </w:pPr>
            <w:r>
              <w:rPr>
                <w:rFonts w:ascii="Times New Roman" w:hAnsi="Times New Roman" w:eastAsia="바탕"/>
                <w:sz w:val="20"/>
              </w:rPr>
              <w:t>5.4  Limits of the measurement</w:t>
            </w:r>
          </w:p>
          <w:p>
            <w:pPr>
              <w:spacing w:after="80" w:line="276" w:lineRule="auto"/>
              <w:jc w:val="both"/>
            </w:pPr>
            <w:r>
              <w:rPr>
                <w:rFonts w:ascii="Times New Roman" w:hAnsi="Times New Roman" w:eastAsia="바탕"/>
                <w:sz w:val="20"/>
              </w:rPr>
              <w:t>5.5  Measured performance of the nutrition estimation model</w:t>
            </w:r>
          </w:p>
          <w:p>
            <w:pPr>
              <w:spacing w:after="80" w:line="276" w:lineRule="auto"/>
              <w:jc w:val="both"/>
            </w:pPr>
            <w:r>
              <w:rPr>
                <w:rFonts w:ascii="Times New Roman" w:hAnsi="Times New Roman" w:eastAsia="바탕"/>
                <w:sz w:val="20"/>
              </w:rPr>
              <w:t>5.6  Measured offline operation</w:t>
            </w:r>
          </w:p>
          <w:p>
            <w:pPr>
              <w:spacing w:after="80" w:line="276" w:lineRule="auto"/>
              <w:jc w:val="both"/>
            </w:pPr>
            <w:r>
              <w:rPr>
                <w:rFonts w:ascii="Times New Roman" w:hAnsi="Times New Roman" w:eastAsia="바탕"/>
                <w:sz w:val="20"/>
              </w:rPr>
              <w:t>5.7  Expert opinion survey</w:t>
            </w:r>
          </w:p>
          <w:p>
            <w:pPr>
              <w:spacing w:after="80" w:line="276" w:lineRule="auto"/>
              <w:jc w:val="both"/>
            </w:pPr>
            <w:r>
              <w:rPr>
                <w:rFonts w:ascii="Times New Roman" w:hAnsi="Times New Roman" w:eastAsia="바탕"/>
                <w:sz w:val="20"/>
              </w:rPr>
              <w:t>5.8  Contribution to SDG 3</w:t>
            </w:r>
          </w:p>
          <w:p>
            <w:pPr>
              <w:spacing w:after="80" w:line="276" w:lineRule="auto"/>
              <w:jc w:val="both"/>
            </w:pPr>
            <w:r>
              <w:rPr>
                <w:rFonts w:ascii="Times New Roman" w:hAnsi="Times New Roman" w:eastAsia="바탕"/>
                <w:sz w:val="20"/>
              </w:rPr>
              <w:t>5.9  Unverified items</w:t>
            </w:r>
          </w:p>
          <w:p>
            <w:pPr>
              <w:spacing w:after="80" w:line="276" w:lineRule="auto"/>
              <w:jc w:val="both"/>
            </w:pPr>
            <w:r>
              <w:rPr>
                <w:rFonts w:ascii="Times New Roman" w:hAnsi="Times New Roman" w:eastAsia="바탕"/>
                <w:sz w:val="20"/>
              </w:rPr>
              <w:t>5.10  Future plans</w:t>
            </w:r>
          </w:p>
          <w:p>
            <w:pPr>
              <w:spacing w:after="80" w:line="276" w:lineRule="auto"/>
              <w:jc w:val="both"/>
            </w:pPr>
            <w:r>
              <w:rPr>
                <w:rFonts w:ascii="Times New Roman" w:hAnsi="Times New Roman" w:eastAsia="바탕"/>
                <w:sz w:val="20"/>
              </w:rPr>
              <w:t>5.11  Appendix. Every free-text response</w:t>
            </w:r>
          </w:p>
          <w:p>
            <w:pPr>
              <w:spacing w:after="80" w:line="276" w:lineRule="auto"/>
              <w:jc w:val="both"/>
            </w:pPr>
            <w:r>
              <w:rPr>
                <w:rFonts w:ascii="Times New Roman" w:hAnsi="Times New Roman" w:eastAsia="바탕"/>
                <w:sz w:val="20"/>
              </w:rPr>
              <w:t>5.12  Appendix. Every multiple-choice response</w:t>
            </w:r>
          </w:p>
          <w:p>
            <w:pPr>
              <w:spacing w:after="80" w:line="276" w:lineRule="auto"/>
              <w:jc w:val="both"/>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begins with the harshest of these conditions, non-literacy, where the instruction never arrives at all (§1.1 to §1.3).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percentage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One discrepancy in the numbers inside this document should be stated as well. Gutierrez et al. in Table 6 counted and tested the USP set as 82 symbols, and this section says 81. The set may have grown or shrunk over time, but we could not confirm at a primary source which figure belongs to which date. Each source's own count has therefore been left as it stands. A difference of one does not change the argument of this section or of Table 6.</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\inhaler{\food_bowl}</w:t>
            </w:r>
            <w:r>
              <w:rPr>
                <w:rFonts w:ascii="Times New Roman" w:hAnsi="Times New Roman" w:eastAsia="바탕"/>
                <w:sz w:val="20"/>
              </w:rPr>
              <w:t xml:space="preserve"> (an inhaler with a meal),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Where we handle that tension is not the grammar but the side that uses it. The engine accepts several modifiers on one head: the first goes inside the head's slot and the second onward are laid in a strip above it. The app, however, uses only one modifier per head, and when a body site and a meal context both apply it emits one of them as a separate picture (</w:t>
            </w:r>
            <w:r>
              <w:rPr>
                <w:rFonts w:ascii="Consolas" w:hAnsi="Consolas" w:eastAsia="Consolas"/>
                <w:sz w:val="19"/>
              </w:rPr>
              <w:t>lib/snapcare/sigil.ts</w:t>
            </w:r>
            <w:r>
              <w:rPr>
                <w:rFonts w:ascii="Times New Roman" w:hAnsi="Times New Roman" w:eastAsia="바탕"/>
                <w:sz w:val="20"/>
              </w:rPr>
              <w:t>). What can be piled onto one picture and what still reads once piled on are different things, and this is something we decided rather than something the grammar prevented.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after="80" w:line="276" w:lineRule="auto"/>
              <w:jc w:val="both"/>
            </w:pPr>
            <w:r>
              <w:rPr>
                <w:rFonts w:ascii="Times New Roman" w:hAnsi="Times New Roman" w:eastAsia="바탕"/>
                <w:sz w:val="20"/>
              </w:rPr>
              <w:t>Once the target is widened in the next section, the Korean half of this section's argument grows heavier rather than lighter. The grounds given for calling it invisible are that 18 of the 39 respondents in §5.7 said they scarcely meet such patients, and that is an answer about patients who cannot read. The conditions §1.13 adds are counted even less than those. Health literacy at least has a figure of 39.6%, whereas we found no statistic within the range of this document that counts people too worn out to take medicine on time, or people who cannot remember whether they took last night's dose. Nor does that arrive in a consulting room as a diagnosis. Saying that this problem is invisible in Korea becomes truer the further the target is widened.</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 containment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containment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The leaps taken in carrying these two studies across should be named. The first looked at children and adolescents, whereas the users this app aims at are mostly adults. That attention deficit hyperactivity disorder can carry into adulthood and that adherence figures for children can be carried across to adults are two different statements, and we hold no evidence for the second. What is taken here is not the proportion but the fact that medication-taking does break down in this group. The second sampled only Parkinson's patients without dementia, so it cannot be carried across to people with severe memory impairment. That the risk factors the authors found fit our argument does not make their sample the same as our target.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The single-layer screen with the hierarchy removed (§3.1) and the confirming step (§3.8). That our glyphs are black-and-white silhouettes may count against us for this condition, though (§1.10)</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Thyroid dysfunction</w:t>
                  </w:r>
                </w:p>
              </w:tc>
              <w:tc>
                <w:tcPr>
                  <w:tcW w:type="dxa" w:w="2441"/>
                </w:tcPr>
                <w:p>
                  <w:r>
                    <w:rPr>
                      <w:rFonts w:ascii="Times New Roman" w:hAnsi="Times New Roman" w:eastAsia="바탕"/>
                      <w:sz w:val="18"/>
                    </w:rPr>
                    <w:t>The drug is not absorbed unless the timing is kept</w:t>
                  </w:r>
                </w:p>
              </w:tc>
              <w:tc>
                <w:tcPr>
                  <w:tcW w:type="dxa" w:w="2441"/>
                </w:tcPr>
                <w:p>
                  <w:r>
                    <w:rPr>
                      <w:rFonts w:ascii="Consolas" w:hAnsi="Consolas" w:eastAsia="Consolas"/>
                      <w:sz w:val="17"/>
                    </w:rPr>
                    <w:t>food_empty_bowl</w:t>
                  </w:r>
                  <w:r>
                    <w:rPr>
                      <w:rFonts w:ascii="Times New Roman" w:hAnsi="Times New Roman" w:eastAsia="바탕"/>
                      <w:sz w:val="18"/>
                    </w:rPr>
                    <w:t xml:space="preserve"> goes in the head's slot and </w:t>
                  </w:r>
                  <w:r>
                    <w:rPr>
                      <w:rFonts w:ascii="Consolas" w:hAnsi="Consolas" w:eastAsia="Consolas"/>
                      <w:sz w:val="17"/>
                    </w:rPr>
                    <w:t>time_morning</w:t>
                  </w:r>
                  <w:r>
                    <w:rPr>
                      <w:rFonts w:ascii="Times New Roman" w:hAnsi="Times New Roman" w:eastAsia="바탕"/>
                      <w:sz w:val="18"/>
                    </w:rPr>
                    <w:t xml:space="preserve"> follows it, so "on an empty stomach, in the morning" comes out as two pictures (§2.2). The box dispenses only within a dose window (§4.3). No morpheme among the 78, however, means "keep this many hours apart from that"</w:t>
                  </w:r>
                </w:p>
              </w:tc>
              <w:tc>
                <w:tcPr>
                  <w:tcW w:type="dxa" w:w="2441"/>
                </w:tcPr>
                <w:p>
                  <w:r>
                    <w:rPr>
                      <w:rFonts w:ascii="Times New Roman" w:hAnsi="Times New Roman" w:eastAsia="바탕"/>
                      <w:sz w:val="18"/>
                    </w:rPr>
                    <w:t xml:space="preserve">107 articles and 128 studies on interfering substances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medicine stays inside the box and is dispensed only within a dose window (§4.3). A child lock as such was not built</w:t>
                  </w:r>
                </w:p>
              </w:tc>
              <w:tc>
                <w:tcPr>
                  <w:tcW w:type="dxa" w:w="2441"/>
                </w:tcPr>
                <w:p>
                  <w:r>
                    <w:rPr>
                      <w:rFonts w:ascii="Times New Roman" w:hAnsi="Times New Roman" w:eastAsia="바탕"/>
                      <w:sz w:val="18"/>
                    </w:rPr>
                    <w:t>Mechanism shared only. We did not measure it</w:t>
                  </w:r>
                </w:p>
              </w:tc>
            </w:tr>
          </w:tbl>
          <w:p/>
          <w:p>
            <w:pPr>
              <w:spacing w:after="120"/>
            </w:pPr>
          </w:p>
          <w:p>
            <w:pPr>
              <w:spacing w:after="80" w:line="276" w:lineRule="auto"/>
              <w:jc w:val="both"/>
            </w:pPr>
            <w:r>
              <w:rPr>
                <w:rFonts w:ascii="Times New Roman" w:hAnsi="Times New Roman" w:eastAsia="바탕"/>
                <w:sz w:val="20"/>
              </w:rPr>
              <w:t xml:space="preserve">Thyroid dysfunction differs in character from the other conditions in the table, so it is treated separately. For the others the problem is that the instruction does not arrive; for this one, even when the instruction arrives, the drug is not absorbed unless the timing is kept. The routine is itself a condition of the drug working. A systematic review gathering what interferes with the bioavailability of levothyroxine lists calcium and iron supplements, proton pump inhibitors, bile acid sequestrants, phosphate binders, sex hormones, anticonvulsants, and food and drink, and among the remedies the authors give is separating the times at which these are taken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The authors also record that most of the included studies were of moderate quality and that better designed studies are needed.</w:t>
            </w:r>
          </w:p>
          <w:p>
            <w:pPr>
              <w:spacing w:after="80" w:line="276" w:lineRule="auto"/>
              <w:jc w:val="both"/>
            </w:pPr>
            <w:r>
              <w:rPr>
                <w:rFonts w:ascii="Times New Roman" w:hAnsi="Times New Roman" w:eastAsia="바탕"/>
                <w:sz w:val="20"/>
              </w:rPr>
              <w:t xml:space="preserve">This condition exposes one limit of our set. With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food_empty_bowl</w:t>
            </w:r>
            <w:r>
              <w:rPr>
                <w:rFonts w:ascii="Times New Roman" w:hAnsi="Times New Roman" w:eastAsia="바탕"/>
                <w:sz w:val="20"/>
              </w:rPr>
              <w:t xml:space="preserve"> the instruction "in the morning, on an empty stomach" can be drawn, but nowhere among the 78 morphemes is there one meaning "keep this many hours apart from that". Pointing at a time and pointing at the interval between two times are different jobs, and our grammar has only the first. This is a defect we learned of by widening the target, and it belongs to stage 5 of §5.10.</w:t>
            </w:r>
          </w:p>
          <w:p>
            <w:pPr>
              <w:spacing w:after="80" w:line="276" w:lineRule="auto"/>
              <w:jc w:val="both"/>
            </w:pPr>
            <w:r>
              <w:rPr>
                <w:rFonts w:ascii="Times New Roman" w:hAnsi="Times New Roman" w:eastAsia="바탕"/>
                <w:sz w:val="20"/>
              </w:rPr>
              <w:t>The last column of that table matters most in this section. Seven conditions have data we checked at source, four have only a shared mechanism, and one is not taken as a target.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That one cell of the table was corrected should be set down too. The row for autism and intellectual disability first read "concrete pictogram forms", whereas our set is black-and-white silhouettes and the literature cited in §1.10 records that low-literacy users prefer concrete, photorealistic representations to stylised glyphs. That section already states this as an observation running against our design, and yet the table was writing it up as a strength. It is the place where the pull to attach something favourable to every condition took hold while widening the target. The cell now reads the removed hierarchy and the confirming step, with a note in the same cell that the silhouette may count against us here.</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That principle is the design standard fixed in §1.13 carried onto the screen. Because the standard sits at the harshest condition, only one set of screens is built. There is no separate set for people who can read and another for people who cannot; the latter alone covers both. That is why no accessibility mode or simplified view appears anywhere in this document. A mode switch works only for someone who knows it has to be turned on, and if that has to be read to be known, it is already too late.</w:t>
            </w:r>
          </w:p>
          <w:p>
            <w:pPr>
              <w:spacing w:after="80" w:line="276" w:lineRule="auto"/>
              <w:jc w:val="both"/>
            </w:pPr>
            <w:r>
              <w:rPr>
                <w:rFonts w:ascii="Times New Roman" w:hAnsi="Times New Roman" w:eastAsia="바탕"/>
                <w:sz w:val="20"/>
              </w:rPr>
              <w:t>The same principle carries beyond reading. What was removed to demand no letters was a demand on memory and attention as well. With the hierarchy gone there is nothing to hold in mind about how far down one has come; with the steps gone there is nothing to count about what has already been done; with the options gone there is nothing to keep hold of about what is being asked right now. Those three sentences are the grounds on which Table 7 of §1.13 claims that one screen covers eleven conditions.</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goes into a slot inside a head (count, refrigerate, eye, mouth).</w:t>
            </w:r>
          </w:p>
          <w:p>
            <w:pPr>
              <w:spacing w:after="80" w:line="276" w:lineRule="auto"/>
              <w:jc w:val="both"/>
            </w:pPr>
            <w:r>
              <w:rPr>
                <w:rFonts w:ascii="Times New Roman" w:hAnsi="Times New Roman" w:eastAsia="바탕"/>
                <w:sz w:val="20"/>
              </w:rPr>
              <w:t xml:space="preserve">Four of the modifiers can also stand alone: the time morphemes for morning, midday, evening and night. They are marked </w:t>
            </w:r>
            <w:r>
              <w:rPr>
                <w:rFonts w:ascii="Consolas" w:hAnsi="Consolas" w:eastAsia="Consolas"/>
                <w:sz w:val="19"/>
              </w:rPr>
              <w:t>standalone</w:t>
            </w:r>
            <w:r>
              <w:rPr>
                <w:rFonts w:ascii="Times New Roman" w:hAnsi="Times New Roman" w:eastAsia="바탕"/>
                <w:sz w:val="20"/>
              </w:rPr>
              <w:t xml:space="preserve"> in the dictionary and the parser allows them on the strength of that mark, because a dose time is both a condition attached to a medicine and an instruction in itself. One picture saying "in the evening", standing after the picture of the medicine, is the instruction. The count of 1,258 expressions in §1.9 adds those four separately for the same reason.</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three kinds in Table 12 are the ones the user is asked about. A fourth exists in the data model and is never asked: conditions a person cannot know of themselves, which surface only once meal records accumulate, and which are kept off the self-report list altogether. What sits there at present is soy and sesame. The reason those two were chosen is the argument of §1.5. Without ever having been tested, there is no way to know one reacts to them, and asking returns "no".</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Item</w:t>
                  </w:r>
                </w:p>
              </w:tc>
              <w:tc>
                <w:tcPr>
                  <w:tcW w:type="dxa" w:w="1953"/>
                  <w:shd w:val="clear" w:fill="F2F2F2"/>
                </w:tcPr>
                <w:p>
                  <w:r>
                    <w:rPr>
                      <w:rFonts w:ascii="Times New Roman" w:hAnsi="Times New Roman" w:eastAsia="바탕"/>
                      <w:b/>
                      <w:sz w:val="18"/>
                    </w:rPr>
                    <w:t>General health app</w:t>
                  </w:r>
                </w:p>
              </w:tc>
              <w:tc>
                <w:tcPr>
                  <w:tcW w:type="dxa" w:w="1953"/>
                  <w:shd w:val="clear" w:fill="F2F2F2"/>
                </w:tcPr>
                <w:p>
                  <w:r>
                    <w:rPr>
                      <w:rFonts w:ascii="Times New Roman" w:hAnsi="Times New Roman" w:eastAsia="바탕"/>
                      <w:b/>
                      <w:sz w:val="18"/>
                    </w:rPr>
                    <w:t>Medication reminder app</w:t>
                  </w:r>
                </w:p>
              </w:tc>
              <w:tc>
                <w:tcPr>
                  <w:tcW w:type="dxa" w:w="1953"/>
                  <w:shd w:val="clear" w:fill="F2F2F2"/>
                </w:tcPr>
                <w:p>
                  <w:r>
                    <w:rPr>
                      <w:rFonts w:ascii="Times New Roman" w:hAnsi="Times New Roman" w:eastAsia="바탕"/>
                      <w:b/>
                      <w:sz w:val="18"/>
                    </w:rPr>
                    <w:t>USP pictogram standard</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Input</w:t>
                  </w:r>
                </w:p>
              </w:tc>
              <w:tc>
                <w:tcPr>
                  <w:tcW w:type="dxa" w:w="1953"/>
                </w:tcPr>
                <w:p>
                  <w:r>
                    <w:rPr>
                      <w:rFonts w:ascii="Times New Roman" w:hAnsi="Times New Roman" w:eastAsia="바탕"/>
                      <w:sz w:val="18"/>
                    </w:rPr>
                    <w:t>Typing and search</w:t>
                  </w:r>
                </w:p>
              </w:tc>
              <w:tc>
                <w:tcPr>
                  <w:tcW w:type="dxa" w:w="1953"/>
                </w:tcPr>
                <w:p>
                  <w:r>
                    <w:rPr>
                      <w:rFonts w:ascii="Times New Roman" w:hAnsi="Times New Roman" w:eastAsia="바탕"/>
                      <w:sz w:val="18"/>
                    </w:rPr>
                    <w:t>The person types in medicine name, dose and time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One photograph</w:t>
                  </w:r>
                </w:p>
              </w:tc>
            </w:tr>
            <w:tr>
              <w:tc>
                <w:tcPr>
                  <w:tcW w:type="dxa" w:w="1953"/>
                </w:tcPr>
                <w:p>
                  <w:r>
                    <w:rPr>
                      <w:rFonts w:ascii="Times New Roman" w:hAnsi="Times New Roman" w:eastAsia="바탕"/>
                      <w:sz w:val="18"/>
                    </w:rPr>
                    <w:t>Output</w:t>
                  </w:r>
                </w:p>
              </w:tc>
              <w:tc>
                <w:tcPr>
                  <w:tcW w:type="dxa" w:w="1953"/>
                </w:tcPr>
                <w:p>
                  <w:r>
                    <w:rPr>
                      <w:rFonts w:ascii="Times New Roman" w:hAnsi="Times New Roman" w:eastAsia="바탕"/>
                      <w:sz w:val="18"/>
                    </w:rPr>
                    <w:t>Mostly text</w:t>
                  </w:r>
                </w:p>
              </w:tc>
              <w:tc>
                <w:tcPr>
                  <w:tcW w:type="dxa" w:w="1953"/>
                </w:tcPr>
                <w:p>
                  <w:r>
                    <w:rPr>
                      <w:rFonts w:ascii="Times New Roman" w:hAnsi="Times New Roman" w:eastAsia="바탕"/>
                      <w:sz w:val="18"/>
                    </w:rPr>
                    <w:t>Notification text</w:t>
                  </w:r>
                </w:p>
              </w:tc>
              <w:tc>
                <w:tcPr>
                  <w:tcW w:type="dxa" w:w="1953"/>
                </w:tcPr>
                <w:p>
                  <w:r>
                    <w:rPr>
                      <w:rFonts w:ascii="Times New Roman" w:hAnsi="Times New Roman" w:eastAsia="바탕"/>
                      <w:sz w:val="18"/>
                    </w:rPr>
                    <w:t>81 static pictures</w:t>
                  </w:r>
                </w:p>
              </w:tc>
              <w:tc>
                <w:tcPr>
                  <w:tcW w:type="dxa" w:w="1953"/>
                </w:tcPr>
                <w:p>
                  <w:r>
                    <w:rPr>
                      <w:rFonts w:ascii="Times New Roman" w:hAnsi="Times New Roman" w:eastAsia="바탕"/>
                      <w:sz w:val="18"/>
                    </w:rPr>
                    <w:t>Composed pictogram + speech + colour</w:t>
                  </w:r>
                </w:p>
              </w:tc>
            </w:tr>
            <w:tr>
              <w:tc>
                <w:tcPr>
                  <w:tcW w:type="dxa" w:w="1953"/>
                </w:tcPr>
                <w:p>
                  <w:r>
                    <w:rPr>
                      <w:rFonts w:ascii="Times New Roman" w:hAnsi="Times New Roman" w:eastAsia="바탕"/>
                      <w:sz w:val="18"/>
                    </w:rPr>
                    <w:t>What it answers</w:t>
                  </w:r>
                </w:p>
              </w:tc>
              <w:tc>
                <w:tcPr>
                  <w:tcW w:type="dxa" w:w="1953"/>
                </w:tcPr>
                <w:p>
                  <w:r>
                    <w:rPr>
                      <w:rFonts w:ascii="Times New Roman" w:hAnsi="Times New Roman" w:eastAsia="바탕"/>
                      <w:sz w:val="18"/>
                    </w:rPr>
                    <w:t>Information for a search term</w:t>
                  </w:r>
                </w:p>
              </w:tc>
              <w:tc>
                <w:tcPr>
                  <w:tcW w:type="dxa" w:w="1953"/>
                </w:tcPr>
                <w:p>
                  <w:r>
                    <w:rPr>
                      <w:rFonts w:ascii="Times New Roman" w:hAnsi="Times New Roman" w:eastAsia="바탕"/>
                      <w:sz w:val="18"/>
                    </w:rPr>
                    <w:t>When</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What, how much, when, and what to avoid</w:t>
                  </w:r>
                </w:p>
              </w:tc>
            </w:tr>
            <w:tr>
              <w:tc>
                <w:tcPr>
                  <w:tcW w:type="dxa" w:w="1953"/>
                </w:tcPr>
                <w:p>
                  <w:r>
                    <w:rPr>
                      <w:rFonts w:ascii="Times New Roman" w:hAnsi="Times New Roman" w:eastAsia="바탕"/>
                      <w:sz w:val="18"/>
                    </w:rPr>
                    <w:t>Combination</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Prohibited by licence</w:t>
                  </w:r>
                </w:p>
              </w:tc>
              <w:tc>
                <w:tcPr>
                  <w:tcW w:type="dxa" w:w="1953"/>
                </w:tcPr>
                <w:p>
                  <w:r>
                    <w:rPr>
                      <w:rFonts w:ascii="Times New Roman" w:hAnsi="Times New Roman" w:eastAsia="바탕"/>
                      <w:sz w:val="18"/>
                    </w:rPr>
                    <w:t>Combined by grammar</w:t>
                  </w:r>
                </w:p>
              </w:tc>
            </w:tr>
            <w:tr>
              <w:tc>
                <w:tcPr>
                  <w:tcW w:type="dxa" w:w="1953"/>
                </w:tcPr>
                <w:p>
                  <w:r>
                    <w:rPr>
                      <w:rFonts w:ascii="Times New Roman" w:hAnsi="Times New Roman" w:eastAsia="바탕"/>
                      <w:sz w:val="18"/>
                    </w:rPr>
                    <w:t>Verdict threshold</w:t>
                  </w:r>
                </w:p>
              </w:tc>
              <w:tc>
                <w:tcPr>
                  <w:tcW w:type="dxa" w:w="1953"/>
                </w:tcPr>
                <w:p>
                  <w:r>
                    <w:rPr>
                      <w:rFonts w:ascii="Times New Roman" w:hAnsi="Times New Roman" w:eastAsia="바탕"/>
                      <w:sz w:val="18"/>
                    </w:rPr>
                    <w:t>Fixed table or 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Derived from personal energy requirement</w:t>
                  </w:r>
                </w:p>
              </w:tc>
            </w:tr>
            <w:tr>
              <w:tc>
                <w:tcPr>
                  <w:tcW w:type="dxa" w:w="1953"/>
                </w:tcPr>
                <w:p>
                  <w:r>
                    <w:rPr>
                      <w:rFonts w:ascii="Times New Roman" w:hAnsi="Times New Roman" w:eastAsia="바탕"/>
                      <w:sz w:val="18"/>
                    </w:rPr>
                    <w:t>Assumption</w:t>
                  </w:r>
                </w:p>
              </w:tc>
              <w:tc>
                <w:tcPr>
                  <w:tcW w:type="dxa" w:w="1953"/>
                </w:tcPr>
                <w:p>
                  <w:r>
                    <w:rPr>
                      <w:rFonts w:ascii="Times New Roman" w:hAnsi="Times New Roman" w:eastAsia="바탕"/>
                      <w:sz w:val="18"/>
                    </w:rPr>
                    <w:t>User knows their diagnosis</w:t>
                  </w:r>
                </w:p>
              </w:tc>
              <w:tc>
                <w:tcPr>
                  <w:tcW w:type="dxa" w:w="1953"/>
                </w:tcPr>
                <w:p>
                  <w:r>
                    <w:rPr>
                      <w:rFonts w:ascii="Times New Roman" w:hAnsi="Times New Roman" w:eastAsia="바탕"/>
                      <w:sz w:val="18"/>
                    </w:rPr>
                    <w:t>User can read a prescription and copy it across</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Neither diagnosis nor reading assumed</w:t>
                  </w:r>
                </w:p>
              </w:tc>
            </w:tr>
            <w:tr>
              <w:tc>
                <w:tcPr>
                  <w:tcW w:type="dxa" w:w="1953"/>
                </w:tcPr>
                <w:p>
                  <w:r>
                    <w:rPr>
                      <w:rFonts w:ascii="Times New Roman" w:hAnsi="Times New Roman" w:eastAsia="바탕"/>
                      <w:sz w:val="18"/>
                    </w:rPr>
                    <w:t>Adherence record</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The person taps to say so</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Also comes from a paired box's dispense log</w:t>
                  </w:r>
                </w:p>
              </w:tc>
            </w:tr>
            <w:tr>
              <w:tc>
                <w:tcPr>
                  <w:tcW w:type="dxa" w:w="1953"/>
                </w:tcPr>
                <w:p>
                  <w:r>
                    <w:rPr>
                      <w:rFonts w:ascii="Times New Roman" w:hAnsi="Times New Roman" w:eastAsia="바탕"/>
                      <w:sz w:val="18"/>
                    </w:rPr>
                    <w:t>Comprehension check</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Only post hoc studies</w:t>
                  </w:r>
                </w:p>
              </w:tc>
              <w:tc>
                <w:tcPr>
                  <w:tcW w:type="dxa" w:w="1953"/>
                </w:tcPr>
                <w:p>
                  <w:r>
                    <w:rPr>
                      <w:rFonts w:ascii="Times New Roman" w:hAnsi="Times New Roman" w:eastAsia="바탕"/>
                      <w:sz w:val="18"/>
                    </w:rPr>
                    <w:t>Measured automatically before release</w:t>
                  </w:r>
                </w:p>
              </w:tc>
            </w:tr>
            <w:tr>
              <w:tc>
                <w:tcPr>
                  <w:tcW w:type="dxa" w:w="1953"/>
                </w:tcPr>
                <w:p>
                  <w:r>
                    <w:rPr>
                      <w:rFonts w:ascii="Times New Roman" w:hAnsi="Times New Roman" w:eastAsia="바탕"/>
                      <w:sz w:val="18"/>
                    </w:rPr>
                    <w:t>Network</w:t>
                  </w:r>
                </w:p>
              </w:tc>
              <w:tc>
                <w:tcPr>
                  <w:tcW w:type="dxa" w:w="1953"/>
                </w:tcPr>
                <w:p>
                  <w:r>
                    <w:rPr>
                      <w:rFonts w:ascii="Times New Roman" w:hAnsi="Times New Roman" w:eastAsia="바탕"/>
                      <w:sz w:val="18"/>
                    </w:rPr>
                    <w:t>Required</w:t>
                  </w:r>
                </w:p>
              </w:tc>
              <w:tc>
                <w:tcPr>
                  <w:tcW w:type="dxa" w:w="1953"/>
                </w:tcPr>
                <w:p>
                  <w:r>
                    <w:rPr>
                      <w:rFonts w:ascii="Times New Roman" w:hAnsi="Times New Roman" w:eastAsia="바탕"/>
                      <w:sz w:val="18"/>
                    </w:rPr>
                    <w:t>Notification on device</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middle column was added because §1.13 widened the target. The moment one speaks of people who find it hard to take medicine as directed, what stands immediately alongside is the medication reminder app, and without setting down how this differs from that category, the proposal reads as one more reminder app.</w:t>
            </w:r>
          </w:p>
          <w:p>
            <w:pPr>
              <w:spacing w:after="80" w:line="276" w:lineRule="auto"/>
              <w:jc w:val="both"/>
            </w:pPr>
            <w:r>
              <w:rPr>
                <w:rFonts w:ascii="Times New Roman" w:hAnsi="Times New Roman" w:eastAsia="바탕"/>
                <w:sz w:val="20"/>
              </w:rPr>
              <w:t xml:space="preserve">There is work that actually counted that category. Across two app stores, 272 medication reminder apps were found and scored against seventeen desirable features: the median number of features per app was 3.0 (interquartile range 4.0), and only 18 apps had nine or more. The most common features were flexible scheduling at 56.3% (153/272), medication tracking history at 54.8% (149/272), a snooze option at 34.9% (95/272), and </w:t>
            </w:r>
            <w:r>
              <w:rPr>
                <w:rFonts w:ascii="Times New Roman" w:hAnsi="Times New Roman" w:eastAsia="바탕"/>
                <w:b/>
                <w:sz w:val="20"/>
              </w:rPr>
              <w:t>visual aids at 32.4% (88/272)</w:t>
            </w:r>
            <w:r>
              <w:rPr>
                <w:rFonts w:ascii="Times New Roman" w:hAnsi="Times New Roman" w:eastAsia="바탕"/>
                <w:sz w:val="20"/>
              </w:rPr>
              <w:t xml:space="preserve">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Two things go with those figures: it is from 2016 and from Australian app stores, so it cannot be said to describe the category today, and we found no more recent census than this.</w:t>
            </w:r>
          </w:p>
          <w:p>
            <w:pPr>
              <w:spacing w:after="80" w:line="276" w:lineRule="auto"/>
              <w:jc w:val="both"/>
            </w:pPr>
            <w:r>
              <w:rPr>
                <w:rFonts w:ascii="Times New Roman" w:hAnsi="Times New Roman" w:eastAsia="바탕"/>
                <w:sz w:val="20"/>
              </w:rPr>
              <w:t>Even so, what the middle column states is a difference in kind rather than in number of features. A reminder app works only after the user has typed in the medicine name, the dose and the time, which is to assume that a prescription can be read and copied across. The person this document has dealt with since §1.1 does not meet that assumption, and the people added in §1.13 are in conditions where that copying across is itself the burden. And what a reminder app answers is when, one thing, whereas the errors shown in Table 4 of §1.3 cluster into three: what, how much and when.</w:t>
            </w:r>
          </w:p>
          <w:p>
            <w:pPr>
              <w:spacing w:after="80" w:line="276" w:lineRule="auto"/>
              <w:jc w:val="both"/>
            </w:pPr>
            <w:r>
              <w:rPr>
                <w:rFonts w:ascii="Times New Roman" w:hAnsi="Times New Roman" w:eastAsia="바탕"/>
                <w:sz w:val="20"/>
              </w:rPr>
              <w:t>The heaviest row in the table is the fourth,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Measuring these two screens with the accessibility sweep of §4.4 caught one thing. The text-size screen has no point that reaches sound at all: no read-aloud button, no marker for sweeping to hear, no element wired to speech. What is on the screen is the sentence "tap the smallest line you can read" and five lines of that same sentence at different sizes. On the first screen this app offers to someone opening it for the first time, a person who cannot read has no route to sound.</w:t>
            </w:r>
          </w:p>
          <w:p>
            <w:pPr>
              <w:spacing w:after="80" w:line="276" w:lineRule="auto"/>
              <w:jc w:val="both"/>
            </w:pPr>
            <w:r>
              <w:rPr>
                <w:rFonts w:ascii="Times New Roman" w:hAnsi="Times New Roman" w:eastAsia="바탕"/>
                <w:sz w:val="20"/>
              </w:rPr>
              <w:t>Both why this is recorded as a defect and why the order was kept belong here. The principle of §2.1 is that reading is not required on the path to a judgement, and the instruction on this screen has to be read. The task on this screen, though, is shaped so that it can be answered without reading the instruction. The same sentence stands in five sizes with a pointing finger on the one currently chosen, so there is not much interpretation available other than pressing one of the pressable things. And no choice is a wrong answer: the size chosen can be changed in Settings at any time.</w:t>
            </w:r>
          </w:p>
          <w:p>
            <w:pPr>
              <w:spacing w:after="80" w:line="276" w:lineRule="auto"/>
              <w:jc w:val="both"/>
            </w:pPr>
            <w:r>
              <w:rPr>
                <w:rFonts w:ascii="Times New Roman" w:hAnsi="Times New Roman" w:eastAsia="바탕"/>
                <w:sz w:val="20"/>
              </w:rPr>
              <w:t>Even so, this is a place where we fall short of the standard we set ourselves. What Myojeong Choi, Researcher at the Korea Disabled People's Development Institute, raised in §5.7 was that without spoken guidance at the early steps the later procedure can be blocked, and removing the five guide cards emptied the place in front. Attaching read-aloud to this screen is not difficult and belongs to stage 4 of §5.10.</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r>
              <w:tc>
                <w:tcPr>
                  <w:tcW w:type="dxa" w:w="3238"/>
                </w:tcPr>
                <w:p>
                  <w:r>
                    <w:rPr>
                      <w:rFonts w:ascii="Times New Roman" w:hAnsi="Times New Roman" w:eastAsia="바탕"/>
                      <w:sz w:val="18"/>
                    </w:rPr>
                    <w:t>A handwritten prescription</w:t>
                  </w:r>
                </w:p>
              </w:tc>
              <w:tc>
                <w:tcPr>
                  <w:tcW w:type="dxa" w:w="3238"/>
                </w:tcPr>
                <w:p>
                  <w:r>
                    <w:rPr>
                      <w:rFonts w:ascii="Times New Roman" w:hAnsi="Times New Roman" w:eastAsia="바탕"/>
                      <w:sz w:val="18"/>
                    </w:rPr>
                    <w:t>Recognition judges the sheet to be handwritten</w:t>
                  </w:r>
                </w:p>
              </w:tc>
              <w:tc>
                <w:tcPr>
                  <w:tcW w:type="dxa" w:w="3238"/>
                </w:tcPr>
                <w:p>
                  <w:r>
                    <w:rPr>
                      <w:rFonts w:ascii="Times New Roman" w:hAnsi="Times New Roman" w:eastAsia="바탕"/>
                      <w:sz w:val="18"/>
                    </w:rPr>
                    <w:t>Caution. Green never lights</w:t>
                  </w:r>
                </w:p>
              </w:tc>
            </w:tr>
          </w:tbl>
          <w:p/>
          <w:p>
            <w:pPr>
              <w:spacing w:after="120"/>
            </w:pPr>
          </w:p>
          <w:p>
            <w:pPr>
              <w:spacing w:after="80" w:line="276" w:lineRule="auto"/>
              <w:jc w:val="both"/>
            </w:pPr>
            <w:r>
              <w:rPr>
                <w:rFonts w:ascii="Times New Roman" w:hAnsi="Times New Roman" w:eastAsia="바탕"/>
                <w:sz w:val="20"/>
              </w:rPr>
              <w:t>The fifth row came out of a point raised in §5.7. Told that it would not work on a handwritten prescription, we put a real one in and found that it did not fail to work but worked wrongly, with green lit on top of it. What this row does is erase the confidence rather than what was read. The account is in §5.7.</w:t>
            </w: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Thirteen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xml:space="preserve">, </w:t>
            </w:r>
            <w:r>
              <w:rPr>
                <w:rFonts w:ascii="Consolas" w:hAnsi="Consolas" w:eastAsia="Consolas"/>
                <w:sz w:val="19"/>
              </w:rPr>
              <w:t>/history</w:t>
            </w:r>
            <w:r>
              <w:rPr>
                <w:rFonts w:ascii="Times New Roman" w:hAnsi="Times New Roman" w:eastAsia="바탕"/>
                <w:sz w:val="20"/>
              </w:rPr>
              <w:t xml:space="preserve">, </w:t>
            </w:r>
            <w:r>
              <w:rPr>
                <w:rFonts w:ascii="Consolas" w:hAnsi="Consolas" w:eastAsia="Consolas"/>
                <w:sz w:val="19"/>
              </w:rPr>
              <w:t>/text-size</w:t>
            </w:r>
            <w:r>
              <w:rPr>
                <w:rFonts w:ascii="Times New Roman" w:hAnsi="Times New Roman" w:eastAsia="바탕"/>
                <w:sz w:val="20"/>
              </w:rPr>
              <w:t xml:space="preserve">, </w:t>
            </w:r>
            <w:r>
              <w:rPr>
                <w:rFonts w:ascii="Consolas" w:hAnsi="Consolas" w:eastAsia="Consolas"/>
                <w:sz w:val="19"/>
              </w:rPr>
              <w:t>/login</w:t>
            </w:r>
            <w:r>
              <w:rPr>
                <w:rFonts w:ascii="Times New Roman" w:hAnsi="Times New Roman" w:eastAsia="바탕"/>
                <w:sz w:val="20"/>
              </w:rPr>
              <w:t xml:space="preserve">, </w:t>
            </w:r>
            <w:r>
              <w:rPr>
                <w:rFonts w:ascii="Consolas" w:hAnsi="Consolas" w:eastAsia="Consolas"/>
                <w:sz w:val="19"/>
              </w:rPr>
              <w:t>/camera</w:t>
            </w:r>
            <w:r>
              <w:rPr>
                <w:rFonts w:ascii="Times New Roman" w:hAnsi="Times New Roman" w:eastAsia="바탕"/>
                <w:sz w:val="20"/>
              </w:rPr>
              <w:t xml:space="preserve">, </w:t>
            </w:r>
            <w:r>
              <w:rPr>
                <w:rFonts w:ascii="Consolas" w:hAnsi="Consolas" w:eastAsia="Consolas"/>
                <w:sz w:val="19"/>
              </w:rPr>
              <w:t>/pair</w:t>
            </w:r>
            <w:r>
              <w:rPr>
                <w:rFonts w:ascii="Times New Roman" w:hAnsi="Times New Roman" w:eastAsia="바탕"/>
                <w:sz w:val="20"/>
              </w:rPr>
              <w:t>) were opened at 375 pixels wide and 178 controls counted. No unnamed controls, no horizontal scrolling, and one control below 24 pixels.</w:t>
            </w:r>
          </w:p>
          <w:p>
            <w:pPr>
              <w:spacing w:after="80" w:line="276" w:lineRule="auto"/>
              <w:jc w:val="both"/>
            </w:pPr>
            <w:r>
              <w:rPr>
                <w:rFonts w:ascii="Times New Roman" w:hAnsi="Times New Roman" w:eastAsia="바탕"/>
                <w:sz w:val="20"/>
              </w:rPr>
              <w:t xml:space="preserve">That the list changed once should be recorded. Nine screens were measured at first, </w:t>
            </w:r>
            <w:r>
              <w:rPr>
                <w:rFonts w:ascii="Consolas" w:hAnsi="Consolas" w:eastAsia="Consolas"/>
                <w:sz w:val="19"/>
              </w:rPr>
              <w:t>/onboarding</w:t>
            </w:r>
            <w:r>
              <w:rPr>
                <w:rFonts w:ascii="Times New Roman" w:hAnsi="Times New Roman" w:eastAsia="바탕"/>
                <w:sz w:val="20"/>
              </w:rPr>
              <w:t xml:space="preserve"> among them, and that address disappeared when the five guide cards were removed (§3.2). The sweep did not report this and was measuring a 404 page. The removed screen was taken out of the list and five screens built since were added, making thirteen.</w:t>
            </w:r>
          </w:p>
          <w:p>
            <w:pPr>
              <w:spacing w:after="80" w:line="276" w:lineRule="auto"/>
              <w:jc w:val="both"/>
            </w:pPr>
            <w:r>
              <w:rPr>
                <w:rFonts w:ascii="Times New Roman" w:hAnsi="Times New Roman" w:eastAsia="바탕"/>
                <w:sz w:val="20"/>
              </w:rPr>
              <w:t xml:space="preserve">One false positive from the sweep itself was fixed too. Two unnamed controls were reported on </w:t>
            </w:r>
            <w:r>
              <w:rPr>
                <w:rFonts w:ascii="Consolas" w:hAnsi="Consolas" w:eastAsia="Consolas"/>
                <w:sz w:val="19"/>
              </w:rPr>
              <w:t>/device</w:t>
            </w:r>
            <w:r>
              <w:rPr>
                <w:rFonts w:ascii="Times New Roman" w:hAnsi="Times New Roman" w:eastAsia="바탕"/>
                <w:sz w:val="20"/>
              </w:rPr>
              <w:t xml:space="preserve">, and both were links inside a collapsed </w:t>
            </w:r>
            <w:r>
              <w:rPr>
                <w:rFonts w:ascii="Consolas" w:hAnsi="Consolas" w:eastAsia="Consolas"/>
                <w:sz w:val="19"/>
              </w:rPr>
              <w:t>&lt;details&gt;</w:t>
            </w:r>
            <w:r>
              <w:rPr>
                <w:rFonts w:ascii="Times New Roman" w:hAnsi="Times New Roman" w:eastAsia="바탕"/>
                <w:sz w:val="20"/>
              </w:rPr>
              <w:t xml:space="preserve">. While collapsed, </w:t>
            </w:r>
            <w:r>
              <w:rPr>
                <w:rFonts w:ascii="Consolas" w:hAnsi="Consolas" w:eastAsia="Consolas"/>
                <w:sz w:val="19"/>
              </w:rPr>
              <w:t>innerText</w:t>
            </w:r>
            <w:r>
              <w:rPr>
                <w:rFonts w:ascii="Times New Roman" w:hAnsi="Times New Roman" w:eastAsia="바탕"/>
                <w:sz w:val="20"/>
              </w:rPr>
              <w:t xml:space="preserve"> is empty so they look unnamed, but they are links with text on them, and while collapsed they reach neither the screen nor assistive technology, so they were never something to measure. The sweep was changed to skip inside a collapsed </w:t>
            </w:r>
            <w:r>
              <w:rPr>
                <w:rFonts w:ascii="Consolas" w:hAnsi="Consolas" w:eastAsia="Consolas"/>
                <w:sz w:val="19"/>
              </w:rPr>
              <w:t>&lt;details&gt;</w:t>
            </w:r>
            <w:r>
              <w:rPr>
                <w:rFonts w:ascii="Times New Roman" w:hAnsi="Times New Roman" w:eastAsia="바탕"/>
                <w:sz w:val="20"/>
              </w:rPr>
              <w:t>. As has happened several times elsewhere in this document, a check whose subject is not verified manufactures a defect that is not there.</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The icons on screen are a matter for this section as well. Emoji were used at first and all of them were replaced with drawings of our own. Emoji are not drawn by us, so they look different on every device, and the same pill emoji reads as a different object on Android and on iOS. Their size and optical weight are not ours to set, and placed side by side they put a row of things drawn by different hands on one line.</w:t>
            </w:r>
          </w:p>
          <w:p>
            <w:pPr>
              <w:spacing w:after="80" w:line="276" w:lineRule="auto"/>
              <w:jc w:val="both"/>
            </w:pPr>
            <w:r>
              <w:rPr>
                <w:rFonts w:ascii="Times New Roman" w:hAnsi="Times New Roman" w:eastAsia="바탕"/>
                <w:sz w:val="20"/>
              </w:rPr>
              <w:t>What was settled in replacing them was the filled silhouette, and the grounds for that choice are the argument of this section. A filled circle of radius 29 is 2,629 pixels, while an outlined triangle in the same place is 1,127. Only that difference in mass, more than twofold, survives across a room and remains for someone who cannot tell the colours apart. The thin-line icons now common are the opposite case, because a line is the first thing to go as things get smaller. The device screen already uses the same grammar, so an app that follows it puts box and app in one language.</w:t>
            </w:r>
          </w:p>
          <w:p>
            <w:pPr>
              <w:spacing w:after="80" w:line="276" w:lineRule="auto"/>
              <w:jc w:val="both"/>
            </w:pPr>
            <w:r>
              <w:rPr>
                <w:rFonts w:ascii="Times New Roman" w:hAnsi="Times New Roman" w:eastAsia="바탕"/>
                <w:sz w:val="20"/>
              </w:rPr>
              <w:t xml:space="preserve">There are four rules for drawing. Coordinates are placed only on a 24 grid, </w:t>
            </w:r>
            <w:r>
              <w:rPr>
                <w:rFonts w:ascii="Consolas" w:hAnsi="Consolas" w:eastAsia="Consolas"/>
                <w:sz w:val="19"/>
              </w:rPr>
              <w:t>stroke</w:t>
            </w:r>
            <w:r>
              <w:rPr>
                <w:rFonts w:ascii="Times New Roman" w:hAnsi="Times New Roman" w:eastAsia="바탕"/>
                <w:sz w:val="20"/>
              </w:rPr>
              <w:t xml:space="preserve"> is not used, colour is </w:t>
            </w:r>
            <w:r>
              <w:rPr>
                <w:rFonts w:ascii="Consolas" w:hAnsi="Consolas" w:eastAsia="Consolas"/>
                <w:sz w:val="19"/>
              </w:rPr>
              <w:t>currentColor</w:t>
            </w:r>
            <w:r>
              <w:rPr>
                <w:rFonts w:ascii="Times New Roman" w:hAnsi="Times New Roman" w:eastAsia="바탕"/>
                <w:sz w:val="20"/>
              </w:rPr>
              <w:t xml:space="preserve"> alone, and holes are cut with </w:t>
            </w:r>
            <w:r>
              <w:rPr>
                <w:rFonts w:ascii="Consolas" w:hAnsi="Consolas" w:eastAsia="Consolas"/>
                <w:sz w:val="19"/>
              </w:rPr>
              <w:t>evenodd</w:t>
            </w:r>
            <w:r>
              <w:rPr>
                <w:rFonts w:ascii="Times New Roman" w:hAnsi="Times New Roman" w:eastAsia="바탕"/>
                <w:sz w:val="20"/>
              </w:rPr>
              <w:t>. The second and third join up with other decisions in this app. In an app that changes text size across five steps, wobble in line weight is actually visible, and a colour baked into each drawing leaves the drawings in daylight when the palette goes dark.</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broadened target of §1.13 lacks,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The medication routine and the last four weeks. The card at the top is what is currently set; in the calendar one day is one cell and one bar inside a cell is one dose. A filled bar was taken, an outlined one missed. The bars below are the adherence rate per medicine, and the sentence at the bottom puts the same thing into words. Below the red line, scrolling is required.</w:t>
            </w:r>
          </w:p>
          <w:p>
            <w:pPr>
              <w:spacing w:after="80" w:line="276" w:lineRule="auto"/>
              <w:jc w:val="both"/>
            </w:pPr>
            <w:r>
              <w:rPr>
                <w:rFonts w:ascii="Times New Roman" w:hAnsi="Times New Roman" w:eastAsia="바탕"/>
                <w:sz w:val="20"/>
              </w:rPr>
              <w:t>The screen says one more sentence at the end: that of eighty-three doses ten were missed, and the time most often missed was seven in the evening. It was said above that a vertical column in the calendar comes to mean something, and what is read from that column the screen also sends out in words. The three layers of §2.1, where speech remains for someone who could not read the picture, appear on this screen in that form.</w:t>
            </w:r>
          </w:p>
          <w:p>
            <w:pPr>
              <w:spacing w:after="80" w:line="276" w:lineRule="auto"/>
              <w:jc w:val="both"/>
            </w:pPr>
            <w:r>
              <w:rPr>
                <w:rFonts w:ascii="Times New Roman" w:hAnsi="Times New Roman" w:eastAsia="바탕"/>
                <w:sz w:val="20"/>
              </w:rPr>
              <w:t>The limits of this screen are written by the screen itself. The bottom line says that this count comes from the pill box alone and that medicines taken without it are not in the number. The counting is deliberately narrow. What reaches this calendar is only the doses a paired box reported. When the box offered a tray and nobody pressed, that arrives as missed; when someone pressed, it arrives as taken. Records a person left by photographing are not in this number, and not because they cannot be counted but because they must not be. A hand-left record says only that a dose was taken and never that one was missed, since nobody opens the app on the day they skip. Put those in the denominator and adherence is always 100%. So for a user without a box this calendar is empty, and it is drawn not at all rather than shown as 0%. Were that limit written only in this document and hidden on the screen, users would read their own adherence as lower than it is. So it is written on the screen, and the same item is also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pass · 0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pass · 88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4 August 2026. The previous version had a single web-app failure here, and how it was fixed is left below as it stands.</w:t>
            </w:r>
          </w:p>
          <w:p>
            <w:pPr>
              <w:spacing w:after="80" w:line="276" w:lineRule="auto"/>
              <w:jc w:val="both"/>
            </w:pPr>
            <w:r>
              <w:rPr>
                <w:rFonts w:ascii="Times New Roman" w:hAnsi="Times New Roman" w:eastAsia="바탕"/>
                <w:sz w:val="20"/>
              </w:rPr>
              <w:t xml:space="preserve">What failed was </w:t>
            </w:r>
            <w:r>
              <w:rPr>
                <w:rFonts w:ascii="Consolas" w:hAnsi="Consolas" w:eastAsia="Consolas"/>
                <w:sz w:val="19"/>
              </w:rPr>
              <w:t>pill_dispenser/webapp_kit/tests/kit.test.ts</w:t>
            </w:r>
            <w:r>
              <w:rPr>
                <w:rFonts w:ascii="Times New Roman" w:hAnsi="Times New Roman" w:eastAsia="바탕"/>
                <w:sz w:val="20"/>
              </w:rPr>
              <w:t xml:space="preserve">, and the cause lay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was set down because something heavier than one failure rode along with it. Since the file never loaded, </w:t>
            </w:r>
            <w:r>
              <w:rPr>
                <w:rFonts w:ascii="Times New Roman" w:hAnsi="Times New Roman" w:eastAsia="바탕"/>
                <w:b/>
                <w:sz w:val="20"/>
              </w:rPr>
              <w:t>not one</w:t>
            </w:r>
            <w:r>
              <w:rPr>
                <w:rFonts w:ascii="Times New Roman" w:hAnsi="Times New Roman" w:eastAsia="바탕"/>
                <w:sz w:val="20"/>
              </w:rPr>
              <w:t xml:space="preserve"> of the tests inside it ran. The total at that time did not count that file's tests, so what looked like a single failure was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This passage is kept rather than deleted because how it ended attaches here. Replacing the constructor parameter property with a declared and assigned field made the file load, and the 30 tests inside came back and all passed. We ran them to check. The 589 in the table above includes those 30. Because the failure was written down, its fix can be written down too, and this document has now met twice the case of a test that looked green while being empty, and written it down both times.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twenty-five tests quietly disappeared, because three files stop at an import of </w:t>
            </w:r>
            <w:r>
              <w:rPr>
                <w:rFonts w:ascii="Consolas" w:hAnsi="Consolas" w:eastAsia="Consolas"/>
                <w:sz w:val="19"/>
              </w:rPr>
              <w:t>zustand</w:t>
            </w:r>
            <w:r>
              <w:rPr>
                <w:rFonts w:ascii="Times New Roman" w:hAnsi="Times New Roman" w:eastAsia="바탕"/>
                <w:sz w:val="20"/>
              </w:rPr>
              <w:t>. That measurement was taken when the total was lower than it is now and has not been repeated since, so this document does not know how many disappear today. Only the fact that they disappear, and the reason, are unchanged.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after="80" w:line="276" w:lineRule="auto"/>
              <w:jc w:val="both"/>
            </w:pPr>
            <w:r>
              <w:rPr>
                <w:rFonts w:ascii="Times New Roman" w:hAnsi="Times New Roman" w:eastAsia="바탕"/>
                <w:sz w:val="20"/>
              </w:rPr>
              <w:t>What was asked about should be stated here as well. §1.13 sets out eleven conditions as the target of this app, and what this survey asked about is not all of them but the condition taken as the design standard, namely a person who cannot read. We did not ask how these screens would be for someone with attention deficit hyperactivity disorder or autism. One harshest condition was fixed and the questions were about that condition, and if the containment of §1.13 holds then those answers reach some way into the other conditions, but how far they reach is not something this survey measured.</w:t>
            </w:r>
          </w:p>
          <w:p>
            <w:pPr>
              <w:spacing w:after="80" w:line="276" w:lineRule="auto"/>
              <w:jc w:val="both"/>
            </w:pPr>
            <w:r>
              <w:rPr>
                <w:rFonts w:ascii="Times New Roman" w:hAnsi="Times New Roman" w:eastAsia="바탕"/>
                <w:sz w:val="20"/>
              </w:rPr>
              <w:t>The list was not drawn on that one condition alone, though. Two of the eight fields in Table 43 are AAC and special education, and adult literacy education, and among the 39 who actually responded, E. A. Draffan, retired speech and language therapist and visiting fellow in accessibility at Global Symbols and the University of Southampton; Raisa Kravchenko, Deputy Director of the All Ukrainian NGO Coalition for Persons with Intellectual Disabilities; Professor Youngmee Lee of the Department of Communication Disorders at Ewha Womans University; Professor Eunkyung Kim of Kongju National University; and Myojeong Choi, Researcher, and Kyoungseo Park, Assistant Manager, of the Korea Disabled People's Development Institute all hold posts that deal with intellectual disability, autism and communication disorders. Associate Professor Rahul Malhotra of Duke-NUS is a researcher on ageing. What they answered were questions about low-literacy users, but the people who wrote those answers already overlap with the conditions §1.13 widened to.</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43.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171537"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171537"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before the survey to 589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percentage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3.9</w:t>
                  </w:r>
                  <w:r>
                    <w:rPr>
                      <w:rFonts w:ascii="Times New Roman" w:hAnsi="Times New Roman" w:eastAsia="바탕"/>
                      <w:sz w:val="18"/>
                    </w:rPr>
                    <w:t xml:space="preserve"> Reduce deaths and illnesses from hazardous substances</w:t>
                  </w:r>
                </w:p>
              </w:tc>
              <w:tc>
                <w:tcPr>
                  <w:tcW w:type="dxa" w:w="4857"/>
                </w:tcPr>
                <w:p>
                  <w:r>
                    <w:rPr>
                      <w:rFonts w:ascii="Times New Roman" w:hAnsi="Times New Roman" w:eastAsia="바탕"/>
                      <w:sz w:val="18"/>
                    </w:rPr>
                    <w:t>Dose and dose time are conveyed by picture, which reduces wrong amounts, and a paired box keeps the medicine inside and releases it only within a dose window. We have measured nothing against this target, however</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Only 3.9 in that table is of a different character, so it is dealt with first. Indicator 3.9.3 of that target is the mortality rate attributed to unintentional poisoning, and overdosing on medicines falls within it. There are two routes by which this app reaches that place, and both are indirect. One is that the single dose and the dose time are conveyed as pictures rather than letters, which reduces wrong amounts (§2.2). The other is that a paired box keeps the medicine inside and releases it only within a dose window (§4.3). What we did not do belongs here as well. No child lock was built, and there is no morpheme in the set meaning keep out of reach of children. And for this target there is no measured figure of the kind §5.1 produced. This row states a direction of contribution rather than a measured one.</w:t>
            </w: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47]</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after="80" w:line="276" w:lineRule="auto"/>
              <w:jc w:val="both"/>
            </w:pPr>
            <w:r>
              <w:rPr>
                <w:rFonts w:ascii="Times New Roman" w:hAnsi="Times New Roman" w:eastAsia="바탕"/>
                <w:sz w:val="20"/>
              </w:rPr>
              <w:t>Thirteenth, nothing was measured under the widened conditions. §1.13 sets out eleven conditions as the target of this app, and four of them rest on a shared mechanism alone: dyslexia, Alzheimer's disease and memory disorders, autism and intellectual disability, and misuse by children. We have never had a person with those conditions use this app, and the expert survey of §5.7 asked about the single condition taken as the design standard. A shared mechanism speaks to the possibility that the same screen works, not to its having worked. What makes this different in kind from the twelve items above is that it is not something we failed to measure but the scope we have newly claimed. The claim widened, so what has to be measured widened with it, and it has not been measured yet.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What stage 6 would measure belongs here as well. The direct approach is to compare medication-taking over four weeks with and without this app, and that requires a control group, a period and ethical review, so it is out of our reach. What we can do is give one task and measure whether it was carried through and how long it took: photograph one prescription and say what is to be taken today, at what time and how many, which is the same kind of measurement the studies cited in §1.10 used. What such a measurement measures is whether the screen arrived, not whether the person took the medicine, and that distinction is the same one set down at the head of §5.7.</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Use testing under the widened conditions</w:t>
                  </w:r>
                </w:p>
              </w:tc>
              <w:tc>
                <w:tcPr>
                  <w:tcW w:type="dxa" w:w="3238"/>
                </w:tcPr>
                <w:p>
                  <w:r>
                    <w:rPr>
                      <w:rFonts w:ascii="Times New Roman" w:hAnsi="Times New Roman" w:eastAsia="바탕"/>
                      <w:sz w:val="18"/>
                    </w:rPr>
                    <w:t>Answers the four conditions in Table 7 of §1.13 and the thirteenth item of §5.9. The first question is whether the routine screen of §3.9 in fact works for users carrying a load on executive function</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2026-08-04T10:40:21Z</dcterms:modified>
  <cp:contentStatus>src:03c5f405a9f4</cp:contentStatus>
</cp:coreProperties>
</file>