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dispenser's lock and dispensing control (§4.3)</w:t>
                  </w:r>
                </w:p>
              </w:tc>
              <w:tc>
                <w:tcPr>
                  <w:tcW w:type="dxa" w:w="2441"/>
                </w:tcPr>
                <w:p>
                  <w:r>
                    <w:rPr>
                      <w:rFonts w:ascii="Times New Roman" w:hAnsi="Times New Roman" w:eastAsia="바탕"/>
                      <w:sz w:val="18"/>
                    </w:rPr>
                    <w:t>SDG 3.9 · §5.8</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Four conditions have data we checked at source; four have only a shared mechanism.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23]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24]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25]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26]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26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26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26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27]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27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28]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29]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30]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31]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32]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33]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34]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35]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36]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37]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38]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39]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40]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41]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42]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43]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44]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45]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46]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47]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30).</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47,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48]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49]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42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2026-08-04T07:27:29Z</dcterms:modified>
</cp:coreProperties>
</file>