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three kinds in Table 12 are the ones the user is asked about. A fourth exists in the data model and is never asked: conditions a person cannot know of themselves, which surface only once meal records accumulate, and which are kept off the self-report list altogether. What sits there at present is soy and sesame. The reason those two were chosen is the argument of §1.5. Without ever having been tested, there is no way to know one reacts to them, and asking returns "no".</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 Three is the number of servos fitted to the machine we built; the firmware reserves pins for eight layers and the paper form accepts eight as well, so plugging a fourth servo into the pin already reserved for it is the whole job, with no configuration to edit.</w:t>
            </w:r>
          </w:p>
          <w:p>
            <w:pPr>
              <w:spacing w:after="80" w:line="276" w:lineRule="auto"/>
              <w:jc w:val="both"/>
            </w:pPr>
            <w:r>
              <w:rPr>
                <w:rFonts w:ascii="Times New Roman" w:hAnsi="Times New Roman" w:eastAsia="바탕"/>
                <w:sz w:val="20"/>
              </w:rPr>
              <w:t xml:space="preserve">The risk that comes with it is written down by the firmware itself, so it is carried across here. An SG90 servo reports nothing, so the machine has no way of knowing whether a hopper is fitted in a given position. Accepting all eight therefore means accepting a schedule that names a tray which does not exist, and that dose is then never dispensed while raising no error at all: no jam, no indication, a machine that looks perfectly healthy. Recording the number actually fitted in </w:t>
            </w:r>
            <w:r>
              <w:rPr>
                <w:rFonts w:ascii="Consolas" w:hAnsi="Consolas" w:eastAsia="Consolas"/>
                <w:sz w:val="19"/>
              </w:rPr>
              <w:t>SNAPCARE_TRAYS</w:t>
            </w:r>
            <w:r>
              <w:rPr>
                <w:rFonts w:ascii="Times New Roman" w:hAnsi="Times New Roman" w:eastAsia="바탕"/>
                <w:sz w:val="20"/>
              </w:rPr>
              <w:t xml:space="preserve"> blocks such a schedule at the point where it is accepted, and the machine this document measures has three.</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r>
              <w:tc>
                <w:tcPr>
                  <w:tcW w:type="dxa" w:w="3238"/>
                </w:tcPr>
                <w:p>
                  <w:r>
                    <w:rPr>
                      <w:rFonts w:ascii="Times New Roman" w:hAnsi="Times New Roman" w:eastAsia="바탕"/>
                      <w:sz w:val="18"/>
                    </w:rPr>
                    <w:t>A handwritten prescription</w:t>
                  </w:r>
                </w:p>
              </w:tc>
              <w:tc>
                <w:tcPr>
                  <w:tcW w:type="dxa" w:w="3238"/>
                </w:tcPr>
                <w:p>
                  <w:r>
                    <w:rPr>
                      <w:rFonts w:ascii="Times New Roman" w:hAnsi="Times New Roman" w:eastAsia="바탕"/>
                      <w:sz w:val="18"/>
                    </w:rPr>
                    <w:t>Recognition judges the sheet to be handwritten</w:t>
                  </w:r>
                </w:p>
              </w:tc>
              <w:tc>
                <w:tcPr>
                  <w:tcW w:type="dxa" w:w="3238"/>
                </w:tcPr>
                <w:p>
                  <w:r>
                    <w:rPr>
                      <w:rFonts w:ascii="Times New Roman" w:hAnsi="Times New Roman" w:eastAsia="바탕"/>
                      <w:sz w:val="18"/>
                    </w:rPr>
                    <w:t>Caution. Green never lights</w:t>
                  </w:r>
                </w:p>
              </w:tc>
            </w:tr>
          </w:tbl>
          <w:p/>
          <w:p>
            <w:pPr>
              <w:spacing w:after="120"/>
            </w:pPr>
          </w:p>
          <w:p>
            <w:pPr>
              <w:spacing w:after="80" w:line="276" w:lineRule="auto"/>
              <w:jc w:val="both"/>
            </w:pPr>
            <w:r>
              <w:rPr>
                <w:rFonts w:ascii="Times New Roman" w:hAnsi="Times New Roman" w:eastAsia="바탕"/>
                <w:sz w:val="20"/>
              </w:rPr>
              <w:t>The fifth row came out of a point raised in §5.7. Told that it would not work on a handwritten prescription, we put a real one in and found that it did not fail to work but worked wrongly, with green lit on top of it. What this row does is erase the confidence rather than what was read. The account is in §5.7.</w:t>
            </w: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Three trays fitted, eight layers reserved in firmware</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2026-08-04T10:45:44Z</dcterms:modified>
  <cp:contentStatus>src:74b12d9f42ff</cp:contentStatus>
</cp:coreProperties>
</file>