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adults with low literacy and older adults who cannot read, or read only with difficulty, can take their medicine and choose their food on their own. Worldwide 739 million adults lack basic literacy skills and even across 31 developed countries 18% of adults fall below the most elementary level, and these people are cut off from the content of a prescription from the moment they receive it, which exposes them to dosing errors, treatment failure and antibiotic resistance.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We record here that the experts we asked answered in a direction that cuts against this statistic. Of the 35 respondents in §5.7, 15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pooling data from 18 countries, wrote that at least one third show low health literacy,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We checked whether the same distribution appears in another country and another period. A meta-analysis pooling 36 studies (6,238 participants) of medication errors by Iranian nurses put the top two error types at wrong timing, 27.3% (95% CI 19–36), and wrong dose, 26.4% (95% CI 20–33)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The top two are the same as those observed in one Brazilian hospital in 2007.</w:t>
            </w:r>
          </w:p>
          <w:p>
            <w:pPr>
              <w:spacing w:after="80" w:line="276" w:lineRule="auto"/>
              <w:jc w:val="both"/>
            </w:pPr>
            <w:r>
              <w:rPr>
                <w:rFonts w:ascii="Times New Roman" w:hAnsi="Times New Roman" w:eastAsia="바탕"/>
                <w:sz w:val="20"/>
              </w:rPr>
              <w:t>Two cautions belong beside that pairing. First, the stages differ: the earlier figures are errors pharmacists made while dispensing, the later ones errors nurses made while administering. Neither is an error a patient makes at home, and §1.4 takes up that gap separately. Second, heterogeneity in the Iranian data is very high (I² = 91–96). The values should not be carried across; only the recurrence of the ordering should be read from them.</w:t>
            </w:r>
          </w:p>
          <w:p>
            <w:pPr>
              <w:spacing w:after="80" w:line="276" w:lineRule="auto"/>
              <w:jc w:val="both"/>
            </w:pPr>
            <w:r>
              <w:rPr>
                <w:rFonts w:ascii="Times New Roman" w:hAnsi="Times New Roman" w:eastAsia="바탕"/>
                <w:sz w:val="20"/>
              </w:rPr>
              <w:t>There is a reason this section needs that recurrence even so. We designed the morpheme set to match this distribution (Table 8), and if the distribution had been an accident of one hospital in one year, the grounds for that design would fall away. That the top two are the same across seventeen years and two continents reduces the accident.</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 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There are figures for the United States on its own. Avoidable health care costs arising from medication non-adherence are estimated at 100 to 300 billion dollars a year, which is 3% to 10% of total US health care spending. About 10% of hospitalisations among older adults may be attributed to non-adherence, and the majority of the costs attributed to non-adherence come from hospitalisations that could have been avoided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Three corrections made while carrying these figures over are set down here. We had taken them from a hospital's public-information page and written "100 billion in direct costs and as much as 300 billion including indirect costs", whereas the source does not divide direct from indirect and gives a range of avoidable costs. What we wrote as "at least 10% of hospitalisations" is limited in the source to hospitalisations among older adults. And the "roughly 125,000 deaths a year" we had beside them is not in this paper's abstract, so it is removed: it is a widely quoted number, but we could not confirm it at a primary source.</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421 preventable errors arose in, prescribing accounts for 58.4% and monitoring for 60.8%, alongside </w:t>
            </w:r>
            <w:r>
              <w:rPr>
                <w:rFonts w:ascii="Times New Roman" w:hAnsi="Times New Roman" w:eastAsia="바탕"/>
                <w:b/>
                <w:sz w:val="20"/>
              </w:rPr>
              <w:t>21.1% at the patient adherence stage</w:t>
            </w:r>
            <w:r>
              <w:rPr>
                <w:rFonts w:ascii="Times New Roman" w:hAnsi="Times New Roman" w:eastAsia="바탕"/>
                <w:sz w:val="20"/>
              </w:rPr>
              <w:t xml:space="preserv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Being a migrant sample, it cannot be transferred directly to the population inside Moldova. What we take from this study is not the figures but </w:t>
            </w:r>
            <w:r>
              <w:rPr>
                <w:rFonts w:ascii="Times New Roman" w:hAnsi="Times New Roman" w:eastAsia="바탕"/>
                <w:b/>
                <w:sz w:val="20"/>
              </w:rPr>
              <w:t>the relationship, that health literacy is in fact linked to primary care use</w:t>
            </w:r>
            <w:r>
              <w:rPr>
                <w:rFonts w:ascii="Times New Roman" w:hAnsi="Times New Roman" w:eastAsia="바탕"/>
                <w:sz w:val="20"/>
              </w:rPr>
              <w:t>, and confirming that relationship in Moldova itself belongs to the field evaluation in §5.9.</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Filipino adults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The study tested 10 pictograms on 90 people in South Africa; mean comprehension was 7.9 ± 1.8 out of 10, the correlation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and the association with health literacy </w:t>
            </w:r>
            <w:r>
              <w:rPr>
                <w:rFonts w:ascii="Times New Roman" w:hAnsi="Times New Roman" w:eastAsia="바탕"/>
                <w:i/>
                <w:sz w:val="20"/>
              </w:rPr>
              <w:t>p</w:t>
            </w:r>
            <w:r>
              <w:rPr>
                <w:rFonts w:ascii="Times New Roman" w:hAnsi="Times New Roman" w:eastAsia="바탕"/>
                <w:sz w:val="20"/>
              </w:rPr>
              <w:t xml:space="preserve"> = 0.002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There was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and non-adherence fell from 38.0% to 9.3%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dividing 60 low-literate adults with seven years of schooling or less into control and experimental groups,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to 5.4%). Pictures work better with speech than alone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And making them does not mean making them well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 xml:space="preserve">The most widely used pharmaceutical pictogram standard at present is the 81-symbol set from the United States Pharmacopeia (USP). It is organised into three categories, mandatory (square), prohibition (circle with slash) and warning (inverted triangle), and USP distributes it free in GIF and EPS form (U.S. Pharmacopeia, </w:t>
            </w:r>
            <w:r>
              <w:rPr>
                <w:rFonts w:ascii="Times New Roman" w:hAnsi="Times New Roman" w:eastAsia="바탕"/>
                <w:i/>
                <w:sz w:val="20"/>
              </w:rPr>
              <w:t>USP Pictograms</w:t>
            </w:r>
            <w:r>
              <w:rPr>
                <w:rFonts w:ascii="Times New Roman" w:hAnsi="Times New Roman" w:eastAsia="바탕"/>
                <w:sz w:val="20"/>
              </w:rPr>
              <w:t>, https://www.usp.org/health-quality-safety/usp-pictograms).</w:t>
            </w:r>
          </w:p>
          <w:p>
            <w:pPr>
              <w:spacing w:after="80" w:line="276" w:lineRule="auto"/>
              <w:jc w:val="both"/>
            </w:pPr>
            <w:r>
              <w:rPr>
                <w:rFonts w:ascii="Times New Roman" w:hAnsi="Times New Roman" w:eastAsia="바탕"/>
                <w:sz w:val="20"/>
              </w:rPr>
              <w:t>How the set arrived at its present 81 we could not confirm at a primary source. Several secondary works record a start in the 1980s and the present count reached during the 1990s, but we could not open the originals, so no years are given here. The argument of this section is not when the set was made but that it does not compose, and the grounds for that are the licence conditions below.</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USP grants free use subject to four conditions: that, because of the potential for misinterpretation, the pictograms are not used as the sole means of conveying information to the patient; that they are not modified or used together with symbols USP did not develop without USP's permission; that only the latest versions are used, because the pictograms are subject to change; and that a notice of USP copyright accompanies them. USP also reserves the right to withdraw permission where it judges the pictograms to be used inappropriately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The second of those conditions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all ten succeeded with liquids and eight of ten with amorphous foods, but </w:t>
            </w:r>
            <w:r>
              <w:rPr>
                <w:rFonts w:ascii="Times New Roman" w:hAnsi="Times New Roman" w:eastAsia="바탕"/>
                <w:b/>
                <w:sz w:val="20"/>
              </w:rPr>
              <w:t>not one succeeded on the screen for measuring solid food.</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 xml:space="preserve">Work from another group belongs here too. A study built a multimedia patient-reported outcomes measure for low-literacy patients through human-centred design, with 17 adults (12 patients, 3 caregivers, 2 clinic staff), 46% of whom scored as low literacy on REALM-SF. Six features went in: audio narration on every question, animations showing the task being asked about, icons that switch the multimedia on and off, gender-neutral and ethnically diverse avatars, a progress indicator, and an illustrated response scale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That study parts from us at two points. First, the authors divided users by literacy into three (non-literate, slow reader, literate). It is the same kind of judgement Associate Professor Hangil Lee asked for in §1.5 when he separated total blindness, low vision and low literacy, and we designed for those three as one. Second, the authors made the multimedia switchable by icon, so that higher-literacy users pass it by and only lower-literacy users receive it, whereas this app sends the speech to everyone (§3.5). Which is right, neither that study nor ours settled by asking people.</w:t>
            </w:r>
          </w:p>
          <w:p>
            <w:pPr>
              <w:spacing w:after="80" w:line="276" w:lineRule="auto"/>
              <w:jc w:val="both"/>
            </w:pPr>
            <w:r>
              <w:rPr>
                <w:rFonts w:ascii="Times New Roman" w:hAnsi="Times New Roman" w:eastAsia="바탕"/>
                <w:sz w:val="20"/>
              </w:rPr>
              <w:t>What the same literature records about icons is set down as well: icons are often semantically opaque to low-literacy users, abstract symbols in particular fail to cross cultural and literacy barriers, and users prefer concrete, photorealistic representations to stylised glyphs. The last of those runs directly against our design. The set in §2.2 is a black-and-white silhouette, chosen so that it survives at 32 pixels (§5.2). Surviving and being preferred may not point the same way, and that divergence is an item for the field evaluation of §5.10.</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of 108 pharmaceutical pictograms actually produced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Two of the five on the left are drawn with a heavier border: the cost of the problem and the channel that is already open. The first is the reason to take the problem on, the second the reason it can be taken on now. The red line beneath it is what this section is careful about.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15 of 35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28"/>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seven entries to the other's five, and not shortening it is this chapter's method. Two rows on the right are heavy. That the centre of gravity of harm sits at the prescribing stage names the place this app does not intervene, and §1.4 records why we chose the patient stage even so. The last row aims at the form of our own set: low-literacy users are observed to prefer photorealistic images to silhouettes, whereas we chose a black-and-white silhouette so that it survives at 32 pixels (§5.2). Surviving and being preferred may not point the same way. The reason for setting the evidence out this way is that collecting only the favourable half would mean doing to the literature what §5.2 refuses to do to the morphemes.</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p>
            <w:pPr>
              <w:spacing w:before="180" w:after="40"/>
            </w:pPr>
            <w:r>
              <w:rPr>
                <w:rFonts w:ascii="Times New Roman" w:hAnsi="Times New Roman" w:eastAsia="바탕"/>
                <w:b/>
                <w:sz w:val="23"/>
              </w:rPr>
              <w:t>1.12 How this problem looks in our own two countries</w:t>
            </w:r>
          </w:p>
          <w:p>
            <w:pPr>
              <w:spacing w:after="80" w:line="276" w:lineRule="auto"/>
              <w:jc w:val="both"/>
            </w:pPr>
            <w:r>
              <w:rPr>
                <w:rFonts w:ascii="Times New Roman" w:hAnsi="Times New Roman" w:eastAsia="바탕"/>
                <w:sz w:val="20"/>
              </w:rPr>
              <w:t>The five strands above were counted against the world. This team comes from Korea and Moldova, so they are read again against those two countries, and because the contest form asks how the problem bears on our own school and community.</w:t>
            </w:r>
          </w:p>
          <w:p>
            <w:pPr>
              <w:spacing w:after="80" w:line="276" w:lineRule="auto"/>
              <w:jc w:val="both"/>
            </w:pPr>
            <w:r>
              <w:rPr>
                <w:rFonts w:ascii="Times New Roman" w:hAnsi="Times New Roman" w:eastAsia="바탕"/>
                <w:sz w:val="20"/>
              </w:rPr>
              <w:t>In Korea what characterises this problem is not its size but its invisibility. Adult literacy is effectively close to 100%, so the phrase "people who cannot read" does not land. Yet the Korea Disease Control and Prevention Agency data cited in §1.2 says 39.6% of adults do not have sufficient health literacy, and 59.7% among those aged 65 and over. The distance between reading letters and understanding a dosing instruction opens that wide inside a single country.</w:t>
            </w:r>
          </w:p>
          <w:p>
            <w:pPr>
              <w:spacing w:after="80" w:line="276" w:lineRule="auto"/>
              <w:jc w:val="both"/>
            </w:pPr>
            <w:r>
              <w:rPr>
                <w:rFonts w:ascii="Times New Roman" w:hAnsi="Times New Roman" w:eastAsia="바탕"/>
                <w:sz w:val="20"/>
              </w:rPr>
              <w:t>Our own survey produced the evidence that it goes unseen. Of the 35 respondents in §5.7, 15 answered that they almost never meet such a patient. One wrote:</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We take that answer as counter-evidence. If national statistics say 39.6% while nearly half of practitioners say they do not meet them, one of the two does not mean there is no problem; it means the problem does not surface in the consulting room. That people who cannot read do not say so is something the prior work cited in §1.10 already observed, and our survey showed it again.</w:t>
            </w:r>
          </w:p>
          <w:p>
            <w:pPr>
              <w:spacing w:after="80" w:line="276" w:lineRule="auto"/>
              <w:jc w:val="both"/>
            </w:pPr>
            <w:r>
              <w:rPr>
                <w:rFonts w:ascii="Times New Roman" w:hAnsi="Times New Roman" w:eastAsia="바탕"/>
                <w:sz w:val="20"/>
              </w:rPr>
              <w:t xml:space="preserve">In Moldova the shape is different. The population is projected to fall by 31% by 2060, the median age to rise from 38 to 47, and the share of older people to more than double to 27%. The disease burden is concentrated in noncommunicable disease, and between 2008 and 2015 diabetes prevalence rose 75% and circulatory disease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It is a country where the number of people taking several medicines over a long period is rising fast, and with it the number handling those medicines alone at home.</w:t>
            </w:r>
          </w:p>
          <w:p>
            <w:pPr>
              <w:spacing w:after="80" w:line="276" w:lineRule="auto"/>
              <w:jc w:val="both"/>
            </w:pPr>
            <w:r>
              <w:rPr>
                <w:rFonts w:ascii="Times New Roman" w:hAnsi="Times New Roman" w:eastAsia="바탕"/>
                <w:sz w:val="20"/>
              </w:rPr>
              <w:t>Placed side by side, the two make the target of this app plain. In Korea it is a problem that exists but is not seen; in Moldova it is a problem that is going to grow. The first needs a route that reaches the people the consulting room missed; the second needs a tool that scales without adding staff. A design in which one photograph produces a picture and a spoken sentence, computed on the device, treats both the same way.</w:t>
            </w:r>
          </w:p>
          <w:p>
            <w:pPr>
              <w:spacing w:after="80" w:line="276" w:lineRule="auto"/>
              <w:jc w:val="both"/>
            </w:pPr>
            <w:r>
              <w:rPr>
                <w:rFonts w:ascii="Times New Roman" w:hAnsi="Times New Roman" w:eastAsia="바탕"/>
                <w:sz w:val="20"/>
              </w:rPr>
              <w:t>A limit belongs here. We could not find data measuring the relationship between health literacy and primary care use inside Moldova itself. What §1.5 cites is a study of 170 Moldovan migrant women living in Padua, Italy, and being a migrant sample it cannot be carried across to the population inside Moldova. Confirming it in Moldova is part of the field evaluation in §5.10.</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and spoken guidance is indeed the most common approach in this field.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29"/>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The whole home screen. Above the red line is what is visible without scrolling; below it is veiled. What is actually met on opening the app is the part above the line.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7]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8]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0"/>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Design intent. Each of the three branches is one clause of the grammar. A modifier outside a slot fails to parse unless it is marked </w:t>
            </w:r>
            <w:r>
              <w:rPr>
                <w:rFonts w:ascii="Consolas" w:hAnsi="Consolas" w:eastAsia="Consolas"/>
                <w:sz w:val="19"/>
              </w:rPr>
              <w:t>standalone</w:t>
            </w:r>
            <w:r>
              <w:rPr>
                <w:rFonts w:ascii="Times New Roman" w:hAnsi="Times New Roman" w:eastAsia="바탕"/>
                <w:sz w:val="20"/>
              </w:rPr>
              <w:t xml:space="preserve"> (the four in §2.2 — morning, noon, evening and night; a time of day stands on its own without modifying anything, so it is allowed to stand alone),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1"/>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2"/>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Usability ratings among older users are consistently lower than among younger users and they complete fewer tasks, with most of the difficulty arising from ambiguous options, speech rate and the length of options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Younger users voiced the same complaints but mostly worked past them, whereas older users often did not. Playing speech is therefore not enough on its own, and what not to say becomes the core of the design.</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3"/>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9]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8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4"/>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10]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The four values form a 2x2 table: </w:t>
            </w:r>
            <w:r>
              <w:rPr>
                <w:rFonts w:ascii="Consolas" w:hAnsi="Consolas" w:eastAsia="Consolas"/>
                <w:sz w:val="19"/>
              </w:rPr>
              <w:t>a</w:t>
            </w:r>
            <w:r>
              <w:rPr>
                <w:rFonts w:ascii="Times New Roman" w:hAnsi="Times New Roman" w:eastAsia="바탕"/>
                <w:sz w:val="20"/>
              </w:rPr>
              <w:t xml:space="preserve"> is the number of times the ingredient was eaten and the person felt unwell, </w:t>
            </w:r>
            <w:r>
              <w:rPr>
                <w:rFonts w:ascii="Consolas" w:hAnsi="Consolas" w:eastAsia="Consolas"/>
                <w:sz w:val="19"/>
              </w:rPr>
              <w:t>b</w:t>
            </w:r>
            <w:r>
              <w:rPr>
                <w:rFonts w:ascii="Times New Roman" w:hAnsi="Times New Roman" w:eastAsia="바탕"/>
                <w:sz w:val="20"/>
              </w:rPr>
              <w:t xml:space="preserve"> eaten and fine, </w:t>
            </w:r>
            <w:r>
              <w:rPr>
                <w:rFonts w:ascii="Consolas" w:hAnsi="Consolas" w:eastAsia="Consolas"/>
                <w:sz w:val="19"/>
              </w:rPr>
              <w:t>c</w:t>
            </w:r>
            <w:r>
              <w:rPr>
                <w:rFonts w:ascii="Times New Roman" w:hAnsi="Times New Roman" w:eastAsia="바탕"/>
                <w:sz w:val="20"/>
              </w:rPr>
              <w:t xml:space="preserve"> not eaten and unwell, </w:t>
            </w:r>
            <w:r>
              <w:rPr>
                <w:rFonts w:ascii="Consolas" w:hAnsi="Consolas" w:eastAsia="Consolas"/>
                <w:sz w:val="19"/>
              </w:rPr>
              <w:t>d</w:t>
            </w:r>
            <w:r>
              <w:rPr>
                <w:rFonts w:ascii="Times New Roman" w:hAnsi="Times New Roman" w:eastAsia="바탕"/>
                <w:sz w:val="20"/>
              </w:rPr>
              <w:t xml:space="preserve"> not eaten and fine. 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11]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Item</w:t>
                  </w:r>
                </w:p>
              </w:tc>
              <w:tc>
                <w:tcPr>
                  <w:tcW w:type="dxa" w:w="2441"/>
                  <w:shd w:val="clear" w:fill="F2F2F2"/>
                </w:tcPr>
                <w:p>
                  <w:r>
                    <w:rPr>
                      <w:rFonts w:ascii="Times New Roman" w:hAnsi="Times New Roman" w:eastAsia="바탕"/>
                      <w:b/>
                      <w:sz w:val="18"/>
                    </w:rPr>
                    <w:t>General health app</w:t>
                  </w:r>
                </w:p>
              </w:tc>
              <w:tc>
                <w:tcPr>
                  <w:tcW w:type="dxa" w:w="2441"/>
                  <w:shd w:val="clear" w:fill="F2F2F2"/>
                </w:tcPr>
                <w:p>
                  <w:r>
                    <w:rPr>
                      <w:rFonts w:ascii="Times New Roman" w:hAnsi="Times New Roman" w:eastAsia="바탕"/>
                      <w:b/>
                      <w:sz w:val="18"/>
                    </w:rPr>
                    <w:t>USP pictogram standard</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Input</w:t>
                  </w:r>
                </w:p>
              </w:tc>
              <w:tc>
                <w:tcPr>
                  <w:tcW w:type="dxa" w:w="2441"/>
                </w:tcPr>
                <w:p>
                  <w:r>
                    <w:rPr>
                      <w:rFonts w:ascii="Times New Roman" w:hAnsi="Times New Roman" w:eastAsia="바탕"/>
                      <w:sz w:val="18"/>
                    </w:rPr>
                    <w:t>Typing and search</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One photograph</w:t>
                  </w:r>
                </w:p>
              </w:tc>
            </w:tr>
            <w:tr>
              <w:tc>
                <w:tcPr>
                  <w:tcW w:type="dxa" w:w="2441"/>
                </w:tcPr>
                <w:p>
                  <w:r>
                    <w:rPr>
                      <w:rFonts w:ascii="Times New Roman" w:hAnsi="Times New Roman" w:eastAsia="바탕"/>
                      <w:sz w:val="18"/>
                    </w:rPr>
                    <w:t>Output</w:t>
                  </w:r>
                </w:p>
              </w:tc>
              <w:tc>
                <w:tcPr>
                  <w:tcW w:type="dxa" w:w="2441"/>
                </w:tcPr>
                <w:p>
                  <w:r>
                    <w:rPr>
                      <w:rFonts w:ascii="Times New Roman" w:hAnsi="Times New Roman" w:eastAsia="바탕"/>
                      <w:sz w:val="18"/>
                    </w:rPr>
                    <w:t>Mostly text</w:t>
                  </w:r>
                </w:p>
              </w:tc>
              <w:tc>
                <w:tcPr>
                  <w:tcW w:type="dxa" w:w="2441"/>
                </w:tcPr>
                <w:p>
                  <w:r>
                    <w:rPr>
                      <w:rFonts w:ascii="Times New Roman" w:hAnsi="Times New Roman" w:eastAsia="바탕"/>
                      <w:sz w:val="18"/>
                    </w:rPr>
                    <w:t>81 static pictures</w:t>
                  </w:r>
                </w:p>
              </w:tc>
              <w:tc>
                <w:tcPr>
                  <w:tcW w:type="dxa" w:w="2441"/>
                </w:tcPr>
                <w:p>
                  <w:r>
                    <w:rPr>
                      <w:rFonts w:ascii="Times New Roman" w:hAnsi="Times New Roman" w:eastAsia="바탕"/>
                      <w:sz w:val="18"/>
                    </w:rPr>
                    <w:t>Composed pictogram + speech + colour</w:t>
                  </w:r>
                </w:p>
              </w:tc>
            </w:tr>
            <w:tr>
              <w:tc>
                <w:tcPr>
                  <w:tcW w:type="dxa" w:w="2441"/>
                </w:tcPr>
                <w:p>
                  <w:r>
                    <w:rPr>
                      <w:rFonts w:ascii="Times New Roman" w:hAnsi="Times New Roman" w:eastAsia="바탕"/>
                      <w:sz w:val="18"/>
                    </w:rPr>
                    <w:t>Combination</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Prohibited by licence</w:t>
                  </w:r>
                </w:p>
              </w:tc>
              <w:tc>
                <w:tcPr>
                  <w:tcW w:type="dxa" w:w="2441"/>
                </w:tcPr>
                <w:p>
                  <w:r>
                    <w:rPr>
                      <w:rFonts w:ascii="Times New Roman" w:hAnsi="Times New Roman" w:eastAsia="바탕"/>
                      <w:sz w:val="18"/>
                    </w:rPr>
                    <w:t>Combined by grammar</w:t>
                  </w:r>
                </w:p>
              </w:tc>
            </w:tr>
            <w:tr>
              <w:tc>
                <w:tcPr>
                  <w:tcW w:type="dxa" w:w="2441"/>
                </w:tcPr>
                <w:p>
                  <w:r>
                    <w:rPr>
                      <w:rFonts w:ascii="Times New Roman" w:hAnsi="Times New Roman" w:eastAsia="바탕"/>
                      <w:sz w:val="18"/>
                    </w:rPr>
                    <w:t>Verdict threshold</w:t>
                  </w:r>
                </w:p>
              </w:tc>
              <w:tc>
                <w:tcPr>
                  <w:tcW w:type="dxa" w:w="2441"/>
                </w:tcPr>
                <w:p>
                  <w:r>
                    <w:rPr>
                      <w:rFonts w:ascii="Times New Roman" w:hAnsi="Times New Roman" w:eastAsia="바탕"/>
                      <w:sz w:val="18"/>
                    </w:rPr>
                    <w:t>Fixed table or none</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Derived from personal energy requirement</w:t>
                  </w:r>
                </w:p>
              </w:tc>
            </w:tr>
            <w:tr>
              <w:tc>
                <w:tcPr>
                  <w:tcW w:type="dxa" w:w="2441"/>
                </w:tcPr>
                <w:p>
                  <w:r>
                    <w:rPr>
                      <w:rFonts w:ascii="Times New Roman" w:hAnsi="Times New Roman" w:eastAsia="바탕"/>
                      <w:sz w:val="18"/>
                    </w:rPr>
                    <w:t>Assumption</w:t>
                  </w:r>
                </w:p>
              </w:tc>
              <w:tc>
                <w:tcPr>
                  <w:tcW w:type="dxa" w:w="2441"/>
                </w:tcPr>
                <w:p>
                  <w:r>
                    <w:rPr>
                      <w:rFonts w:ascii="Times New Roman" w:hAnsi="Times New Roman" w:eastAsia="바탕"/>
                      <w:sz w:val="18"/>
                    </w:rPr>
                    <w:t>User knows their diagnosis</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No diagnosis assumed</w:t>
                  </w:r>
                </w:p>
              </w:tc>
            </w:tr>
            <w:tr>
              <w:tc>
                <w:tcPr>
                  <w:tcW w:type="dxa" w:w="2441"/>
                </w:tcPr>
                <w:p>
                  <w:r>
                    <w:rPr>
                      <w:rFonts w:ascii="Times New Roman" w:hAnsi="Times New Roman" w:eastAsia="바탕"/>
                      <w:sz w:val="18"/>
                    </w:rPr>
                    <w:t>Comprehension check</w:t>
                  </w:r>
                </w:p>
              </w:tc>
              <w:tc>
                <w:tcPr>
                  <w:tcW w:type="dxa" w:w="2441"/>
                </w:tcPr>
                <w:p>
                  <w:r>
                    <w:rPr>
                      <w:rFonts w:ascii="Times New Roman" w:hAnsi="Times New Roman" w:eastAsia="바탕"/>
                      <w:sz w:val="18"/>
                    </w:rPr>
                    <w:t>None</w:t>
                  </w:r>
                </w:p>
              </w:tc>
              <w:tc>
                <w:tcPr>
                  <w:tcW w:type="dxa" w:w="2441"/>
                </w:tcPr>
                <w:p>
                  <w:r>
                    <w:rPr>
                      <w:rFonts w:ascii="Times New Roman" w:hAnsi="Times New Roman" w:eastAsia="바탕"/>
                      <w:sz w:val="18"/>
                    </w:rPr>
                    <w:t>Only post hoc studies</w:t>
                  </w:r>
                </w:p>
              </w:tc>
              <w:tc>
                <w:tcPr>
                  <w:tcW w:type="dxa" w:w="2441"/>
                </w:tcPr>
                <w:p>
                  <w:r>
                    <w:rPr>
                      <w:rFonts w:ascii="Times New Roman" w:hAnsi="Times New Roman" w:eastAsia="바탕"/>
                      <w:sz w:val="18"/>
                    </w:rPr>
                    <w:t>Measured automatically before release</w:t>
                  </w:r>
                </w:p>
              </w:tc>
            </w:tr>
            <w:tr>
              <w:tc>
                <w:tcPr>
                  <w:tcW w:type="dxa" w:w="2441"/>
                </w:tcPr>
                <w:p>
                  <w:r>
                    <w:rPr>
                      <w:rFonts w:ascii="Times New Roman" w:hAnsi="Times New Roman" w:eastAsia="바탕"/>
                      <w:sz w:val="18"/>
                    </w:rPr>
                    <w:t>Network</w:t>
                  </w:r>
                </w:p>
              </w:tc>
              <w:tc>
                <w:tcPr>
                  <w:tcW w:type="dxa" w:w="2441"/>
                </w:tcPr>
                <w:p>
                  <w:r>
                    <w:rPr>
                      <w:rFonts w:ascii="Times New Roman" w:hAnsi="Times New Roman" w:eastAsia="바탕"/>
                      <w:sz w:val="18"/>
                    </w:rPr>
                    <w:t>Required</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heaviest row in the table is the third,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What the team leader at GC Medi-AI wrote in §5.7, that there are already many medication-counselling solutions, aims exactly at this limit. We may not have seen everything that already exists.</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6"/>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37"/>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(DS1302).</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38"/>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39"/>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12]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First-run guide</w:t>
                  </w:r>
                </w:p>
              </w:tc>
              <w:tc>
                <w:tcPr>
                  <w:tcW w:type="dxa" w:w="2429"/>
                </w:tcPr>
                <w:p>
                  <w:r>
                    <w:rPr>
                      <w:rFonts w:ascii="Times New Roman" w:hAnsi="Times New Roman" w:eastAsia="바탕"/>
                      <w:sz w:val="18"/>
                    </w:rPr>
                    <w:t>Press next (skippable)</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12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leads through five guide cards to profile setup. This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0"/>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Five guide cards. Each is a picture and one sentence, and on arrival the screen reads that sentence aloud by itself. (b)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Saying in advance what is about to be asked is all we can do, and the five guide screens occupy that place now. From the moment the dialogue appears after the guide, however,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1"/>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13]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14]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2"/>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15]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16]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17]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Sweep the screen to hear it</w:t>
                  </w:r>
                </w:p>
              </w:tc>
              <w:tc>
                <w:tcPr>
                  <w:tcW w:type="dxa" w:w="3238"/>
                </w:tcPr>
                <w:p>
                  <w:r>
                    <w:rPr>
                      <w:rFonts w:ascii="Times New Roman" w:hAnsi="Times New Roman" w:eastAsia="바탕"/>
                      <w:sz w:val="18"/>
                    </w:rPr>
                    <w:t>Press and hold, then slide, and whatever passes under the finger is read in turn</w:t>
                  </w:r>
                </w:p>
              </w:tc>
              <w:tc>
                <w:tcPr>
                  <w:tcW w:type="dxa" w:w="3238"/>
                </w:tcPr>
                <w:p>
                  <w:r>
                    <w:rPr>
                      <w:rFonts w:ascii="Times New Roman" w:hAnsi="Times New Roman" w:eastAsia="바탕"/>
                      <w:sz w:val="18"/>
                    </w:rPr>
                    <w:t>There is no need to know in advance where the audio is</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grey speaker circles that sat on every line were taken away. Having attached audio everywhere audio could go, eight to ten circles ended up tiled across a single screen, while the thing being pressed was the whole line and the circle was only a sign saying "there is audio here". What occupied the most space on the screen was not a function but a sign.</w:t>
            </w:r>
          </w:p>
          <w:p>
            <w:pPr>
              <w:spacing w:after="80" w:line="276" w:lineRule="auto"/>
              <w:jc w:val="both"/>
            </w:pPr>
            <w:r>
              <w:rPr>
                <w:rFonts w:ascii="Times New Roman" w:hAnsi="Times New Roman" w:eastAsia="바탕"/>
                <w:sz w:val="20"/>
              </w:rPr>
              <w:t>The sign was there because we held that the user has to be told in advance where the audio is. Being able to sweep removes that premise. Press and hold, slide, and what passes under the finger is read in turn, so it is swept rather than searched for. This is how a screen reader navigates, and it is closer to the criterion established in §1.10, that no step requiring explanation should be created.</w:t>
            </w:r>
          </w:p>
          <w:p>
            <w:pPr>
              <w:spacing w:after="80" w:line="276" w:lineRule="auto"/>
              <w:jc w:val="both"/>
            </w:pPr>
            <w:r>
              <w:rPr>
                <w:rFonts w:ascii="Times New Roman" w:hAnsi="Times New Roman" w:eastAsia="바탕"/>
                <w:sz w:val="20"/>
              </w:rPr>
              <w:t xml:space="preserve">The signs did not disappear altogether; they became transient. While a sweep is in progress </w:t>
            </w:r>
            <w:r>
              <w:rPr>
                <w:rFonts w:ascii="Consolas" w:hAnsi="Consolas" w:eastAsia="Consolas"/>
                <w:sz w:val="19"/>
              </w:rPr>
              <w:t>html[data-hearing]</w:t>
            </w:r>
            <w:r>
              <w:rPr>
                <w:rFonts w:ascii="Times New Roman" w:hAnsi="Times New Roman" w:eastAsia="바탕"/>
                <w:sz w:val="20"/>
              </w:rPr>
              <w:t xml:space="preserve"> reveals every place that has audio, and they go quiet again when the finger lifts (</w:t>
            </w:r>
            <w:r>
              <w:rPr>
                <w:rFonts w:ascii="Consolas" w:hAnsi="Consolas" w:eastAsia="Consolas"/>
                <w:sz w:val="19"/>
              </w:rPr>
              <w:t>app/globals.css</w:t>
            </w:r>
            <w:r>
              <w:rPr>
                <w:rFonts w:ascii="Times New Roman" w:hAnsi="Times New Roman" w:eastAsia="바탕"/>
                <w:sz w:val="20"/>
              </w:rPr>
              <w:t>). So the screen shows where the audio is exactly while the user is looking for it, and shows nothing the rest of the time.</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Institut Pasteur de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Institut Pasteur de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18]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18 dims but that the sentence does not read.</w:t>
            </w:r>
          </w:p>
          <w:p>
            <w:pPr>
              <w:spacing w:after="80" w:line="276" w:lineRule="auto"/>
              <w:jc w:val="both"/>
            </w:pPr>
            <w:r>
              <w:rPr>
                <w:rFonts w:ascii="Times New Roman" w:hAnsi="Times New Roman" w:eastAsia="바탕"/>
                <w:sz w:val="20"/>
              </w:rPr>
              <w:t xml:space="preserve">[Table 19]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is the point Foued Maaoui, a researcher at the Institut Pasteur de Tunis, raised in §5.7. However clear the screen, without a procedure for confirming that the person who saw it understood it there is no returning signal, and from a patient-safety standpoint the absence of that loop is a serious risk.</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20]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21]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DS1302</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tc>
            </w:tr>
          </w:tbl>
          <w:p/>
          <w:p>
            <w:pPr>
              <w:spacing w:after="120"/>
            </w:pP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22]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Reading the paper form</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six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23]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4"/>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24]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24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24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5"/>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real-time clock. Whether the relay is down, unreachable or never configured at all, nobody's dose is missed. The judgement in Table 24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does not separate</w:t>
              <w:br/>
              <w:t xml:space="preserve">        values[name] = None</w:t>
              <w:br/>
              <w:t xml:space="preserve">        problems.append(</w:t>
              <w:br/>
              <w:t xml:space="preserve">            f"{name}: ambiguous ({best[0]}={best[1]:.2f}, {second[0]}={second[1]:.2f})"</w:t>
              <w:br/>
              <w:t xml:space="preserve">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6"/>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25]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25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47"/>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(0.55–0.74 against 0.00–0.04) shows the reading was not a near miss at the boundary. For each row the figure prints the lowest of the chosen cells beside the highest of the rest. The narrowest is the days row, where the lowest chosen is Friday at 0.55 and the highest unchosen is Tuesday at 0.04, a factor of fourteen even there. The top of the range, 0.74, is Wednesday, and does not appear in the figure because the figure prints only each row's minimum.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 (</w:t>
            </w:r>
            <w:r>
              <w:rPr>
                <w:rFonts w:ascii="Consolas" w:hAnsi="Consolas" w:eastAsia="Consolas"/>
                <w:sz w:val="19"/>
              </w:rPr>
              <w:t>public/sw.js</w:t>
            </w:r>
            <w:r>
              <w:rPr>
                <w:rFonts w:ascii="Times New Roman" w:hAnsi="Times New Roman" w:eastAsia="바탕"/>
                <w:sz w:val="20"/>
              </w:rPr>
              <w:t>). Only two long comments have been shortened; the code is as it stands in the file.</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(request.mode === 'navigate')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…the nutrition model (16 MB) and its config. Comment shortened</w:t>
              <w:br/>
              <w:t xml:space="preserve">    url.pathname.startsWith('/models/') ||</w:t>
              <w:br/>
              <w:t xml:space="preserve">    // …the OCR worker, core and language data</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26]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49"/>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 xml:space="preserve">The same middleware sends four more headers. The values are recorded here as confirmed on the deployment. </w:t>
            </w:r>
            <w:r>
              <w:rPr>
                <w:rFonts w:ascii="Consolas" w:hAnsi="Consolas" w:eastAsia="Consolas"/>
                <w:sz w:val="19"/>
              </w:rPr>
              <w:t>Content-Security-Policy</w:t>
            </w:r>
            <w:r>
              <w:rPr>
                <w:rFonts w:ascii="Times New Roman" w:hAnsi="Times New Roman" w:eastAsia="바탕"/>
                <w:sz w:val="20"/>
              </w:rPr>
              <w:t xml:space="preserve"> opens with </w:t>
            </w:r>
            <w:r>
              <w:rPr>
                <w:rFonts w:ascii="Consolas" w:hAnsi="Consolas" w:eastAsia="Consolas"/>
                <w:sz w:val="19"/>
              </w:rPr>
              <w:t>default-src 'self'</w:t>
            </w:r>
            <w:r>
              <w:rPr>
                <w:rFonts w:ascii="Times New Roman" w:hAnsi="Times New Roman" w:eastAsia="바탕"/>
                <w:sz w:val="20"/>
              </w:rPr>
              <w:t xml:space="preserve"> and pins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and </w:t>
            </w:r>
            <w:r>
              <w:rPr>
                <w:rFonts w:ascii="Consolas" w:hAnsi="Consolas" w:eastAsia="Consolas"/>
                <w:sz w:val="19"/>
              </w:rPr>
              <w:t>form-action 'self'</w:t>
            </w:r>
            <w:r>
              <w:rPr>
                <w:rFonts w:ascii="Times New Roman" w:hAnsi="Times New Roman" w:eastAsia="바탕"/>
                <w:sz w:val="20"/>
              </w:rPr>
              <w:t xml:space="preserve">. Its </w:t>
            </w:r>
            <w:r>
              <w:rPr>
                <w:rFonts w:ascii="Consolas" w:hAnsi="Consolas" w:eastAsia="Consolas"/>
                <w:sz w:val="19"/>
              </w:rPr>
              <w:t>connect-src</w:t>
            </w:r>
            <w:r>
              <w:rPr>
                <w:rFonts w:ascii="Times New Roman" w:hAnsi="Times New Roman" w:eastAsia="바탕"/>
                <w:sz w:val="20"/>
              </w:rPr>
              <w:t xml:space="preserve"> is only </w:t>
            </w:r>
            <w:r>
              <w:rPr>
                <w:rFonts w:ascii="Consolas" w:hAnsi="Consolas" w:eastAsia="Consolas"/>
                <w:sz w:val="19"/>
              </w:rPr>
              <w:t>'self'</w:t>
            </w:r>
            <w:r>
              <w:rPr>
                <w:rFonts w:ascii="Times New Roman" w:hAnsi="Times New Roman" w:eastAsia="바탕"/>
                <w:sz w:val="20"/>
              </w:rPr>
              <w:t xml:space="preserve"> and </w:t>
            </w:r>
            <w:r>
              <w:rPr>
                <w:rFonts w:ascii="Consolas" w:hAnsi="Consolas" w:eastAsia="Consolas"/>
                <w:sz w:val="19"/>
              </w:rPr>
              <w:t>https://snapcare-relay.fly.dev</w:t>
            </w:r>
            <w:r>
              <w:rPr>
                <w:rFonts w:ascii="Times New Roman" w:hAnsi="Times New Roman" w:eastAsia="바탕"/>
                <w:sz w:val="20"/>
              </w:rPr>
              <w:t xml:space="preserve">. That the app sends requests nowhere else is therefore not a rule but something the browser enforces, and this header is what makes the relay the single external channel described in §4.3. The other three are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and </w:t>
            </w:r>
            <w:r>
              <w:rPr>
                <w:rFonts w:ascii="Consolas" w:hAnsi="Consolas" w:eastAsia="Consolas"/>
                <w:sz w:val="19"/>
              </w:rPr>
              <w:t>Strict-Transport-Security: max-age=31536000; includeSubDomains</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There is a weak point in that policy and it belongs here too. </w:t>
            </w:r>
            <w:r>
              <w:rPr>
                <w:rFonts w:ascii="Consolas" w:hAnsi="Consolas" w:eastAsia="Consolas"/>
                <w:sz w:val="19"/>
              </w:rPr>
              <w:t>script-src</w:t>
            </w:r>
            <w:r>
              <w:rPr>
                <w:rFonts w:ascii="Times New Roman" w:hAnsi="Times New Roman" w:eastAsia="바탕"/>
                <w:sz w:val="20"/>
              </w:rPr>
              <w:t xml:space="preserve"> and </w:t>
            </w:r>
            <w:r>
              <w:rPr>
                <w:rFonts w:ascii="Consolas" w:hAnsi="Consolas" w:eastAsia="Consolas"/>
                <w:sz w:val="19"/>
              </w:rPr>
              <w:t>style-src</w:t>
            </w:r>
            <w:r>
              <w:rPr>
                <w:rFonts w:ascii="Times New Roman" w:hAnsi="Times New Roman" w:eastAsia="바탕"/>
                <w:sz w:val="20"/>
              </w:rPr>
              <w:t xml:space="preserve"> both carry </w:t>
            </w:r>
            <w:r>
              <w:rPr>
                <w:rFonts w:ascii="Consolas" w:hAnsi="Consolas" w:eastAsia="Consolas"/>
                <w:sz w:val="19"/>
              </w:rPr>
              <w:t>'unsafe-inline'</w:t>
            </w:r>
            <w:r>
              <w:rPr>
                <w:rFonts w:ascii="Times New Roman" w:hAnsi="Times New Roman" w:eastAsia="바탕"/>
                <w:sz w:val="20"/>
              </w:rPr>
              <w:t xml:space="preserve">, because Next.js emits its bootstrap script and styles inline, and the defence against cross-site scripting is that much shallower for it. A nonce would remove the need; we did not do it. </w:t>
            </w:r>
            <w:r>
              <w:rPr>
                <w:rFonts w:ascii="Consolas" w:hAnsi="Consolas" w:eastAsia="Consolas"/>
                <w:sz w:val="19"/>
              </w:rPr>
              <w:t>wasm-unsafe-eval</w:t>
            </w:r>
            <w:r>
              <w:rPr>
                <w:rFonts w:ascii="Times New Roman" w:hAnsi="Times New Roman" w:eastAsia="바탕"/>
                <w:sz w:val="20"/>
              </w:rPr>
              <w:t xml:space="preserve"> is open for the same kind of reason, because the on-device nutrition model and the OCR are WebAssembly (§4.1). Having a reason to leave something open is not the same as it being closed, so it is recorded as open.</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27]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28]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360</w:t>
                  </w:r>
                </w:p>
              </w:tc>
              <w:tc>
                <w:tcPr>
                  <w:tcW w:type="dxa" w:w="2429"/>
                </w:tcPr>
                <w:p>
                  <w:r>
                    <w:rPr>
                      <w:rFonts w:ascii="Times New Roman" w:hAnsi="Times New Roman" w:eastAsia="바탕"/>
                      <w:sz w:val="18"/>
                    </w:rPr>
                    <w:t>359 pass · 1 fail</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pass · 77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3 August 2026, and the single web-app failure is set down as it stands.</w:t>
            </w:r>
          </w:p>
          <w:p>
            <w:pPr>
              <w:spacing w:after="80" w:line="276" w:lineRule="auto"/>
              <w:jc w:val="both"/>
            </w:pPr>
            <w:r>
              <w:rPr>
                <w:rFonts w:ascii="Times New Roman" w:hAnsi="Times New Roman" w:eastAsia="바탕"/>
                <w:sz w:val="20"/>
              </w:rPr>
              <w:t xml:space="preserve">What failed is </w:t>
            </w:r>
            <w:r>
              <w:rPr>
                <w:rFonts w:ascii="Consolas" w:hAnsi="Consolas" w:eastAsia="Consolas"/>
                <w:sz w:val="19"/>
              </w:rPr>
              <w:t>pill_dispenser/webapp_kit/tests/kit.test.ts</w:t>
            </w:r>
            <w:r>
              <w:rPr>
                <w:rFonts w:ascii="Times New Roman" w:hAnsi="Times New Roman" w:eastAsia="바탕"/>
                <w:sz w:val="20"/>
              </w:rPr>
              <w:t xml:space="preserve">, and the cause lies not in the test but in loading it. </w:t>
            </w:r>
            <w:r>
              <w:rPr>
                <w:rFonts w:ascii="Consolas" w:hAnsi="Consolas" w:eastAsia="Consolas"/>
                <w:sz w:val="19"/>
              </w:rPr>
              <w:t>relay.ts</w:t>
            </w:r>
            <w:r>
              <w:rPr>
                <w:rFonts w:ascii="Times New Roman" w:hAnsi="Times New Roman" w:eastAsia="바탕"/>
                <w:sz w:val="20"/>
              </w:rPr>
              <w:t xml:space="preserve"> uses a constructor parameter property (</w:t>
            </w:r>
            <w:r>
              <w:rPr>
                <w:rFonts w:ascii="Consolas" w:hAnsi="Consolas" w:eastAsia="Consolas"/>
                <w:sz w:val="19"/>
              </w:rPr>
              <w:t>constructor(readonly status: number)</w:t>
            </w:r>
            <w:r>
              <w:rPr>
                <w:rFonts w:ascii="Times New Roman" w:hAnsi="Times New Roman" w:eastAsia="바탕"/>
                <w:sz w:val="20"/>
              </w:rPr>
              <w:t xml:space="preserve">), and Node's type stripping removes types without emitting code, so it does not support that syntax. The import stops with </w:t>
            </w:r>
            <w:r>
              <w:rPr>
                <w:rFonts w:ascii="Consolas" w:hAnsi="Consolas" w:eastAsia="Consolas"/>
                <w:sz w:val="19"/>
              </w:rPr>
              <w:t>ERR_UNSUPPORTED_TYPESCRIPT_SYNTAX</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It is set down because something heavier than one failure rides along with it. Since the file never loads, </w:t>
            </w:r>
            <w:r>
              <w:rPr>
                <w:rFonts w:ascii="Times New Roman" w:hAnsi="Times New Roman" w:eastAsia="바탕"/>
                <w:b/>
                <w:sz w:val="20"/>
              </w:rPr>
              <w:t>not one</w:t>
            </w:r>
            <w:r>
              <w:rPr>
                <w:rFonts w:ascii="Times New Roman" w:hAnsi="Times New Roman" w:eastAsia="바탕"/>
                <w:sz w:val="20"/>
              </w:rPr>
              <w:t xml:space="preserve"> of the tests inside it runs. The 360 above does not count that file's tests, so what looks like a single failure is in fact an entire file going unmeasured. It is the same shape of failure as the eight display constants in §5.4: the tool showed green while what it was measuring was empty.</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The "needs" column was measured and corrected. The web app was recorded as "Node only" for a while; with the dependencies removed the count falls from 360 to 335, because three files stop at an import of </w:t>
            </w:r>
            <w:r>
              <w:rPr>
                <w:rFonts w:ascii="Consolas" w:hAnsi="Consolas" w:eastAsia="Consolas"/>
                <w:sz w:val="19"/>
              </w:rPr>
              <w:t>zustand</w:t>
            </w:r>
            <w:r>
              <w:rPr>
                <w:rFonts w:ascii="Times New Roman" w:hAnsi="Times New Roman" w:eastAsia="바탕"/>
                <w:sz w:val="20"/>
              </w:rPr>
              <w:t>. Twenty-five tests disappear quietly and the rest finish green, so from the outside it looks like a pass. It is the same shape as what §5.4 records.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29]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30]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0"/>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Of 108 international standard pictograms,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31]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1"/>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 xml:space="preserve">The checker already knows why something failed. Counting attempts without using that reason is the same as rolling the same die again, and each roll costs money. Instructions were therefore hooked to the reason. What follows is </w:t>
            </w:r>
            <w:r>
              <w:rPr>
                <w:rFonts w:ascii="Consolas" w:hAnsi="Consolas" w:eastAsia="Consolas"/>
                <w:sz w:val="19"/>
              </w:rPr>
              <w:t>engine/gen_glyphs.py</w:t>
            </w:r>
            <w:r>
              <w:rPr>
                <w:rFonts w:ascii="Times New Roman" w:hAnsi="Times New Roman" w:eastAsia="바탕"/>
                <w:sz w:val="20"/>
              </w:rPr>
              <w:t xml:space="preserve"> as it stands, with only the comments and the two guard lines above removed. The conditions match on Korean words because the checker writes its reasons in Korean: 뭉쳤다 is clotted, 가늘다 too thin, 개수 wrong count, 뜻이 안 맞는다 misread, 구멍/뭉갠다 holes closing up when shrunk.</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Design intent. The six branches push in six different directions. The last catches any reason the preceding five did not match.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32]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33]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allergen_tree_nut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34]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allergen_soy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35]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36]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3"/>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37]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38]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39]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2 August 2026, 35 people had answered: 3.2% of those contacted, with 117 free-text responses alongside.</w:t>
            </w:r>
          </w:p>
          <w:p>
            <w:pPr>
              <w:spacing w:after="80" w:line="276" w:lineRule="auto"/>
              <w:jc w:val="both"/>
            </w:pPr>
            <w:r>
              <w:rPr>
                <w:rFonts w:ascii="Times New Roman" w:hAnsi="Times New Roman" w:eastAsia="바탕"/>
                <w:sz w:val="20"/>
              </w:rPr>
              <w:t>[Table 40] Composition of respondents (n = 35)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12</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The composition of the 35 respondents. Field on the left, continent on the right. Pharmacy and nursing account for three fifths at 21 people, and these two are the centre of the five segments we judged qualified to view the demonstration and rule on patient comprehension. That Asia accounts for 25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20 countries across five continents, with 17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41] The 35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(12)</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Institut Pasteur de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(5)</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b/>
                      <w:sz w:val="18"/>
                    </w:rPr>
                    <w:t>Other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42]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The sample is small. The judgement question went only to the five qualified segments, so n = 25 there, and questions taking all respondents as the denominator have n = 35.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43]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44]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35/1,062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0.637</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Six tests were run, so the Bonferroni-corrected threshold is 0.0083. Two rows exceed it. We counted that number as five in an earlier version and wrote the threshold as 0.010. The error ran in our favour, so it is recorded here. The p in the fourth row is 0.0078 against a threshold of 0.0083, so the conclusion did not change, but the margin is 0.0005. That is a width one more response could overturn again.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30 of the 35 respondents, 117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"In second example, the prescription read not to use the eyedrops in pregnancy while the pictogram showed a pregnant woman making the patient assume it is safe to use in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"The symbol do not show what it means. For me it means I do not need to finish the course as your black dots did not complete the fully. you may want to add a arrow symbol for direction so that its clearer?"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Institut Pasteur de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500 samples from the test split of 5,578 handwritten drug names cut from real Bangladeshi prescriptions (RxHandBD, Zenodo 18478741, MIT licence). Bangladesh is the country of respondent Aliya Naheed, Senior Scientist. All 500 were read, with no failures. The result: read exactly, 45.2%; off by a character or two, 28.2%; read as something else entirely, 26.6%.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and the way it fails is not what we first supposed.</w:t>
            </w:r>
          </w:p>
          <w:p>
            <w:pPr>
              <w:spacing w:after="80" w:line="276" w:lineRule="auto"/>
              <w:jc w:val="both"/>
            </w:pPr>
            <w:r>
              <w:rPr>
                <w:rFonts w:ascii="Times New Roman" w:hAnsi="Times New Roman" w:eastAsia="바탕"/>
                <w:sz w:val="20"/>
              </w:rPr>
              <w:t xml:space="preserve">At a threshold of 0.4, 45% survive and 71.6% of those are correct. At 0.5, 20.4% survive and accuracy peaks at 83.3%, and </w:t>
            </w:r>
            <w:r>
              <w:rPr>
                <w:rFonts w:ascii="Times New Roman" w:hAnsi="Times New Roman" w:eastAsia="바탕"/>
                <w:b/>
                <w:sz w:val="20"/>
              </w:rPr>
              <w:t>raising the threshold further makes accuracy fall rather than rise</w:t>
            </w:r>
            <w:r>
              <w:rPr>
                <w:rFonts w:ascii="Times New Roman" w:hAnsi="Times New Roman" w:eastAsia="바탕"/>
                <w:sz w:val="20"/>
              </w:rPr>
              <w:t>: 79.5% at 0.6, 76.9% at 0.7, 50.0% at 0.8. Allowing for the noise of a shrinking sample, the direction does not go up.</w:t>
            </w:r>
          </w:p>
          <w:p>
            <w:pPr>
              <w:spacing w:after="80" w:line="276" w:lineRule="auto"/>
              <w:jc w:val="both"/>
            </w:pPr>
            <w:r>
              <w:rPr>
                <w:rFonts w:ascii="Times New Roman" w:hAnsi="Times New Roman" w:eastAsia="바탕"/>
                <w:sz w:val="20"/>
              </w:rPr>
              <w:t xml:space="preserve">This is where the conclusion changed from the 200-sample run. Then it was that no threshold satisfies accuracy and coverage together. At 500 we can say something stronger: </w:t>
            </w:r>
            <w:r>
              <w:rPr>
                <w:rFonts w:ascii="Times New Roman" w:hAnsi="Times New Roman" w:eastAsia="바탕"/>
                <w:b/>
                <w:sz w:val="20"/>
              </w:rPr>
              <w:t>high confidence is not evidence of correctness.</w:t>
            </w:r>
            <w:r>
              <w:rPr>
                <w:rFonts w:ascii="Times New Roman" w:hAnsi="Times New Roman" w:eastAsia="바탕"/>
                <w:sz w:val="20"/>
              </w:rPr>
              <w:t xml:space="preserve"> The conclusion that confidence cannot serve as a filter is the same, but the reason is no longer narrow coverage; it is that the relationship does not continue upward.</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How 500 handwritten drug names were read, and why confidence cannot filter them. The right panel is the design basis: while the share surviving (grey) falls steeply, the accuracy of the survivors (blue) peaks at 0.5 and then falls again. Raising the threshold does not buy accuracy, so confidence cannot serve as a filter. The red bar on the left is the heaviest finding of this measurement. A name read as something else looks wrong; a name off by a character or two can be a different drug that actually exists.</w:t>
            </w:r>
          </w:p>
          <w:p>
            <w:pPr>
              <w:spacing w:after="80" w:line="276" w:lineRule="auto"/>
              <w:jc w:val="both"/>
            </w:pPr>
            <w:r>
              <w:rPr>
                <w:rFonts w:ascii="Times New Roman" w:hAnsi="Times New Roman" w:eastAsia="바탕"/>
                <w:sz w:val="20"/>
              </w:rPr>
              <w:t xml:space="preserve">We also measured what the user actually photographs, the full prescription page. All 200 Bangladeshi prescription pages annotated with the number of drug-name regions (Mendeley k62rfd23kz, CC BY 4.0) were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 xml:space="preserve">      /*</w:t>
              <w:br/>
              <w:t xml:space="preserve">        It was 700. Right there, **prescriptions with many medicines were failing</w:t>
              <w:br/>
              <w:t xml:space="preserve">        outright.**</w:t>
              <w:br/>
              <w:br/>
              <w:t xml:space="preserve">        It surfaced while measuring on 60 whole Bangladeshi prescription pages.</w:t>
              <w:br/>
              <w:t xml:space="preserve">        Eleven failed, and not at random — every one of them listed 5 to 12</w:t>
              <w:br/>
              <w:t xml:space="preserve">        medicines, and it was the same pages every time. The answer was cut off at</w:t>
              <w:br/>
              <w:t xml:space="preserve">        700 tokens (`stop_reason: max_tokens`), the cut JSON failed to parse, the</w:t>
              <w:br/>
              <w:t xml:space="preserve">        failure was caught above, and the screen said "could not read it."</w:t>
              <w:br/>
              <w:t xml:space="preserve">        The actual tail of one admission order sheet:</w:t>
              <w:br/>
              <w:t xml:space="preserve">        `…urinary catheterization. 20.` — cut mid-sentence.</w:t>
              <w:br/>
              <w:br/>
              <w:t xml:space="preserve">        **It was failing against exactly the people who need it most.** Someone</w:t>
              <w:br/>
              <w:t xml:space="preserve">        taking ten medicines needs this app most, and theirs is precisely the</w:t>
              <w:br/>
              <w:t xml:space="preserve">        prescription that does not get read.</w:t>
              <w:br/>
              <w:br/>
              <w:t xml:space="preserve">        A nutrition answer fits in 700, but dosing instructions grow with the</w:t>
              <w:br/>
              <w:t xml:space="preserve">        number of medicines. Give it room — short answers end short anyway</w:t>
              <w:br/>
              <w:t xml:space="preserve">        (end_turn), so this value does not raise the cost.</w:t>
              <w:br/>
              <w:t xml:space="preserve">      */</w:t>
              <w:br/>
              <w:t xml:space="preserve">      max_tokens: 3000,</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all 200 pages were measured again. Recognition as a prescription rose from 95.5% to </w:t>
            </w:r>
            <w:r>
              <w:rPr>
                <w:rFonts w:ascii="Times New Roman" w:hAnsi="Times New Roman" w:eastAsia="바탕"/>
                <w:b/>
                <w:sz w:val="20"/>
              </w:rPr>
              <w:t>100%</w:t>
            </w:r>
            <w:r>
              <w:rPr>
                <w:rFonts w:ascii="Times New Roman" w:hAnsi="Times New Roman" w:eastAsia="바탕"/>
                <w:sz w:val="20"/>
              </w:rPr>
              <w:t xml:space="preserve"> (200 of 200, no failures) and recall of the medicine count from 83.2% to </w:t>
            </w:r>
            <w:r>
              <w:rPr>
                <w:rFonts w:ascii="Times New Roman" w:hAnsi="Times New Roman" w:eastAsia="바탕"/>
                <w:b/>
                <w:sz w:val="20"/>
              </w:rPr>
              <w:t>86.9%</w:t>
            </w:r>
            <w:r>
              <w:rPr>
                <w:rFonts w:ascii="Times New Roman" w:hAnsi="Times New Roman" w:eastAsia="바탕"/>
                <w:sz w:val="20"/>
              </w:rPr>
              <w:t xml:space="preserve"> (944 of 1,086 annotated). The 4.5% that disappeared is exactly the prescriptions carrying the most medicines, which belong to the people who need this app most.</w:t>
            </w:r>
          </w:p>
          <w:p>
            <w:pPr>
              <w:spacing w:after="80" w:line="276" w:lineRule="auto"/>
              <w:jc w:val="both"/>
            </w:pPr>
            <w:r>
              <w:rPr>
                <w:rFonts w:ascii="Times New Roman" w:hAnsi="Times New Roman" w:eastAsia="바탕"/>
                <w:sz w:val="20"/>
              </w:rPr>
              <w:t xml:space="preserve">Handwriting was flagged on 94.5%. Opening all eleven pages that were not flagged showed computer-printed prescriptions without a single handwritten character. Since this dataset states that it mixes handwriting and print, that is a correct discrimination rather than a miss. The fourteen pages carrying a schedule were likewise all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80" w:line="276" w:lineRule="auto"/>
              <w:jc w:val="both"/>
            </w:pPr>
            <w:r>
              <w:rPr>
                <w:rFonts w:ascii="Times New Roman" w:hAnsi="Times New Roman" w:eastAsia="바탕"/>
                <w:sz w:val="20"/>
              </w:rPr>
              <w:t xml:space="preserve">One more limit belongs here. This measurement was sent straight to </w:t>
            </w:r>
            <w:r>
              <w:rPr>
                <w:rFonts w:ascii="Consolas" w:hAnsi="Consolas" w:eastAsia="Consolas"/>
                <w:sz w:val="19"/>
              </w:rPr>
              <w:t>/api/analyze</w:t>
            </w:r>
            <w:r>
              <w:rPr>
                <w:rFonts w:ascii="Times New Roman" w:hAnsi="Times New Roman" w:eastAsia="바탕"/>
                <w:sz w:val="20"/>
              </w:rPr>
              <w:t>, so it measures the vision-model route rather than the app's default path. A real camera runs OCR on the device first and never calls the model for a printed prescription (§3.3). Handwriting falls through to this route because OCR cannot hold it, which is what makes these figures meaningful; but rolled up as a "prescription recognition rate" they would be wrong at exactly that point.</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57"/>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All 200 full prescription pages measured before and after the fix. The gap in the left pair is the pages that failed outright because the reply was truncated. A caveat belongs beside it: the two values must not be multiplied together. The 86.9% recall is a count, not letter accuracy; letter accuracy is the 45.2% of Figure 42. Different sample, different task.</w:t>
            </w:r>
          </w:p>
          <w:p>
            <w:pPr>
              <w:spacing w:after="80" w:line="276" w:lineRule="auto"/>
              <w:jc w:val="both"/>
            </w:pPr>
            <w:r>
              <w:rPr>
                <w:rFonts w:ascii="Times New Roman" w:hAnsi="Times New Roman" w:eastAsia="바탕"/>
                <w:sz w:val="20"/>
              </w:rPr>
              <w:t>Enlarging the sample overturned one thing we had written. At 200 samples, nothing carrying confidence of 0.8 or higher was wrong, and we took that as grounds for saying the model says it cannot read what it cannot read. At 500 there is one: Folzin (folic acid) read as Naprosyn (naproxen) with confidence 0.85. One in 500 is 0.2% and a small number, but not a small number given that what we were about to build on it was "let anything confident through." Had we not enlarged the sample, we would have put a design on top of a safety that was not there.</w:t>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Institut Pasteur de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45]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5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allergen_tree_nut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19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The wording that goes out on screen, carried over as written:</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(Settings screen, below the language picker)</w:t>
            </w:r>
          </w:p>
          <w:p>
            <w:pPr>
              <w:spacing w:after="80" w:line="276" w:lineRule="auto"/>
              <w:jc w:val="both"/>
            </w:pPr>
            <w:r>
              <w:rPr>
                <w:rFonts w:ascii="Times New Roman" w:hAnsi="Times New Roman" w:eastAsia="바탕"/>
                <w:sz w:val="20"/>
              </w:rPr>
              <w:t>Including English is the point. It is not only the translations that are unreviewed; the source sentences are unreviewed too, and that is not hidden behind a note about translation. A mistranslated dosing instruction causes exactly the harm this app exists to prevent. Seven languages appear in Settings; English is the source, so six were translated.</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59"/>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xml:space="preserve"> The language picker in Settings, captured from the deployment (https://snapcare.fly.dev) as it stands. The note underneath is the point of this screen: the display stays in English and only the voice changes, and the translations have not been checked by a clinician who speaks the language, English included. That is to say it is not only the translations that are unreviewed; the source sentences are not either.</w:t>
            </w:r>
          </w:p>
          <w:p>
            <w:pPr>
              <w:spacing w:after="80" w:line="276" w:lineRule="auto"/>
              <w:jc w:val="both"/>
            </w:pPr>
            <w:r>
              <w:rPr>
                <w:rFonts w:ascii="Times New Roman" w:hAnsi="Times New Roman" w:eastAsia="바탕"/>
                <w:sz w:val="20"/>
              </w:rPr>
              <w:t>Urdu and Hausa can be seen dimmed and carrying "no voice on this phone" with a mute mark. These are the marks §5.7 describes, and this figure confirms that description.</w:t>
            </w:r>
          </w:p>
          <w:p>
            <w:pPr>
              <w:spacing w:after="80" w:line="276" w:lineRule="auto"/>
              <w:jc w:val="both"/>
            </w:pPr>
            <w:r>
              <w:rPr>
                <w:rFonts w:ascii="Times New Roman" w:hAnsi="Times New Roman" w:eastAsia="바탕"/>
                <w:sz w:val="20"/>
              </w:rPr>
              <w:t xml:space="preserve">Getting this figure took one failure. The earlier capture did not carry those marks, and we had a paragraph in the body excusing it: the browser was headless, its voice list empty, so the marks did not appear. The cause was not the browser but our capture procedure. The voice list is filled asynchronously by </w:t>
            </w:r>
            <w:r>
              <w:rPr>
                <w:rFonts w:ascii="Consolas" w:hAnsi="Consolas" w:eastAsia="Consolas"/>
                <w:sz w:val="19"/>
              </w:rPr>
              <w:t>speechSynthesis</w:t>
            </w:r>
            <w:r>
              <w:rPr>
                <w:rFonts w:ascii="Times New Roman" w:hAnsi="Times New Roman" w:eastAsia="바탕"/>
                <w:sz w:val="20"/>
              </w:rPr>
              <w:t>, and we waited only for the heading of the list before taking the shot, so the shot was taken before the marks were attached. It now waits for the marks themselves to appear on screen.</w:t>
            </w:r>
          </w:p>
          <w:p>
            <w:pPr>
              <w:spacing w:after="80" w:line="276" w:lineRule="auto"/>
              <w:jc w:val="both"/>
            </w:pPr>
            <w:r>
              <w:rPr>
                <w:rFonts w:ascii="Times New Roman" w:hAnsi="Times New Roman" w:eastAsia="바탕"/>
                <w:sz w:val="20"/>
              </w:rPr>
              <w:t>One more thing should be read from it. The disclosure sits below the red line, which is to say it is reached only by scrolling. Putting a disclosure on the screen and the user seeing it are different things, and this screen currently satisfies only the first. Someone choosing a language stops when they find their own in the list and has no reason to go further down. Whether the disclosure should move above the list is left as an item to settle with people present, in the field evaluation of §5.10.</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Institut Pasteur de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to 360 (Table 28).</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Thirty-five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45, and it is why this section presents the free text next to the multiple choice.</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35, 30 answered on a desktop, 3 on mobile and 2 on a tablet.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46]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46]</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9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[Table 47]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35.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117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 Positions and affiliations are likewise as the respondent wrote them. Table 41 uses what we confirmed against the institution's own faculty listing when the list was built, so it is sometimes more specific: respondent Hangil Lee is "Professor · Ewha Womans University" here and "Associate Professor · College of Pharmacy, Ewha Womans University" there.</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(https://huggingface.co/spaces/Supertone/supertonic-3).</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https://health.kr/mediCounsel/pictogram.asp — pictogram information for pharmacists worldwide can be found here.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12</w:t>
                  </w:r>
                </w:p>
              </w:tc>
              <w:tc>
                <w:tcPr>
                  <w:tcW w:type="dxa" w:w="3238"/>
                </w:tcPr>
                <w:p>
                  <w:r>
                    <w:rPr>
                      <w:rFonts w:ascii="Times New Roman" w:hAnsi="Times New Roman" w:eastAsia="바탕"/>
                      <w:sz w:val="18"/>
                    </w:rPr>
                    <w:t>34%</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 Id="rId57" Type="http://schemas.openxmlformats.org/officeDocument/2006/relationships/image" Target="media/image44.png"/><Relationship Id="rId58" Type="http://schemas.openxmlformats.org/officeDocument/2006/relationships/image" Target="media/image45.png"/><Relationship Id="rId59" Type="http://schemas.openxmlformats.org/officeDocument/2006/relationships/image" Target="media/image46.png"/><Relationship Id="rId60" Type="http://schemas.openxmlformats.org/officeDocument/2006/relationships/image" Target="media/image4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