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사람이 스스로 약을 먹고 음식을 고를 수 있게 하는 것을 목적으로 한다. 대상은 저문해 성인과 고령자이며, 이들은 처방전을 받는 순간부터 그 내용에 접근하지 못해 복약 오류·치료 실패·항생제 내성에 노출된다. 앱은 자체 개발한 두 엔진 — 픽토그램을 문법으로 합성하는 SIGIL 과 음성 지시를 재구성하는 VOCA — 을 통해 화면 어디에서도 글을 읽거나 입력할 것을 요구하지 않으며, 판정은 기기 안에서 이루어져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문제의 규모 — 읽지 못하는 사람은 줄지 않고 있다</w:t>
            </w:r>
          </w:p>
          <w:p>
            <w:pPr>
              <w:spacing w:after="80" w:line="276" w:lineRule="auto"/>
              <w:jc w:val="both"/>
            </w:pPr>
            <w:r>
              <w:rPr>
                <w:rFonts w:ascii="Times New Roman" w:hAnsi="Times New Roman" w:eastAsia="바탕"/>
                <w:sz w:val="20"/>
              </w:rPr>
              <w:t>전 세계 비문해 성인은 7억 3,900만 명이며, 그중 약 3분의 2인 4억 6,600만 명이 여성이다 (UNESCO UIS, 2024). 성인 문해율은 2014년 85%에서 2024년 88%로 올랐고 숫자만 보면 개선되고 있다 (UNESCO UIS, 2024).</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w:t>
            </w:r>
            <w:r>
              <w:rPr>
                <w:rFonts w:ascii="Times New Roman" w:hAnsi="Times New Roman" w:eastAsia="바탕"/>
                <w:b/>
                <w:sz w:val="20"/>
              </w:rPr>
              <w:t>오히려 늘었다</w:t>
            </w:r>
            <w:r>
              <w:rPr>
                <w:rFonts w:ascii="Times New Roman" w:hAnsi="Times New Roman" w:eastAsia="바탕"/>
                <w:sz w:val="20"/>
              </w:rPr>
              <w:t xml:space="preserve"> (UNESCO UIS, 2024). 남아시아는 절대수가 3억 3,700만 명으로 가장 많다 (UNESCO UIS, 2024). 비문해 성인의 절반 이상인 4억 4,100만 명이 10개국에 집중되어 있다 (UNESCO UIS, 2024).</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before="180" w:after="40"/>
            </w:pPr>
            <w:r>
              <w:rPr>
                <w:rFonts w:ascii="Times New Roman" w:hAnsi="Times New Roman" w:eastAsia="바탕"/>
                <w:b/>
                <w:sz w:val="23"/>
              </w:rPr>
              <w:t>1.2 이것은 저소득국만의 문제가 아니다</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 42,445명을 대상으로 한 조사에서, 응답자의 </w:t>
            </w:r>
            <w:r>
              <w:rPr>
                <w:rFonts w:ascii="Times New Roman" w:hAnsi="Times New Roman" w:eastAsia="바탕"/>
                <w:b/>
                <w:sz w:val="20"/>
              </w:rPr>
              <w:t>약 46%가 제한적 건강 문해력</w:t>
            </w:r>
            <w:r>
              <w:rPr>
                <w:rFonts w:ascii="Times New Roman" w:hAnsi="Times New Roman" w:eastAsia="바탕"/>
                <w:sz w:val="20"/>
              </w:rPr>
              <w:t>을 보였다 (HLS19, M-POHL, 2019–2021). 충분한 수준은 40%, 우수한 수준은 15%에 그쳤고, 문제적 수준이 33%, 부적절한 수준이 13%였다 (HLS19, 2021).</w:t>
            </w:r>
          </w:p>
          <w:p>
            <w:pPr>
              <w:spacing w:after="80" w:line="276" w:lineRule="auto"/>
              <w:jc w:val="both"/>
            </w:pPr>
            <w:r>
              <w:rPr>
                <w:rFonts w:ascii="Times New Roman" w:hAnsi="Times New Roman" w:eastAsia="바탕"/>
                <w:sz w:val="20"/>
              </w:rPr>
              <w:t>[표 1] 주요국 제한적 건강 문해력 비율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국가·지역</w:t>
                  </w:r>
                </w:p>
              </w:tc>
              <w:tc>
                <w:tcPr>
                  <w:tcW w:type="dxa" w:w="3255"/>
                  <w:shd w:val="clear" w:fill="F2F2F2"/>
                </w:tcPr>
                <w:p>
                  <w:r>
                    <w:rPr>
                      <w:rFonts w:ascii="Times New Roman" w:hAnsi="Times New Roman" w:eastAsia="바탕"/>
                      <w:b/>
                      <w:sz w:val="18"/>
                    </w:rPr>
                    <w:t>제한적 건강 문해력</w:t>
                  </w:r>
                </w:p>
              </w:tc>
              <w:tc>
                <w:tcPr>
                  <w:tcW w:type="dxa" w:w="3255"/>
                  <w:shd w:val="clear" w:fill="F2F2F2"/>
                </w:tcPr>
                <w:p>
                  <w:r>
                    <w:rPr>
                      <w:rFonts w:ascii="Times New Roman" w:hAnsi="Times New Roman" w:eastAsia="바탕"/>
                      <w:b/>
                      <w:sz w:val="18"/>
                    </w:rPr>
                    <w:t>출처</w:t>
                  </w:r>
                </w:p>
              </w:tc>
            </w:tr>
            <w:tr>
              <w:tc>
                <w:tcPr>
                  <w:tcW w:type="dxa" w:w="3255"/>
                </w:tcPr>
                <w:p>
                  <w:r>
                    <w:rPr>
                      <w:rFonts w:ascii="Times New Roman" w:hAnsi="Times New Roman" w:eastAsia="바탕"/>
                      <w:sz w:val="18"/>
                    </w:rPr>
                    <w:t>유럽 17개국 평균</w:t>
                  </w:r>
                </w:p>
              </w:tc>
              <w:tc>
                <w:tcPr>
                  <w:tcW w:type="dxa" w:w="3255"/>
                </w:tcPr>
                <w:p>
                  <w:r>
                    <w:rPr>
                      <w:rFonts w:ascii="Times New Roman" w:hAnsi="Times New Roman" w:eastAsia="바탕"/>
                      <w:sz w:val="18"/>
                    </w:rPr>
                    <w:t>46%</w:t>
                  </w:r>
                </w:p>
              </w:tc>
              <w:tc>
                <w:tcPr>
                  <w:tcW w:type="dxa" w:w="3255"/>
                </w:tcPr>
                <w:p>
                  <w:r>
                    <w:rPr>
                      <w:rFonts w:ascii="Times New Roman" w:hAnsi="Times New Roman" w:eastAsia="바탕"/>
                      <w:sz w:val="18"/>
                    </w:rPr>
                    <w:t>HLS19, M-POHL (2021)</w:t>
                  </w:r>
                </w:p>
              </w:tc>
            </w:tr>
            <w:tr>
              <w:tc>
                <w:tcPr>
                  <w:tcW w:type="dxa" w:w="3255"/>
                </w:tcPr>
                <w:p>
                  <w:r>
                    <w:rPr>
                      <w:rFonts w:ascii="Times New Roman" w:hAnsi="Times New Roman" w:eastAsia="바탕"/>
                      <w:sz w:val="18"/>
                    </w:rPr>
                    <w:t>덴마크</w:t>
                  </w:r>
                </w:p>
              </w:tc>
              <w:tc>
                <w:tcPr>
                  <w:tcW w:type="dxa" w:w="3255"/>
                </w:tcPr>
                <w:p>
                  <w:r>
                    <w:rPr>
                      <w:rFonts w:ascii="Times New Roman" w:hAnsi="Times New Roman" w:eastAsia="바탕"/>
                      <w:sz w:val="18"/>
                    </w:rPr>
                    <w:t>47% (문제적 36% + 부적절 11%)</w:t>
                  </w:r>
                </w:p>
              </w:tc>
              <w:tc>
                <w:tcPr>
                  <w:tcW w:type="dxa" w:w="3255"/>
                </w:tcPr>
                <w:p>
                  <w:r>
                    <w:rPr>
                      <w:rFonts w:ascii="Times New Roman" w:hAnsi="Times New Roman" w:eastAsia="바탕"/>
                      <w:sz w:val="18"/>
                    </w:rPr>
                    <w:t>HLS19 (2021)</w:t>
                  </w:r>
                </w:p>
              </w:tc>
            </w:tr>
            <w:tr>
              <w:tc>
                <w:tcPr>
                  <w:tcW w:type="dxa" w:w="3255"/>
                </w:tcPr>
                <w:p>
                  <w:r>
                    <w:rPr>
                      <w:rFonts w:ascii="Times New Roman" w:hAnsi="Times New Roman" w:eastAsia="바탕"/>
                      <w:sz w:val="18"/>
                    </w:rPr>
                    <w:t>노르웨이</w:t>
                  </w:r>
                </w:p>
              </w:tc>
              <w:tc>
                <w:tcPr>
                  <w:tcW w:type="dxa" w:w="3255"/>
                </w:tcPr>
                <w:p>
                  <w:r>
                    <w:rPr>
                      <w:rFonts w:ascii="Times New Roman" w:hAnsi="Times New Roman" w:eastAsia="바탕"/>
                      <w:sz w:val="18"/>
                    </w:rPr>
                    <w:t>46% (문제적 38% + 부적절 8%)</w:t>
                  </w:r>
                </w:p>
              </w:tc>
              <w:tc>
                <w:tcPr>
                  <w:tcW w:type="dxa" w:w="3255"/>
                </w:tcPr>
                <w:p>
                  <w:r>
                    <w:rPr>
                      <w:rFonts w:ascii="Times New Roman" w:hAnsi="Times New Roman" w:eastAsia="바탕"/>
                      <w:sz w:val="18"/>
                    </w:rPr>
                    <w:t>HLS19 (2021)</w:t>
                  </w:r>
                </w:p>
              </w:tc>
            </w:tr>
            <w:tr>
              <w:tc>
                <w:tcPr>
                  <w:tcW w:type="dxa" w:w="3255"/>
                </w:tcPr>
                <w:p>
                  <w:r>
                    <w:rPr>
                      <w:rFonts w:ascii="Times New Roman" w:hAnsi="Times New Roman" w:eastAsia="바탕"/>
                      <w:sz w:val="18"/>
                    </w:rPr>
                    <w:t>한국 65세 이상</w:t>
                  </w:r>
                </w:p>
              </w:tc>
              <w:tc>
                <w:tcPr>
                  <w:tcW w:type="dxa" w:w="3255"/>
                </w:tcPr>
                <w:p>
                  <w:r>
                    <w:rPr>
                      <w:rFonts w:ascii="Times New Roman" w:hAnsi="Times New Roman" w:eastAsia="바탕"/>
                      <w:sz w:val="18"/>
                    </w:rPr>
                    <w:t>59.7% (충분 40.3%의 여집합)</w:t>
                  </w:r>
                </w:p>
              </w:tc>
              <w:tc>
                <w:tcPr>
                  <w:tcW w:type="dxa" w:w="3255"/>
                </w:tcPr>
                <w:p>
                  <w:r>
                    <w:rPr>
                      <w:rFonts w:ascii="Times New Roman" w:hAnsi="Times New Roman" w:eastAsia="바탕"/>
                      <w:sz w:val="18"/>
                    </w:rPr>
                    <w:t>국민건강영양조사 (2023)</w:t>
                  </w:r>
                </w:p>
              </w:tc>
            </w:tr>
            <w:tr>
              <w:tc>
                <w:tcPr>
                  <w:tcW w:type="dxa" w:w="3255"/>
                </w:tcPr>
                <w:p>
                  <w:r>
                    <w:rPr>
                      <w:rFonts w:ascii="Times New Roman" w:hAnsi="Times New Roman" w:eastAsia="바탕"/>
                      <w:sz w:val="18"/>
                    </w:rPr>
                    <w:t>한국 19~64세</w:t>
                  </w:r>
                </w:p>
              </w:tc>
              <w:tc>
                <w:tcPr>
                  <w:tcW w:type="dxa" w:w="3255"/>
                </w:tcPr>
                <w:p>
                  <w:r>
                    <w:rPr>
                      <w:rFonts w:ascii="Times New Roman" w:hAnsi="Times New Roman" w:eastAsia="바탕"/>
                      <w:sz w:val="18"/>
                    </w:rPr>
                    <w:t>34.1% (충분 65.9%의 여집합)</w:t>
                  </w:r>
                </w:p>
              </w:tc>
              <w:tc>
                <w:tcPr>
                  <w:tcW w:type="dxa" w:w="3255"/>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표 1이 보여주는 것은 이 문제의 지리적 범위가 우리가 흔히 상정하는 것보다 훨씬 넓다는 점이다. 덴마크와 노르웨이에서도 성인의 절반 가까이가 건강 정보를 충분히 다루지 못한다. 한국의 경우 65세 이상에서 충분한 건강정보이해능력을 가진 비율이 40.3%로, 19~64세의 65.9%와 뚜렷한 격차를 보인다 (국민건강영양조사, 2023).</w:t>
            </w:r>
          </w:p>
          <w:p>
            <w:pPr>
              <w:spacing w:after="80" w:line="276" w:lineRule="auto"/>
              <w:jc w:val="both"/>
            </w:pPr>
            <w:r>
              <w:rPr>
                <w:rFonts w:ascii="Times New Roman" w:hAnsi="Times New Roman" w:eastAsia="바탕"/>
                <w:sz w:val="20"/>
              </w:rPr>
              <w:t>이 격차는 임상 결과로 이어진다. 96편의 연구를 종합한 체계적 문헌고찰에 따르면 건강 문해력이 낮은 환자는 응급실 이용이 약 1.52배, 입원이 1.5배 많고, 전체 사망률이 1.53배 높다 (Berkman et al., 2011).</w:t>
            </w:r>
          </w:p>
          <w:p>
            <w:pPr>
              <w:spacing w:before="180" w:after="40"/>
            </w:pPr>
            <w:r>
              <w:rPr>
                <w:rFonts w:ascii="Times New Roman" w:hAnsi="Times New Roman" w:eastAsia="바탕"/>
                <w:b/>
                <w:sz w:val="23"/>
              </w:rPr>
              <w:t>1.3 정보가 도달하지 않을 때 무엇이 일어나는가</w:t>
            </w:r>
          </w:p>
          <w:p>
            <w:pPr>
              <w:spacing w:after="80" w:line="276" w:lineRule="auto"/>
              <w:jc w:val="both"/>
            </w:pPr>
            <w:r>
              <w:rPr>
                <w:rFonts w:ascii="Times New Roman" w:hAnsi="Times New Roman" w:eastAsia="바탕"/>
                <w:sz w:val="20"/>
              </w:rPr>
              <w:t>복약 오류의 유형별 분포를 보면 문제의 성격이 드러난다. 조제 단계 오류에서 누락이 32.9%, 용량 오류가 28.4%, 시각 오류가 23.2%로, 이 셋만으로 전체의 84.5%를 차지한다 (Frequency, Types, and Potential Clinical Significance of Medication-Dispensing Errors, 2009). 사건보고 분석에서도 용량·속도·횟수 오류가 32.0%로 가장 많고, 시각 오류가 13.4%로 뒤를 잇는다.</w:t>
            </w:r>
          </w:p>
          <w:p>
            <w:pPr>
              <w:spacing w:after="80" w:line="276" w:lineRule="auto"/>
              <w:jc w:val="both"/>
            </w:pPr>
            <w:r>
              <w:rPr>
                <w:rFonts w:ascii="Times New Roman" w:hAnsi="Times New Roman" w:eastAsia="바탕"/>
                <w:sz w:val="20"/>
              </w:rPr>
              <w:t>[표 2]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조제 단계 비율</w:t>
                  </w:r>
                </w:p>
              </w:tc>
              <w:tc>
                <w:tcPr>
                  <w:tcW w:type="dxa" w:w="2441"/>
                  <w:shd w:val="clear" w:fill="F2F2F2"/>
                </w:tcPr>
                <w:p>
                  <w:r>
                    <w:rPr>
                      <w:rFonts w:ascii="Times New Roman" w:hAnsi="Times New Roman" w:eastAsia="바탕"/>
                      <w:b/>
                      <w:sz w:val="18"/>
                    </w:rPr>
                    <w:t>심각 위해 가능 오류 중 비율</w:t>
                  </w:r>
                </w:p>
              </w:tc>
              <w:tc>
                <w:tcPr>
                  <w:tcW w:type="dxa" w:w="2441"/>
                  <w:shd w:val="clear" w:fill="F2F2F2"/>
                </w:tcPr>
                <w:p>
                  <w:r>
                    <w:rPr>
                      <w:rFonts w:ascii="Times New Roman" w:hAnsi="Times New Roman" w:eastAsia="바탕"/>
                      <w:b/>
                      <w:sz w:val="18"/>
                    </w:rPr>
                    <w:t>대응하는 형태소</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28.4%</w:t>
                  </w:r>
                </w:p>
              </w:tc>
              <w:tc>
                <w:tcPr>
                  <w:tcW w:type="dxa" w:w="2441"/>
                </w:tcPr>
                <w:p>
                  <w:r>
                    <w:rPr>
                      <w:rFonts w:ascii="Times New Roman" w:hAnsi="Times New Roman" w:eastAsia="바탕"/>
                      <w:sz w:val="18"/>
                    </w:rPr>
                    <w:t>30.7%</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23.2%</w:t>
                  </w:r>
                </w:p>
              </w:tc>
              <w:tc>
                <w:tcPr>
                  <w:tcW w:type="dxa" w:w="2441"/>
                </w:tcPr>
                <w:p>
                  <w:r>
                    <w:rPr>
                      <w:rFonts w:ascii="Times New Roman" w:hAnsi="Times New Roman" w:eastAsia="바탕"/>
                      <w:sz w:val="18"/>
                    </w:rPr>
                    <w:t>17.1%</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32.9%</w:t>
                  </w:r>
                </w:p>
              </w:tc>
              <w:tc>
                <w:tcPr>
                  <w:tcW w:type="dxa" w:w="2441"/>
                </w:tcPr>
                <w:p>
                  <w:r>
                    <w:rPr>
                      <w:rFonts w:ascii="Times New Roman" w:hAnsi="Times New Roman" w:eastAsia="바탕"/>
                      <w:sz w:val="18"/>
                    </w:rPr>
                    <w:t>—</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중복 처방</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14.4%</w:t>
                  </w:r>
                </w:p>
              </w:tc>
              <w:tc>
                <w:tcPr>
                  <w:tcW w:type="dxa" w:w="2441"/>
                </w:tcPr>
                <w:p>
                  <w:r>
                    <w:rPr>
                      <w:rFonts w:ascii="Times New Roman" w:hAnsi="Times New Roman" w:eastAsia="바탕"/>
                      <w:sz w:val="18"/>
                    </w:rPr>
                    <w:t>상호작용 판정</w:t>
                  </w:r>
                </w:p>
              </w:tc>
            </w:tr>
          </w:tbl>
          <w:p/>
          <w:p>
            <w:pPr>
              <w:spacing w:after="120"/>
            </w:pPr>
          </w:p>
          <w:p>
            <w:pPr>
              <w:spacing w:after="80" w:line="276" w:lineRule="auto"/>
              <w:jc w:val="both"/>
            </w:pPr>
            <w:r>
              <w:rPr>
                <w:rFonts w:ascii="Times New Roman" w:hAnsi="Times New Roman" w:eastAsia="바탕"/>
                <w:sz w:val="20"/>
              </w:rPr>
              <w:t xml:space="preserve">표 2는 오류의 대부분이 </w:t>
            </w:r>
            <w:r>
              <w:rPr>
                <w:rFonts w:ascii="Times New Roman" w:hAnsi="Times New Roman" w:eastAsia="바탕"/>
                <w:b/>
                <w:sz w:val="20"/>
              </w:rPr>
              <w:t>"무엇을·얼마나·언제"</w:t>
            </w:r>
            <w:r>
              <w:rPr>
                <w:rFonts w:ascii="Times New Roman" w:hAnsi="Times New Roman" w:eastAsia="바탕"/>
                <w:sz w:val="20"/>
              </w:rPr>
              <w:t xml:space="preserve">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결과는 비용과 사망으로 나타난다. 복약 오류 관련 전 세계 연간 비용은 약 420억 달러로 추정된다 (WHO, 2017). 미국에서는 복약 비순응의 직접 비용이 연 1,000억 달러, 회피 가능한 지출까지 포함하면 최대 3,000억 달러에 이르며, 연간 125,000명의 사망과 입원의 최소 10%가 비순응과 연관된다 (Duke Health). 고령자에서는 약물이상반응이 입원의 약 10%를 차지한다 (WHO).</w:t>
            </w:r>
          </w:p>
          <w:p>
            <w:pPr>
              <w:spacing w:before="180" w:after="40"/>
            </w:pPr>
            <w:r>
              <w:rPr>
                <w:rFonts w:ascii="Times New Roman" w:hAnsi="Times New Roman" w:eastAsia="바탕"/>
                <w:b/>
                <w:sz w:val="23"/>
              </w:rPr>
              <w:t>1.4 문제는 인식되었으나 마지막 한 걸음에 닿지 않았다</w:t>
            </w:r>
          </w:p>
          <w:p>
            <w:pPr>
              <w:spacing w:after="80" w:line="276" w:lineRule="auto"/>
              <w:jc w:val="both"/>
            </w:pPr>
            <w:r>
              <w:rPr>
                <w:rFonts w:ascii="Times New Roman" w:hAnsi="Times New Roman" w:eastAsia="바탕"/>
                <w:sz w:val="20"/>
              </w:rPr>
              <w:t xml:space="preserve">세계보건기구는 2017년 제3차 국제 환자안전 과제로 </w:t>
            </w:r>
            <w:r>
              <w:rPr>
                <w:rFonts w:ascii="Times New Roman" w:hAnsi="Times New Roman" w:eastAsia="바탕"/>
                <w:b/>
                <w:sz w:val="20"/>
              </w:rPr>
              <w:t>Medication Without Harm</w:t>
            </w:r>
            <w:r>
              <w:rPr>
                <w:rFonts w:ascii="Times New Roman" w:hAnsi="Times New Roman" w:eastAsia="바탕"/>
                <w:sz w:val="20"/>
              </w:rPr>
              <w:t xml:space="preserve">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(WHO, 2024).</w:t>
            </w:r>
          </w:p>
          <w:p>
            <w:pPr>
              <w:spacing w:after="80" w:line="276" w:lineRule="auto"/>
              <w:jc w:val="both"/>
            </w:pPr>
            <w:r>
              <w:rPr>
                <w:rFonts w:ascii="Times New Roman" w:hAnsi="Times New Roman" w:eastAsia="바탕"/>
                <w:sz w:val="20"/>
              </w:rPr>
              <w:t xml:space="preserve">이 간극은 문제가 인식되지 않았기 때문이 아니다. 국가 정책과 의료 체계가 닿을 수 있는 범위가 진료실과 약국까지이며, </w:t>
            </w:r>
            <w:r>
              <w:rPr>
                <w:rFonts w:ascii="Times New Roman" w:hAnsi="Times New Roman" w:eastAsia="바탕"/>
                <w:b/>
                <w:sz w:val="20"/>
              </w:rPr>
              <w:t>환자가 집에서 약봉지를 여는 순간</w:t>
            </w:r>
            <w:r>
              <w:rPr>
                <w:rFonts w:ascii="Times New Roman" w:hAnsi="Times New Roman" w:eastAsia="바탕"/>
                <w:sz w:val="20"/>
              </w:rPr>
              <w:t>은 그 범위 밖에 있기 때문이다. SnapCare 가 개입하는 지점이 정확히 그 마지막 한 걸음이다.</w:t>
            </w:r>
          </w:p>
          <w:p>
            <w:pPr>
              <w:spacing w:before="180" w:after="40"/>
            </w:pPr>
            <w:r>
              <w:rPr>
                <w:rFonts w:ascii="Times New Roman" w:hAnsi="Times New Roman" w:eastAsia="바탕"/>
                <w:b/>
                <w:sz w:val="23"/>
              </w:rPr>
              <w:t>1.5 진단받지 못한 사람이 절반에 가깝다</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전 세계 성인 당뇨 유병률은 11.11%로 5억 8,900만 명에 이르며, 이 가운데 </w:t>
            </w:r>
            <w:r>
              <w:rPr>
                <w:rFonts w:ascii="Times New Roman" w:hAnsi="Times New Roman" w:eastAsia="바탕"/>
                <w:b/>
                <w:sz w:val="20"/>
              </w:rPr>
              <w:t>42.8%인 2억 5,170만 명이 진단받지 못한 상태다</w:t>
            </w:r>
            <w:r>
              <w:rPr>
                <w:rFonts w:ascii="Times New Roman" w:hAnsi="Times New Roman" w:eastAsia="바탕"/>
                <w:sz w:val="20"/>
              </w:rPr>
              <w:t xml:space="preserve"> (IDF Diabetes Atlas 11판, 2024). 미진단 비율은 지역에 따라 북미·카리브해 29.1%에서 아프리카 72.6%까지 벌어지고, 국가 단위로는 콜롬비아 16.2%에서 부르키나파소 90.4%까지 분포한다 (IDF, 2024). 미진단 당뇨인의 약 90%가 저·중소득국에 거주한다 (IDF, 2024).</w:t>
            </w:r>
          </w:p>
          <w:p>
            <w:pPr>
              <w:spacing w:after="80" w:line="276" w:lineRule="auto"/>
              <w:jc w:val="both"/>
            </w:pPr>
            <w:r>
              <w:rPr>
                <w:rFonts w:ascii="Times New Roman" w:hAnsi="Times New Roman" w:eastAsia="바탕"/>
                <w:sz w:val="20"/>
              </w:rPr>
              <w:t>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(FARE, 2024).</w:t>
            </w:r>
          </w:p>
          <w:p>
            <w:pPr>
              <w:spacing w:after="80" w:line="276" w:lineRule="auto"/>
              <w:jc w:val="both"/>
            </w:pPr>
            <w:r>
              <w:rPr>
                <w:rFonts w:ascii="Times New Roman" w:hAnsi="Times New Roman" w:eastAsia="바탕"/>
                <w:sz w:val="20"/>
              </w:rPr>
              <w:t xml:space="preserve">따라서 "당신은 무슨 알레르기가 있습니까" 라는 질문은 </w:t>
            </w:r>
            <w:r>
              <w:rPr>
                <w:rFonts w:ascii="Times New Roman" w:hAnsi="Times New Roman" w:eastAsia="바탕"/>
                <w:b/>
                <w:sz w:val="20"/>
              </w:rPr>
              <w:t>검사를 받아 본 사람만 답할 수 있는 질문</w:t>
            </w:r>
            <w:r>
              <w:rPr>
                <w:rFonts w:ascii="Times New Roman" w:hAnsi="Times New Roman" w:eastAsia="바탕"/>
                <w:sz w:val="20"/>
              </w:rPr>
              <w:t>이다. 이 전제를 그대로 두면 정작 도움이 가장 필요한 사람이 처음 화면에서 걸러진다.</w:t>
            </w:r>
          </w:p>
          <w:p>
            <w:pPr>
              <w:spacing w:before="180" w:after="40"/>
            </w:pPr>
            <w:r>
              <w:rPr>
                <w:rFonts w:ascii="Times New Roman" w:hAnsi="Times New Roman" w:eastAsia="바탕"/>
                <w:b/>
                <w:sz w:val="23"/>
              </w:rPr>
              <w:t>1.6 전달 경로는 이미 열려 있다</w:t>
            </w:r>
          </w:p>
          <w:p>
            <w:pPr>
              <w:spacing w:after="80" w:line="276" w:lineRule="auto"/>
              <w:jc w:val="both"/>
            </w:pPr>
            <w:r>
              <w:rPr>
                <w:rFonts w:ascii="Times New Roman" w:hAnsi="Times New Roman" w:eastAsia="바탕"/>
                <w:sz w:val="20"/>
              </w:rPr>
              <w:t>문제를 해결할 매체 자체는 이미 보급되어 있다. 미국의 65세 이상 스마트폰 보유율은 2024년 76%에서 2025년 78%로 상승했으며, 이는 불과 2년 전의 61%에서 급격히 오른 수치다 (Pew Research Center, 2024–2025). 사하라이남 아프리카의 모바일 인터넷 이용자는 2022년 약 2억 8,700만 명에서 2030년 4억 3,800만 명으로, 스마트폰 보급률은 51%에서 88%로 확대될 전망이다 (GSMA, 2023).</w:t>
            </w:r>
          </w:p>
          <w:p>
            <w:pPr>
              <w:spacing w:after="80" w:line="276" w:lineRule="auto"/>
              <w:jc w:val="both"/>
            </w:pPr>
            <w:r>
              <w:rPr>
                <w:rFonts w:ascii="Times New Roman" w:hAnsi="Times New Roman" w:eastAsia="바탕"/>
                <w:sz w:val="20"/>
              </w:rPr>
              <w:t>[표 3] 연령대별 스마트폰 보유율 (미국, 2024–2025)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76~78%</w:t>
                  </w:r>
                </w:p>
              </w:tc>
            </w:tr>
          </w:tbl>
          <w:p/>
          <w:p>
            <w:pPr>
              <w:spacing w:after="120"/>
            </w:pPr>
          </w:p>
          <w:p>
            <w:pPr>
              <w:spacing w:after="80" w:line="276" w:lineRule="auto"/>
              <w:jc w:val="both"/>
            </w:pPr>
            <w:r>
              <w:rPr>
                <w:rFonts w:ascii="Times New Roman" w:hAnsi="Times New Roman" w:eastAsia="바탕"/>
                <w:sz w:val="20"/>
              </w:rPr>
              <w:t xml:space="preserve">표 3이 말하는 것은 </w:t>
            </w:r>
            <w:r>
              <w:rPr>
                <w:rFonts w:ascii="Times New Roman" w:hAnsi="Times New Roman" w:eastAsia="바탕"/>
                <w:b/>
                <w:sz w:val="20"/>
              </w:rPr>
              <w:t>기기가 없어서 쓰지 못하는 것이 아니라는 사실</w:t>
            </w:r>
            <w:r>
              <w:rPr>
                <w:rFonts w:ascii="Times New Roman" w:hAnsi="Times New Roman" w:eastAsia="바탕"/>
                <w:sz w:val="20"/>
              </w:rPr>
              <w:t>이다. 고령층의 네 명 중 세 명이 이미 스마트폰을 가지고 있다. 접근을 막는 것은 기기가 아니라 그 화면이 읽기를 요구한다는 점이다.</w:t>
            </w:r>
          </w:p>
          <w:p>
            <w:pPr>
              <w:spacing w:before="180" w:after="40"/>
            </w:pPr>
            <w:r>
              <w:rPr>
                <w:rFonts w:ascii="Times New Roman" w:hAnsi="Times New Roman" w:eastAsia="바탕"/>
                <w:b/>
                <w:sz w:val="23"/>
              </w:rPr>
              <w:t>1.7 대상 인구는 늘고, 저·중소득국으로 이동한다</w:t>
            </w:r>
          </w:p>
          <w:p>
            <w:pPr>
              <w:spacing w:after="80" w:line="276" w:lineRule="auto"/>
              <w:jc w:val="both"/>
            </w:pPr>
            <w:r>
              <w:rPr>
                <w:rFonts w:ascii="Times New Roman" w:hAnsi="Times New Roman" w:eastAsia="바탕"/>
                <w:sz w:val="20"/>
              </w:rPr>
              <w:t>60세 이상 인구는 2020년 10억 명에서 2030년 14억 명으로 증가하며, 2030년에는 세계 인구 여섯 명 중 한 명이 60세 이상이 된다 (WHO). 더 중요한 것은 그 분포다. 2030년 60세 이상 인구의 80%가 저·중소득국에 거주하게 되며, 2050년에는 그 비율이 3분의 2에 이른다 (WHO; WEF, 2025).</w:t>
            </w:r>
          </w:p>
          <w:p>
            <w:pPr>
              <w:spacing w:after="80" w:line="276" w:lineRule="auto"/>
              <w:jc w:val="both"/>
            </w:pPr>
            <w:r>
              <w:rPr>
                <w:rFonts w:ascii="Times New Roman" w:hAnsi="Times New Roman" w:eastAsia="바탕"/>
                <w:sz w:val="20"/>
              </w:rPr>
              <w:t xml:space="preserve">고령화는 흔히 부유한 국가의 문제로 인식되지만 실제로는 반대 방향으로 이동하고 있다. 그리고 저·중소득국의 고령자는 </w:t>
            </w:r>
            <w:r>
              <w:rPr>
                <w:rFonts w:ascii="Times New Roman" w:hAnsi="Times New Roman" w:eastAsia="바탕"/>
                <w:b/>
                <w:sz w:val="20"/>
              </w:rPr>
              <w:t>문해력이 낮을 가능성이 높고, 여러 약을 동시에 복용하며, 의료 접근이 어려운 사람</w:t>
            </w:r>
            <w:r>
              <w:rPr>
                <w:rFonts w:ascii="Times New Roman" w:hAnsi="Times New Roman" w:eastAsia="바탕"/>
                <w:sz w:val="20"/>
              </w:rPr>
              <w:t xml:space="preserve"> 이라는 세 조건이 겹치는 집단이다.</w:t>
            </w:r>
          </w:p>
          <w:p>
            <w:pPr>
              <w:spacing w:after="80" w:line="276" w:lineRule="auto"/>
              <w:jc w:val="both"/>
            </w:pPr>
            <w:r>
              <w:rPr>
                <w:rFonts w:ascii="Times New Roman" w:hAnsi="Times New Roman" w:eastAsia="바탕"/>
                <w:sz w:val="20"/>
              </w:rPr>
              <w:t>한국의 자료가 이 겹침을 구체적으로 보여준다. 한국 고령자의 79.4%가 스스로 약을 관리하지만, 복약 안전 교육을 받은 비율은 28.2%에 그친다 (PMC8544505). 그리고 그 연령대의 건강정보이해능력 충분 비율은 40.3%다 (국민건강영양조사,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몰도바에서도 같은 구조가 관찰된다. 고령 인구 비중은 27%로 두 배 이상 증가할 전망이며, 질병 부담은 비감염성 질환에 압도적으로 집중되어 있다 (World Bank). 건강 문해력 수준이 1차 의료 서비스 접근을 결정한다는 것이 몰도바 인구를 대상으로 한 연구에서 확인되었다 (PMC7532569).</w:t>
            </w:r>
          </w:p>
          <w:p>
            <w:pPr>
              <w:spacing w:before="180" w:after="40"/>
            </w:pPr>
            <w:r>
              <w:rPr>
                <w:rFonts w:ascii="Times New Roman" w:hAnsi="Times New Roman" w:eastAsia="바탕"/>
                <w:b/>
                <w:sz w:val="23"/>
              </w:rPr>
              <w:t>1.8 시각적 전달은 효과가 있으나, 그 자체로 충분하지 않다</w:t>
            </w:r>
          </w:p>
          <w:p>
            <w:pPr>
              <w:spacing w:after="80" w:line="276" w:lineRule="auto"/>
              <w:jc w:val="both"/>
            </w:pPr>
            <w:r>
              <w:rPr>
                <w:rFonts w:ascii="Times New Roman" w:hAnsi="Times New Roman" w:eastAsia="바탕"/>
                <w:sz w:val="20"/>
              </w:rPr>
              <w:t>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1970s). 보건 의사소통 영역에서도 문자에 밀접히 결합된 그림은 문자 단독 대비 주의와 회상을 뚜렷이 증가시킨다 (Houts et al.,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 xml:space="preserve">첫째, Houts 등의 결과는 그림을 </w:t>
            </w:r>
            <w:r>
              <w:rPr>
                <w:rFonts w:ascii="Times New Roman" w:hAnsi="Times New Roman" w:eastAsia="바탕"/>
                <w:b/>
                <w:sz w:val="20"/>
              </w:rPr>
              <w:t>문자와 함께</w:t>
            </w:r>
            <w:r>
              <w:rPr>
                <w:rFonts w:ascii="Times New Roman" w:hAnsi="Times New Roman" w:eastAsia="바탕"/>
                <w:sz w:val="20"/>
              </w:rPr>
              <w:t xml:space="preserve"> 놓았을 때의 것이다. 문자를 제거한 조건에서의 효과는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를 함께 요구한다 (ANSI Z535.3-2022).</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4]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연구</w:t>
                  </w:r>
                </w:p>
              </w:tc>
              <w:tc>
                <w:tcPr>
                  <w:tcW w:type="dxa" w:w="3255"/>
                  <w:shd w:val="clear" w:fill="F2F2F2"/>
                </w:tcPr>
                <w:p>
                  <w:r>
                    <w:rPr>
                      <w:rFonts w:ascii="Times New Roman" w:hAnsi="Times New Roman" w:eastAsia="바탕"/>
                      <w:b/>
                      <w:sz w:val="18"/>
                    </w:rPr>
                    <w:t>대상</w:t>
                  </w:r>
                </w:p>
              </w:tc>
              <w:tc>
                <w:tcPr>
                  <w:tcW w:type="dxa" w:w="3255"/>
                  <w:shd w:val="clear" w:fill="F2F2F2"/>
                </w:tcPr>
                <w:p>
                  <w:r>
                    <w:rPr>
                      <w:rFonts w:ascii="Times New Roman" w:hAnsi="Times New Roman" w:eastAsia="바탕"/>
                      <w:b/>
                      <w:sz w:val="18"/>
                    </w:rPr>
                    <w:t>결과</w:t>
                  </w:r>
                </w:p>
              </w:tc>
            </w:tr>
            <w:tr>
              <w:tc>
                <w:tcPr>
                  <w:tcW w:type="dxa" w:w="3255"/>
                </w:tcPr>
                <w:p>
                  <w:r>
                    <w:rPr>
                      <w:rFonts w:ascii="Times New Roman" w:hAnsi="Times New Roman" w:eastAsia="바탕"/>
                      <w:sz w:val="18"/>
                    </w:rPr>
                    <w:t>필리핀 성인 대상 평가</w:t>
                  </w:r>
                </w:p>
              </w:tc>
              <w:tc>
                <w:tcPr>
                  <w:tcW w:type="dxa" w:w="3255"/>
                </w:tcPr>
                <w:p>
                  <w:r>
                    <w:rPr>
                      <w:rFonts w:ascii="Times New Roman" w:hAnsi="Times New Roman" w:eastAsia="바탕"/>
                      <w:sz w:val="18"/>
                    </w:rPr>
                    <w:t>의약 픽토그램</w:t>
                  </w:r>
                </w:p>
              </w:tc>
              <w:tc>
                <w:tcPr>
                  <w:tcW w:type="dxa" w:w="3255"/>
                </w:tcPr>
                <w:p>
                  <w:r>
                    <w:rPr>
                      <w:rFonts w:ascii="Times New Roman" w:hAnsi="Times New Roman" w:eastAsia="바탕"/>
                      <w:sz w:val="18"/>
                    </w:rPr>
                    <w:t xml:space="preserve">ISO 67% 기준 통과 </w:t>
                  </w:r>
                  <w:r>
                    <w:rPr>
                      <w:rFonts w:ascii="Times New Roman" w:hAnsi="Times New Roman" w:eastAsia="바탕"/>
                      <w:b/>
                      <w:sz w:val="18"/>
                    </w:rPr>
                    <w:t>45.8%</w:t>
                  </w:r>
                  <w:r>
                    <w:rPr>
                      <w:rFonts w:ascii="Times New Roman" w:hAnsi="Times New Roman" w:eastAsia="바탕"/>
                      <w:sz w:val="18"/>
                    </w:rPr>
                    <w:t xml:space="preserve">, ANSI 85% 기준 통과 </w:t>
                  </w:r>
                  <w:r>
                    <w:rPr>
                      <w:rFonts w:ascii="Times New Roman" w:hAnsi="Times New Roman" w:eastAsia="바탕"/>
                      <w:b/>
                      <w:sz w:val="18"/>
                    </w:rPr>
                    <w:t>8.3%</w:t>
                  </w:r>
                </w:p>
              </w:tc>
            </w:tr>
            <w:tr>
              <w:tc>
                <w:tcPr>
                  <w:tcW w:type="dxa" w:w="3255"/>
                </w:tcPr>
                <w:p>
                  <w:r>
                    <w:rPr>
                      <w:rFonts w:ascii="Times New Roman" w:hAnsi="Times New Roman" w:eastAsia="바탕"/>
                      <w:sz w:val="18"/>
                    </w:rPr>
                    <w:t>Dowse et al. (2012)</w:t>
                  </w:r>
                </w:p>
              </w:tc>
              <w:tc>
                <w:tcPr>
                  <w:tcW w:type="dxa" w:w="3255"/>
                </w:tcPr>
                <w:p>
                  <w:r>
                    <w:rPr>
                      <w:rFonts w:ascii="Times New Roman" w:hAnsi="Times New Roman" w:eastAsia="바탕"/>
                      <w:sz w:val="18"/>
                    </w:rPr>
                    <w:t>픽토그램 9종</w:t>
                  </w:r>
                </w:p>
              </w:tc>
              <w:tc>
                <w:tcPr>
                  <w:tcW w:type="dxa" w:w="3255"/>
                </w:tcPr>
                <w:p>
                  <w:r>
                    <w:rPr>
                      <w:rFonts w:ascii="Times New Roman" w:hAnsi="Times New Roman" w:eastAsia="바탕"/>
                      <w:sz w:val="18"/>
                    </w:rPr>
                    <w:t xml:space="preserve">ISO 기준 통과 </w:t>
                  </w:r>
                  <w:r>
                    <w:rPr>
                      <w:rFonts w:ascii="Times New Roman" w:hAnsi="Times New Roman" w:eastAsia="바탕"/>
                      <w:b/>
                      <w:sz w:val="18"/>
                    </w:rPr>
                    <w:t>3종</w:t>
                  </w:r>
                  <w:r>
                    <w:rPr>
                      <w:rFonts w:ascii="Times New Roman" w:hAnsi="Times New Roman" w:eastAsia="바탕"/>
                      <w:sz w:val="18"/>
                    </w:rPr>
                    <w:t xml:space="preserve"> (두통·발진·구토)</w:t>
                  </w:r>
                </w:p>
              </w:tc>
            </w:tr>
            <w:tr>
              <w:tc>
                <w:tcPr>
                  <w:tcW w:type="dxa" w:w="3255"/>
                </w:tcPr>
                <w:p>
                  <w:r>
                    <w:rPr>
                      <w:rFonts w:ascii="Times New Roman" w:hAnsi="Times New Roman" w:eastAsia="바탕"/>
                      <w:sz w:val="18"/>
                    </w:rPr>
                    <w:t>Dowse &amp; Ehlers (2005)</w:t>
                  </w:r>
                </w:p>
              </w:tc>
              <w:tc>
                <w:tcPr>
                  <w:tcW w:type="dxa" w:w="3255"/>
                </w:tcPr>
                <w:p>
                  <w:r>
                    <w:rPr>
                      <w:rFonts w:ascii="Times New Roman" w:hAnsi="Times New Roman" w:eastAsia="바탕"/>
                      <w:sz w:val="18"/>
                    </w:rPr>
                    <w:t>현지 제작 vs. USP</w:t>
                  </w:r>
                </w:p>
              </w:tc>
              <w:tc>
                <w:tcPr>
                  <w:tcW w:type="dxa" w:w="3255"/>
                </w:tcPr>
                <w:p>
                  <w:r>
                    <w:rPr>
                      <w:rFonts w:ascii="Times New Roman" w:hAnsi="Times New Roman" w:eastAsia="바탕"/>
                      <w:sz w:val="18"/>
                    </w:rPr>
                    <w:t xml:space="preserve">ANSI 기준 통과 현지 </w:t>
                  </w:r>
                  <w:r>
                    <w:rPr>
                      <w:rFonts w:ascii="Times New Roman" w:hAnsi="Times New Roman" w:eastAsia="바탕"/>
                      <w:b/>
                      <w:sz w:val="18"/>
                    </w:rPr>
                    <w:t>20종</w:t>
                  </w:r>
                  <w:r>
                    <w:rPr>
                      <w:rFonts w:ascii="Times New Roman" w:hAnsi="Times New Roman" w:eastAsia="바탕"/>
                      <w:sz w:val="18"/>
                    </w:rPr>
                    <w:t xml:space="preserve"> vs. USP </w:t>
                  </w:r>
                  <w:r>
                    <w:rPr>
                      <w:rFonts w:ascii="Times New Roman" w:hAnsi="Times New Roman" w:eastAsia="바탕"/>
                      <w:b/>
                      <w:sz w:val="18"/>
                    </w:rPr>
                    <w:t>11종</w:t>
                  </w:r>
                </w:p>
              </w:tc>
            </w:tr>
            <w:tr>
              <w:tc>
                <w:tcPr>
                  <w:tcW w:type="dxa" w:w="3255"/>
                </w:tcPr>
                <w:p>
                  <w:r>
                    <w:rPr>
                      <w:rFonts w:ascii="Times New Roman" w:hAnsi="Times New Roman" w:eastAsia="바탕"/>
                      <w:sz w:val="18"/>
                    </w:rPr>
                    <w:t>이란 대상 연구 (2020)</w:t>
                  </w:r>
                </w:p>
              </w:tc>
              <w:tc>
                <w:tcPr>
                  <w:tcW w:type="dxa" w:w="3255"/>
                </w:tcPr>
                <w:p>
                  <w:r>
                    <w:rPr>
                      <w:rFonts w:ascii="Times New Roman" w:hAnsi="Times New Roman" w:eastAsia="바탕"/>
                      <w:sz w:val="18"/>
                    </w:rPr>
                    <w:t>USP 픽토그램</w:t>
                  </w:r>
                </w:p>
              </w:tc>
              <w:tc>
                <w:tcPr>
                  <w:tcW w:type="dxa" w:w="3255"/>
                </w:tcPr>
                <w:p>
                  <w:r>
                    <w:rPr>
                      <w:rFonts w:ascii="Times New Roman" w:hAnsi="Times New Roman" w:eastAsia="바탕"/>
                      <w:sz w:val="18"/>
                    </w:rPr>
                    <w:t xml:space="preserve">정답률 </w:t>
                  </w:r>
                  <w:r>
                    <w:rPr>
                      <w:rFonts w:ascii="Times New Roman" w:hAnsi="Times New Roman" w:eastAsia="바탕"/>
                      <w:b/>
                      <w:sz w:val="18"/>
                    </w:rPr>
                    <w:t>0~68%</w:t>
                  </w:r>
                  <w:r>
                    <w:rPr>
                      <w:rFonts w:ascii="Times New Roman" w:hAnsi="Times New Roman" w:eastAsia="바탕"/>
                      <w:sz w:val="18"/>
                    </w:rPr>
                    <w:t>, 오답률 28.6~80.3%</w:t>
                  </w:r>
                </w:p>
              </w:tc>
            </w:tr>
          </w:tbl>
          <w:p/>
          <w:p>
            <w:pPr>
              <w:spacing w:after="120"/>
            </w:pPr>
          </w:p>
          <w:p>
            <w:pPr>
              <w:spacing w:after="80" w:line="276" w:lineRule="auto"/>
              <w:jc w:val="both"/>
            </w:pPr>
            <w:r>
              <w:rPr>
                <w:rFonts w:ascii="Times New Roman" w:hAnsi="Times New Roman" w:eastAsia="바탕"/>
                <w:sz w:val="20"/>
              </w:rPr>
              <w:t xml:space="preserve">표 4가 보여주는 것은 </w:t>
            </w:r>
            <w:r>
              <w:rPr>
                <w:rFonts w:ascii="Times New Roman" w:hAnsi="Times New Roman" w:eastAsia="바탕"/>
                <w:b/>
                <w:sz w:val="20"/>
              </w:rPr>
              <w:t>픽토그램을 만든다고 해서 읽히는 것이 아니라는 사실</w:t>
            </w:r>
            <w:r>
              <w:rPr>
                <w:rFonts w:ascii="Times New Roman" w:hAnsi="Times New Roman" w:eastAsia="바탕"/>
                <w:sz w:val="20"/>
              </w:rPr>
              <w:t xml:space="preserve">이다. 실제로 시험된 의약 픽토그램 중 절반 이하만이 ISO 기준을 통과했고, ANSI 기준은 열에 하나도 넘기지 못했다 (필리핀 연구). 나아가 건강 문해력이 낮을수록 픽토그램 오독률이 높다는 것이 통계적으로 확인되었으며 (Dowse, 2023), 저문해 환자에게서는 알아보지 못하면서 안다고 믿는 </w:t>
            </w:r>
            <w:r>
              <w:rPr>
                <w:rFonts w:ascii="Times New Roman" w:hAnsi="Times New Roman" w:eastAsia="바탕"/>
                <w:b/>
                <w:sz w:val="20"/>
              </w:rPr>
              <w:t>거짓 확신(false confidence)</w:t>
            </w:r>
            <w:r>
              <w:rPr>
                <w:rFonts w:ascii="Times New Roman" w:hAnsi="Times New Roman" w:eastAsia="바탕"/>
                <w:sz w:val="20"/>
              </w:rPr>
              <w:t xml:space="preserve"> 현상까지 보고되었다 (Patient Education and Counseling).</w:t>
            </w:r>
          </w:p>
          <w:p>
            <w:pPr>
              <w:spacing w:after="80" w:line="276" w:lineRule="auto"/>
              <w:jc w:val="both"/>
            </w:pPr>
            <w:r>
              <w:rPr>
                <w:rFonts w:ascii="Times New Roman" w:hAnsi="Times New Roman" w:eastAsia="바탕"/>
                <w:sz w:val="20"/>
              </w:rPr>
              <w:t xml:space="preserve">이것이 본 연구가 픽토그램을 만드는 데 그치지 않고 </w:t>
            </w:r>
            <w:r>
              <w:rPr>
                <w:rFonts w:ascii="Times New Roman" w:hAnsi="Times New Roman" w:eastAsia="바탕"/>
                <w:b/>
                <w:sz w:val="20"/>
              </w:rPr>
              <w:t>그 이해도를 측정하는 절차를 함께 설계한 이유</w:t>
            </w:r>
            <w:r>
              <w:rPr>
                <w:rFonts w:ascii="Times New Roman" w:hAnsi="Times New Roman" w:eastAsia="바탕"/>
                <w:sz w:val="20"/>
              </w:rPr>
              <w:t>다.</w:t>
            </w:r>
          </w:p>
          <w:p>
            <w:pPr>
              <w:spacing w:before="180" w:after="40"/>
            </w:pPr>
            <w:r>
              <w:rPr>
                <w:rFonts w:ascii="Times New Roman" w:hAnsi="Times New Roman" w:eastAsia="바탕"/>
                <w:b/>
                <w:sz w:val="23"/>
              </w:rPr>
              <w:t>1.9 기존 표준의 한계 — 결합할 수 없다</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(USP).</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w:t>
            </w:r>
            <w:r>
              <w:rPr>
                <w:rFonts w:ascii="Times New Roman" w:hAnsi="Times New Roman" w:eastAsia="바탕"/>
                <w:b/>
                <w:sz w:val="20"/>
              </w:rPr>
              <w:t>명시적 제약</w:t>
            </w:r>
            <w:r>
              <w:rPr>
                <w:rFonts w:ascii="Times New Roman" w:hAnsi="Times New Roman" w:eastAsia="바탕"/>
                <w:sz w:val="20"/>
              </w:rPr>
              <w:t>이다. USP 라이선스는 "81개 심볼은 변형하거나 다른 이미지와 결합해서는 안 된다" 고 규정한다 (USP License Agreement). 즉 표준을 준수하는 한 조합은 앞으로도 불가능하다.</w:t>
            </w:r>
          </w:p>
          <w:p>
            <w:pPr>
              <w:spacing w:after="80" w:line="276" w:lineRule="auto"/>
              <w:jc w:val="both"/>
            </w:pPr>
            <w:r>
              <w:rPr>
                <w:rFonts w:ascii="Times New Roman" w:hAnsi="Times New Roman" w:eastAsia="바탕"/>
                <w:sz w:val="20"/>
              </w:rPr>
              <w:t>또한 USP 픽토그램의 자막(subtitle)이 문자 기반이며 최신 근거를 반영하지 못한다는 지적과 (Patient Preference and Adherence), 문화권에 따라 이해도가 달라 문화 적응판이 필요하다는 권고가 있다 (나이지리아·이란 대상 연구).</w:t>
            </w:r>
          </w:p>
          <w:p>
            <w:pPr>
              <w:spacing w:before="180" w:after="40"/>
            </w:pPr>
            <w:r>
              <w:rPr>
                <w:rFonts w:ascii="Times New Roman" w:hAnsi="Times New Roman" w:eastAsia="바탕"/>
                <w:b/>
                <w:sz w:val="23"/>
              </w:rPr>
              <w:t>1.10 문자를 없애는 것만으로는 접근성이 완성되지 않는다</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w:t>
            </w:r>
            <w:r>
              <w:rPr>
                <w:rFonts w:ascii="Times New Roman" w:hAnsi="Times New Roman" w:eastAsia="바탕"/>
                <w:b/>
                <w:sz w:val="20"/>
              </w:rPr>
              <w:t>"누구의 개입도 없이 사용할 수 있을 것"</w:t>
            </w:r>
            <w:r>
              <w:rPr>
                <w:rFonts w:ascii="Times New Roman" w:hAnsi="Times New Roman" w:eastAsia="바탕"/>
                <w:sz w:val="20"/>
              </w:rPr>
              <w:t xml:space="preserve"> 이었다 (Medhi, Sagar &amp; Toyama, ITID 4(1), 2007). 이 기준은 설명이 필요한 단계를 만들지 않는다는 것을 뜻한다.</w:t>
            </w:r>
          </w:p>
          <w:p>
            <w:pPr>
              <w:spacing w:after="80" w:line="276" w:lineRule="auto"/>
              <w:jc w:val="both"/>
            </w:pPr>
            <w:r>
              <w:rPr>
                <w:rFonts w:ascii="Times New Roman" w:hAnsi="Times New Roman" w:eastAsia="바탕"/>
                <w:sz w:val="20"/>
              </w:rPr>
              <w:t>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w:t>
            </w:r>
            <w:r>
              <w:rPr>
                <w:rFonts w:ascii="Times New Roman" w:hAnsi="Times New Roman" w:eastAsia="바탕"/>
                <w:i/>
                <w:sz w:val="20"/>
              </w:rPr>
              <w:t>It's not just illiteracy</w:t>
            </w:r>
            <w:r>
              <w:rPr>
                <w:rFonts w:ascii="Times New Roman" w:hAnsi="Times New Roman" w:eastAsia="바탕"/>
                <w:sz w:val="20"/>
              </w:rPr>
              <w:t>).</w:t>
            </w:r>
          </w:p>
          <w:p>
            <w:pPr>
              <w:spacing w:after="80" w:line="276" w:lineRule="auto"/>
              <w:jc w:val="both"/>
            </w:pPr>
            <w:r>
              <w:rPr>
                <w:rFonts w:ascii="Times New Roman" w:hAnsi="Times New Roman" w:eastAsia="바탕"/>
                <w:sz w:val="20"/>
              </w:rPr>
              <w:t>구조의 문제도 확인되었다. 비문해 사용자를 대상으로 한 휴대폰 UI 비교에서 다중 페이지 목록형은 평균 25초가 걸린 반면 깊은 계층형은 65.5초가 걸려 2.6배의 차이를 보였다 (Medhi, Toyama, Joshi, Athavankar &amp; Cutrell, INTERACT 2013).</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b/>
                <w:sz w:val="20"/>
              </w:rPr>
              <w:t>첫째, 규모.</w:t>
            </w:r>
            <w:r>
              <w:rPr>
                <w:rFonts w:ascii="Times New Roman" w:hAnsi="Times New Roman" w:eastAsia="바탕"/>
                <w:sz w:val="20"/>
              </w:rPr>
              <w:t xml:space="preserve"> 비문해 성인은 7억 3,900만 명이며, 지역에 따라 절대수가 증가하고 있다 (UNESCO, 2024). 여기에 건강 문해력 기준을 적용하면 유럽에서도 성인의 46%가 해당한다 (HLS19, 2021).</w:t>
            </w:r>
          </w:p>
          <w:p>
            <w:pPr>
              <w:spacing w:after="80" w:line="276" w:lineRule="auto"/>
              <w:jc w:val="both"/>
            </w:pPr>
            <w:r>
              <w:rPr>
                <w:rFonts w:ascii="Times New Roman" w:hAnsi="Times New Roman" w:eastAsia="바탕"/>
                <w:b/>
                <w:sz w:val="20"/>
              </w:rPr>
              <w:t>둘째, 대가.</w:t>
            </w:r>
            <w:r>
              <w:rPr>
                <w:rFonts w:ascii="Times New Roman" w:hAnsi="Times New Roman" w:eastAsia="바탕"/>
                <w:sz w:val="20"/>
              </w:rPr>
              <w:t xml:space="preserve"> 복약 오류는 연간 420억 달러의 비용을 발생시키고 (WHO, 2017), 항생제 내성으로 인한 사망은 HIV와 말라리아를 넘어섰다 (WHO GLASS, 2025). 전 세계 세균 감염의 6건 중 1건이 1차 항생제에 내성을 보인다 (WHO GLASS, 2025).</w:t>
            </w:r>
          </w:p>
          <w:p>
            <w:pPr>
              <w:spacing w:after="80" w:line="276" w:lineRule="auto"/>
              <w:jc w:val="both"/>
            </w:pPr>
            <w:r>
              <w:rPr>
                <w:rFonts w:ascii="Times New Roman" w:hAnsi="Times New Roman" w:eastAsia="바탕"/>
                <w:b/>
                <w:sz w:val="20"/>
              </w:rPr>
              <w:t>셋째, 시각적 방법의 효과와 한계.</w:t>
            </w:r>
            <w:r>
              <w:rPr>
                <w:rFonts w:ascii="Times New Roman" w:hAnsi="Times New Roman" w:eastAsia="바탕"/>
                <w:sz w:val="20"/>
              </w:rPr>
              <w:t xml:space="preserve"> 그림은 문자보다 잘 기억되지만 (Houts et al., 2006), 실제로 만들어진 의약 픽토그램의 절반 이하만이 ISO 기준을 통과한다 (필리핀 연구).</w:t>
            </w:r>
          </w:p>
          <w:p>
            <w:pPr>
              <w:spacing w:after="80" w:line="276" w:lineRule="auto"/>
              <w:jc w:val="both"/>
            </w:pPr>
            <w:r>
              <w:rPr>
                <w:rFonts w:ascii="Times New Roman" w:hAnsi="Times New Roman" w:eastAsia="바탕"/>
                <w:b/>
                <w:sz w:val="20"/>
              </w:rPr>
              <w:t>넷째, 표준의 구조적 제약.</w:t>
            </w:r>
            <w:r>
              <w:rPr>
                <w:rFonts w:ascii="Times New Roman" w:hAnsi="Times New Roman" w:eastAsia="바탕"/>
                <w:sz w:val="20"/>
              </w:rPr>
              <w:t xml:space="preserve"> USP 81종은 결합이 금지되어 있어 복합 지시를 하나의 그림으로 만들 수 없다 (USP License Agreement).</w:t>
            </w:r>
          </w:p>
          <w:p>
            <w:pPr>
              <w:spacing w:after="80" w:line="276" w:lineRule="auto"/>
              <w:jc w:val="both"/>
            </w:pPr>
            <w:r>
              <w:rPr>
                <w:rFonts w:ascii="Times New Roman" w:hAnsi="Times New Roman" w:eastAsia="바탕"/>
                <w:b/>
                <w:sz w:val="20"/>
              </w:rPr>
              <w:t>다섯째, 전달 경로의 개방.</w:t>
            </w:r>
            <w:r>
              <w:rPr>
                <w:rFonts w:ascii="Times New Roman" w:hAnsi="Times New Roman" w:eastAsia="바탕"/>
                <w:sz w:val="20"/>
              </w:rPr>
              <w:t xml:space="preserve"> 고령층의 76~78%가 이미 스마트폰을 보유하고 있다 (Pew, 2024–2025).</w:t>
            </w:r>
          </w:p>
          <w:p>
            <w:pPr>
              <w:spacing w:after="80" w:line="276" w:lineRule="auto"/>
              <w:jc w:val="both"/>
            </w:pPr>
            <w:r>
              <w:rPr>
                <w:rFonts w:ascii="Times New Roman" w:hAnsi="Times New Roman" w:eastAsia="바탕"/>
                <w:sz w:val="20"/>
              </w:rPr>
              <w:t xml:space="preserve">이 다섯이 가리키는 결론은 하나다. </w:t>
            </w:r>
            <w:r>
              <w:rPr>
                <w:rFonts w:ascii="Times New Roman" w:hAnsi="Times New Roman" w:eastAsia="바탕"/>
                <w:b/>
                <w:sz w:val="20"/>
              </w:rPr>
              <w:t>처방전에서 픽토그램과 음성까지 자동으로 이어지고, 그 결과가 실제로 읽히는지를 측정하며, 문자를 요구하지 않는 통합 파이프라인</w:t>
            </w:r>
            <w:r>
              <w:rPr>
                <w:rFonts w:ascii="Times New Roman" w:hAnsi="Times New Roman" w:eastAsia="바탕"/>
                <w:sz w:val="20"/>
              </w:rPr>
              <w:t>이 필요하다. 그러나 이러한 시스템은 학술 문헌이나 상용 서비스에서 보고된 바가 없다.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해결 방식 — 판단 경로에서 문자를 제거한다</w:t>
            </w:r>
          </w:p>
          <w:p>
            <w:pPr>
              <w:spacing w:after="80" w:line="276" w:lineRule="auto"/>
              <w:jc w:val="both"/>
            </w:pPr>
            <w:r>
              <w:rPr>
                <w:rFonts w:ascii="Times New Roman" w:hAnsi="Times New Roman" w:eastAsia="바탕"/>
                <w:sz w:val="20"/>
              </w:rPr>
              <w:t xml:space="preserve">SnapCare 의 설계 원칙은 하나다. </w:t>
            </w:r>
            <w:r>
              <w:rPr>
                <w:rFonts w:ascii="Times New Roman" w:hAnsi="Times New Roman" w:eastAsia="바탕"/>
                <w:b/>
                <w:sz w:val="20"/>
              </w:rPr>
              <w:t>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 처방전을 읽지 못하는 사람에게 문자 인터페이스는 종이 처방전과 다르지 않다. 둘째, 문자를 없애는 것만으로는 충분하지 않다 — 그림도 읽히지 않을 수 있고 (필리핀 연구), 계층 구조는 그 자체로 장벽이 된다 (Medhi et al., 2013).</w:t>
            </w:r>
          </w:p>
          <w:p>
            <w:pPr>
              <w:spacing w:after="80" w:line="276" w:lineRule="auto"/>
              <w:jc w:val="both"/>
            </w:pPr>
            <w:r>
              <w:rPr>
                <w:rFonts w:ascii="Times New Roman" w:hAnsi="Times New Roman" w:eastAsia="바탕"/>
                <w:sz w:val="20"/>
              </w:rPr>
              <w:t xml:space="preserve">따라서 SnapCare 는 세 층으로 답한다. 무엇을 해야 하는지는 </w:t>
            </w:r>
            <w:r>
              <w:rPr>
                <w:rFonts w:ascii="Times New Roman" w:hAnsi="Times New Roman" w:eastAsia="바탕"/>
                <w:b/>
                <w:sz w:val="20"/>
              </w:rPr>
              <w:t>그림</w:t>
            </w:r>
            <w:r>
              <w:rPr>
                <w:rFonts w:ascii="Times New Roman" w:hAnsi="Times New Roman" w:eastAsia="바탕"/>
                <w:sz w:val="20"/>
              </w:rPr>
              <w:t xml:space="preserve">으로, 그 그림이 무슨 뜻인지는 </w:t>
            </w:r>
            <w:r>
              <w:rPr>
                <w:rFonts w:ascii="Times New Roman" w:hAnsi="Times New Roman" w:eastAsia="바탕"/>
                <w:b/>
                <w:sz w:val="20"/>
              </w:rPr>
              <w:t>음성</w:t>
            </w:r>
            <w:r>
              <w:rPr>
                <w:rFonts w:ascii="Times New Roman" w:hAnsi="Times New Roman" w:eastAsia="바탕"/>
                <w:sz w:val="20"/>
              </w:rPr>
              <w:t xml:space="preserve">으로, 그리고 지금 이것이 안전한지 위험한지는 </w:t>
            </w:r>
            <w:r>
              <w:rPr>
                <w:rFonts w:ascii="Times New Roman" w:hAnsi="Times New Roman" w:eastAsia="바탕"/>
                <w:b/>
                <w:sz w:val="20"/>
              </w:rPr>
              <w:t>색 하나</w:t>
            </w:r>
            <w:r>
              <w:rPr>
                <w:rFonts w:ascii="Times New Roman" w:hAnsi="Times New Roman" w:eastAsia="바탕"/>
                <w:sz w:val="20"/>
              </w:rPr>
              <w:t>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 xml:space="preserve">사용자가 하는 동작은 </w:t>
            </w:r>
            <w:r>
              <w:rPr>
                <w:rFonts w:ascii="Times New Roman" w:hAnsi="Times New Roman" w:eastAsia="바탕"/>
                <w:b/>
                <w:sz w:val="20"/>
              </w:rPr>
              <w:t>사진을 찍는 것 하나뿐</w:t>
            </w:r>
            <w:r>
              <w:rPr>
                <w:rFonts w:ascii="Times New Roman" w:hAnsi="Times New Roman" w:eastAsia="바탕"/>
                <w:sz w:val="20"/>
              </w:rPr>
              <w:t>이다.</w:t>
            </w:r>
          </w:p>
          <w:p>
            <w:pPr>
              <w:spacing w:before="160" w:after="60"/>
              <w:jc w:val="center"/>
            </w:pPr>
            <w:r>
              <w:drawing>
                <wp:inline xmlns:a="http://schemas.openxmlformats.org/drawingml/2006/main" xmlns:pic="http://schemas.openxmlformats.org/drawingml/2006/picture">
                  <wp:extent cx="1737895" cy="4754880"/>
                  <wp:docPr id="1" name="Picture 1"/>
                  <wp:cNvGraphicFramePr>
                    <a:graphicFrameLocks noChangeAspect="1"/>
                  </wp:cNvGraphicFramePr>
                  <a:graphic>
                    <a:graphicData uri="http://schemas.openxmlformats.org/drawingml/2006/picture">
                      <pic:pic>
                        <pic:nvPicPr>
                          <pic:cNvPr id="0" name="fig01_home.png"/>
                          <pic:cNvPicPr/>
                        </pic:nvPicPr>
                        <pic:blipFill>
                          <a:blip r:embed="rId15"/>
                          <a:stretch>
                            <a:fillRect/>
                          </a:stretch>
                        </pic:blipFill>
                        <pic:spPr>
                          <a:xfrm>
                            <a:off x="0" y="0"/>
                            <a:ext cx="1737895"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홈 화면. 화면에서 가장 큰 요소가 촬영 버튼 하나이며, 그 아래는 오늘 할 일과 최근에 찍은 것이다. 메뉴도 검색창도 없다 — 앱을 열고 처음 마주치는 선택이 하나뿐이라는 것이 §1.9 에서 확인한 계층 구조 장벽에 대한 대응이다.</w:t>
            </w:r>
          </w:p>
          <w:p>
            <w:pPr>
              <w:spacing w:before="180" w:after="40"/>
            </w:pPr>
            <w:r>
              <w:rPr>
                <w:rFonts w:ascii="Times New Roman" w:hAnsi="Times New Roman" w:eastAsia="바탕"/>
                <w:b/>
                <w:sz w:val="23"/>
              </w:rPr>
              <w:t>2.2 SIGIL — 픽토그램을 문법으로 합성한다</w:t>
            </w:r>
          </w:p>
          <w:p>
            <w:pPr>
              <w:spacing w:after="80" w:line="276" w:lineRule="auto"/>
              <w:jc w:val="both"/>
            </w:pPr>
            <w:r>
              <w:rPr>
                <w:rFonts w:ascii="Times New Roman" w:hAnsi="Times New Roman" w:eastAsia="바탕"/>
                <w:sz w:val="20"/>
              </w:rPr>
              <w:t xml:space="preserve">SIGIL(Symbol Intuitive Glyph Image Lab)은 팀이 직접 설계·구현한 픽토그램 합성 엔진이다. 기존 픽토그램 세트가 </w:t>
            </w:r>
            <w:r>
              <w:rPr>
                <w:rFonts w:ascii="Times New Roman" w:hAnsi="Times New Roman" w:eastAsia="바탕"/>
                <w:b/>
                <w:sz w:val="20"/>
              </w:rPr>
              <w:t>그림의 목록</w:t>
            </w:r>
            <w:r>
              <w:rPr>
                <w:rFonts w:ascii="Times New Roman" w:hAnsi="Times New Roman" w:eastAsia="바탕"/>
                <w:sz w:val="20"/>
              </w:rPr>
              <w:t xml:space="preserve">인 것과 달리, SIGIL 은 </w:t>
            </w:r>
            <w:r>
              <w:rPr>
                <w:rFonts w:ascii="Times New Roman" w:hAnsi="Times New Roman" w:eastAsia="바탕"/>
                <w:b/>
                <w:sz w:val="20"/>
              </w:rPr>
              <w:t>형태소와 문법</w:t>
            </w:r>
            <w:r>
              <w:rPr>
                <w:rFonts w:ascii="Times New Roman" w:hAnsi="Times New Roman" w:eastAsia="바탕"/>
                <w:sz w:val="20"/>
              </w:rPr>
              <w:t>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5]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before="160" w:after="60"/>
              <w:jc w:val="center"/>
            </w:pPr>
            <w:r>
              <w:drawing>
                <wp:inline xmlns:a="http://schemas.openxmlformats.org/drawingml/2006/main" xmlns:pic="http://schemas.openxmlformats.org/drawingml/2006/picture">
                  <wp:extent cx="5190586" cy="4754880"/>
                  <wp:docPr id="2" name="Picture 2"/>
                  <wp:cNvGraphicFramePr>
                    <a:graphicFrameLocks noChangeAspect="1"/>
                  </wp:cNvGraphicFramePr>
                  <a:graphic>
                    <a:graphicData uri="http://schemas.openxmlformats.org/drawingml/2006/picture">
                      <pic:pic>
                        <pic:nvPicPr>
                          <pic:cNvPr id="0" name="fig02_sigil_sheet.png"/>
                          <pic:cNvPicPr/>
                        </pic:nvPicPr>
                        <pic:blipFill>
                          <a:blip r:embed="rId16"/>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3" name="Picture 3"/>
                  <wp:cNvGraphicFramePr>
                    <a:graphicFrameLocks noChangeAspect="1"/>
                  </wp:cNvGraphicFramePr>
                  <a:graphic>
                    <a:graphicData uri="http://schemas.openxmlformats.org/drawingml/2006/picture">
                      <pic:pic>
                        <pic:nvPicPr>
                          <pic:cNvPr id="0" name="fig03_dsl.png"/>
                          <pic:cNvPicPr/>
                        </pic:nvPicPr>
                        <pic:blipFill>
                          <a:blip r:embed="rId17"/>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VOCA — 읽어 주는 것이 아니라 다시 구성한다</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IVR 연구에 있다. 고령 사용자의 음성 인터페이스 사용성 평가는 젊은 사용자보다 일관되게 낮으며, 그 주원인은 </w:t>
            </w:r>
            <w:r>
              <w:rPr>
                <w:rFonts w:ascii="Times New Roman" w:hAnsi="Times New Roman" w:eastAsia="바탕"/>
                <w:b/>
                <w:sz w:val="20"/>
              </w:rPr>
              <w:t>선택지의 혼란, 말 속도, 선택지의 길이</w:t>
            </w:r>
            <w:r>
              <w:rPr>
                <w:rFonts w:ascii="Times New Roman" w:hAnsi="Times New Roman" w:eastAsia="바탕"/>
                <w:sz w:val="20"/>
              </w:rPr>
              <w:t xml:space="preserve">로 확인되었다 (Designing IVR interfaces). 즉 음성을 틀어 주는 것만으로는 부족하고 </w:t>
            </w:r>
            <w:r>
              <w:rPr>
                <w:rFonts w:ascii="Times New Roman" w:hAnsi="Times New Roman" w:eastAsia="바탕"/>
                <w:b/>
                <w:sz w:val="20"/>
              </w:rPr>
              <w:t>무엇을 말하지 않을지</w:t>
            </w:r>
            <w:r>
              <w:rPr>
                <w:rFonts w:ascii="Times New Roman" w:hAnsi="Times New Roman" w:eastAsia="바탕"/>
                <w:sz w:val="20"/>
              </w:rPr>
              <w:t>가 설계의 핵심이 된다.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before="180" w:after="40"/>
            </w:pPr>
            <w:r>
              <w:rPr>
                <w:rFonts w:ascii="Times New Roman" w:hAnsi="Times New Roman" w:eastAsia="바탕"/>
                <w:b/>
                <w:sz w:val="23"/>
              </w:rPr>
              <w:t>2.4 판정은 사람마다 다르게 나온다</w:t>
            </w:r>
          </w:p>
          <w:p>
            <w:pPr>
              <w:spacing w:after="80" w:line="276" w:lineRule="auto"/>
              <w:jc w:val="both"/>
            </w:pPr>
            <w:r>
              <w:rPr>
                <w:rFonts w:ascii="Times New Roman" w:hAnsi="Times New Roman" w:eastAsia="바탕"/>
                <w:sz w:val="20"/>
              </w:rPr>
              <w:t xml:space="preserve">SnapCare 는 라벨을 읽어 주는 도구가 아니라 </w:t>
            </w:r>
            <w:r>
              <w:rPr>
                <w:rFonts w:ascii="Times New Roman" w:hAnsi="Times New Roman" w:eastAsia="바탕"/>
                <w:b/>
                <w:sz w:val="20"/>
              </w:rPr>
              <w:t>판정하는 도구</w:t>
            </w:r>
            <w:r>
              <w:rPr>
                <w:rFonts w:ascii="Times New Roman" w:hAnsi="Times New Roman" w:eastAsia="바탕"/>
                <w:sz w:val="20"/>
              </w:rPr>
              <w:t>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모두 </w:t>
            </w:r>
            <w:r>
              <w:rPr>
                <w:rFonts w:ascii="Times New Roman" w:hAnsi="Times New Roman" w:eastAsia="바탕"/>
                <w:b/>
                <w:sz w:val="20"/>
              </w:rPr>
              <w:t>총 에너지에 대한 비율</w:t>
            </w:r>
            <w:r>
              <w:rPr>
                <w:rFonts w:ascii="Times New Roman" w:hAnsi="Times New Roman" w:eastAsia="바탕"/>
                <w:sz w:val="20"/>
              </w:rPr>
              <w:t>로 기술되어 있다. 유리당은 총 에너지의 10% 미만, 포화지방도 10% 미만이며, 소금만 1일 5g 미만이라는 절대량으로 주어진다 (WHO Fact Sheet N°394).</w:t>
            </w:r>
          </w:p>
          <w:p>
            <w:pPr>
              <w:spacing w:after="80" w:line="276" w:lineRule="auto"/>
              <w:jc w:val="both"/>
            </w:pPr>
            <w:r>
              <w:rPr>
                <w:rFonts w:ascii="Times New Roman" w:hAnsi="Times New Roman" w:eastAsia="바탕"/>
                <w:sz w:val="20"/>
              </w:rPr>
              <w:t xml:space="preserve">이 기술 방식이 중요하다. 권고 자체가 비율로 쓰여 있으므로, 고정된 그램 수 표를 들고 있는 것이 아니라 </w:t>
            </w:r>
            <w:r>
              <w:rPr>
                <w:rFonts w:ascii="Times New Roman" w:hAnsi="Times New Roman" w:eastAsia="바탕"/>
                <w:b/>
                <w:sz w:val="20"/>
              </w:rPr>
              <w:t>그 사람의 에너지 요구량에서 유도하는 것</w:t>
            </w:r>
            <w:r>
              <w:rPr>
                <w:rFonts w:ascii="Times New Roman" w:hAnsi="Times New Roman" w:eastAsia="바탕"/>
                <w:sz w:val="20"/>
              </w:rPr>
              <w:t>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진단을 전제하지 않고 묻는다</w:t>
            </w:r>
          </w:p>
          <w:p>
            <w:pPr>
              <w:spacing w:after="80" w:line="276" w:lineRule="auto"/>
              <w:jc w:val="both"/>
            </w:pPr>
            <w:r>
              <w:rPr>
                <w:rFonts w:ascii="Times New Roman" w:hAnsi="Times New Roman" w:eastAsia="바탕"/>
                <w:sz w:val="20"/>
              </w:rPr>
              <w:t>앞 절에서 확인했듯 당뇨 환자의 42.8%가 진단받지 못한 상태이며 (IDF, 2024), 알레르기에서도 자가보고와 확진 사이에 큰 간극이 있다.</w:t>
            </w:r>
          </w:p>
          <w:p>
            <w:pPr>
              <w:spacing w:after="80" w:line="276" w:lineRule="auto"/>
              <w:jc w:val="both"/>
            </w:pPr>
            <w:r>
              <w:rPr>
                <w:rFonts w:ascii="Times New Roman" w:hAnsi="Times New Roman" w:eastAsia="바탕"/>
                <w:sz w:val="20"/>
              </w:rPr>
              <w:t xml:space="preserve">따라서 "무슨 알레르기가 있습니까" 라는 질문은 </w:t>
            </w:r>
            <w:r>
              <w:rPr>
                <w:rFonts w:ascii="Times New Roman" w:hAnsi="Times New Roman" w:eastAsia="바탕"/>
                <w:b/>
                <w:sz w:val="20"/>
              </w:rPr>
              <w:t>검사를 받아 본 사람만 답할 수 있다.</w:t>
            </w:r>
            <w:r>
              <w:rPr>
                <w:rFonts w:ascii="Times New Roman" w:hAnsi="Times New Roman" w:eastAsia="바탕"/>
                <w:sz w:val="20"/>
              </w:rPr>
              <w:t xml:space="preserve"> SnapCare 는 이 질문을 세 갈래로 나눈다.</w:t>
            </w:r>
          </w:p>
          <w:p>
            <w:pPr>
              <w:spacing w:after="80" w:line="276" w:lineRule="auto"/>
              <w:jc w:val="both"/>
            </w:pPr>
            <w:r>
              <w:rPr>
                <w:rFonts w:ascii="Times New Roman" w:hAnsi="Times New Roman" w:eastAsia="바탕"/>
                <w:sz w:val="20"/>
              </w:rPr>
              <w:t>[표 6]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 xml:space="preserve">나아가 앱은 사용자가 모르는 알레르기를 </w:t>
            </w:r>
            <w:r>
              <w:rPr>
                <w:rFonts w:ascii="Times New Roman" w:hAnsi="Times New Roman" w:eastAsia="바탕"/>
                <w:b/>
                <w:sz w:val="20"/>
              </w:rPr>
              <w:t>추론</w:t>
            </w:r>
            <w:r>
              <w:rPr>
                <w:rFonts w:ascii="Times New Roman" w:hAnsi="Times New Roman" w:eastAsia="바탕"/>
                <w:sz w:val="20"/>
              </w:rPr>
              <w:t>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[표 7]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 xml:space="preserve">마지막 두 행이 본 연구의 고유한 기여다. 픽토그램의 이해도를 </w:t>
            </w:r>
            <w:r>
              <w:rPr>
                <w:rFonts w:ascii="Times New Roman" w:hAnsi="Times New Roman" w:eastAsia="바탕"/>
                <w:b/>
                <w:sz w:val="20"/>
              </w:rPr>
              <w:t>배포 전에 자동으로 측정하는 절차</w:t>
            </w:r>
            <w:r>
              <w:rPr>
                <w:rFonts w:ascii="Times New Roman" w:hAnsi="Times New Roman" w:eastAsia="바탕"/>
                <w:sz w:val="20"/>
              </w:rPr>
              <w:t>는 기존 문헌에서 보고된 바 없으며, 이는 §5에서 상술한다.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2195911" cy="4754880"/>
                  <wp:docPr id="4" name="Picture 4"/>
                  <wp:cNvGraphicFramePr>
                    <a:graphicFrameLocks noChangeAspect="1"/>
                  </wp:cNvGraphicFramePr>
                  <a:graphic>
                    <a:graphicData uri="http://schemas.openxmlformats.org/drawingml/2006/picture">
                      <pic:pic>
                        <pic:nvPicPr>
                          <pic:cNvPr id="0" name="fig04_camera.png"/>
                          <pic:cNvPicPr/>
                        </pic:nvPicPr>
                        <pic:blipFill>
                          <a:blip r:embed="rId18"/>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촬영 화면. 무엇을 찍는지 사용자가 고르지 않는다 — 처방전인지 영양성분표인지 음식인지는 찍힌 이미지에서 판별한다. 고르게 하는 순간 그 선택지를 읽어야 하기 때문이다.</w:t>
            </w:r>
          </w:p>
          <w:p>
            <w:pPr>
              <w:spacing w:before="160" w:after="60"/>
              <w:jc w:val="center"/>
            </w:pPr>
            <w:r>
              <w:drawing>
                <wp:inline xmlns:a="http://schemas.openxmlformats.org/drawingml/2006/main" xmlns:pic="http://schemas.openxmlformats.org/drawingml/2006/picture">
                  <wp:extent cx="2195911" cy="4754880"/>
                  <wp:docPr id="5" name="Picture 5"/>
                  <wp:cNvGraphicFramePr>
                    <a:graphicFrameLocks noChangeAspect="1"/>
                  </wp:cNvGraphicFramePr>
                  <a:graphic>
                    <a:graphicData uri="http://schemas.openxmlformats.org/drawingml/2006/picture">
                      <pic:pic>
                        <pic:nvPicPr>
                          <pic:cNvPr id="0" name="fig05_processing.png"/>
                          <pic:cNvPicPr/>
                        </pic:nvPicPr>
                        <pic:blipFill>
                          <a:blip r:embed="rId19"/>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인식이 진행되는 동안의 화면. 이 단계를 감추지 않은 것은 의도적이다. 저문해 사용자 연구가 지적한 장벽 가운데 하나가 위압감이며(</w:t>
            </w:r>
            <w:r>
              <w:rPr>
                <w:rFonts w:ascii="Times New Roman" w:hAnsi="Times New Roman" w:eastAsia="바탕"/>
                <w:i/>
                <w:color w:val="606068"/>
                <w:sz w:val="18"/>
              </w:rPr>
              <w:t>It’s not just illiteracy</w:t>
            </w:r>
            <w:r>
              <w:rPr>
                <w:rFonts w:ascii="Times New Roman" w:hAnsi="Times New Roman" w:eastAsia="바탕"/>
                <w:color w:val="606068"/>
                <w:sz w:val="18"/>
              </w:rPr>
              <w:t>), 아무 표시 없이 멈춘 화면은 고장으로 읽힌다.</w:t>
            </w:r>
          </w:p>
          <w:p>
            <w:pPr>
              <w:spacing w:before="160" w:after="60"/>
              <w:jc w:val="center"/>
            </w:pPr>
            <w:r>
              <w:drawing>
                <wp:inline xmlns:a="http://schemas.openxmlformats.org/drawingml/2006/main" xmlns:pic="http://schemas.openxmlformats.org/drawingml/2006/picture">
                  <wp:extent cx="1795650" cy="4754880"/>
                  <wp:docPr id="6" name="Picture 6"/>
                  <wp:cNvGraphicFramePr>
                    <a:graphicFrameLocks noChangeAspect="1"/>
                  </wp:cNvGraphicFramePr>
                  <a:graphic>
                    <a:graphicData uri="http://schemas.openxmlformats.org/drawingml/2006/picture">
                      <pic:pic>
                        <pic:nvPicPr>
                          <pic:cNvPr id="0" name="fig06_verdict_rx.png"/>
                          <pic:cNvPicPr/>
                        </pic:nvPicPr>
                        <pic:blipFill>
                          <a:blip r:embed="rId20"/>
                          <a:stretch>
                            <a:fillRect/>
                          </a:stretch>
                        </pic:blipFill>
                        <pic:spPr>
                          <a:xfrm>
                            <a:off x="0" y="0"/>
                            <a:ext cx="179565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처방 판정 화면(아목시실린 250 mg, 1일 3회 식후). 위에서 아래로 무엇인지·안전한지·어떻게 하는지·무슨 뜻인지·언제인지의 순서다. 아래쪽 픽토그램 세 장이 SIGIL 이 그 자리에서 합성한 것이며, 각각 하루 세 번 식사와 함께·아침·저녁을 뜻한다. 모든 문장 옆의 스피커는 그 문장만 다시 읽어 준다.</w:t>
            </w:r>
          </w:p>
          <w:p>
            <w:pPr>
              <w:spacing w:after="80" w:line="276" w:lineRule="auto"/>
              <w:jc w:val="both"/>
            </w:pPr>
            <w:r>
              <w:rPr>
                <w:rFonts w:ascii="Times New Roman" w:hAnsi="Times New Roman" w:eastAsia="바탕"/>
                <w:b/>
                <w:sz w:val="20"/>
              </w:rPr>
              <w:t>기능 2 —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모델(ConvNeXt-tiny-224, Nutrition5k 학습)이 에너지·질량·지방·탄수화물·단백질 다섯 값을 회귀한다.</w:t>
            </w:r>
          </w:p>
          <w:p>
            <w:pPr>
              <w:spacing w:after="80" w:line="276" w:lineRule="auto"/>
              <w:jc w:val="both"/>
            </w:pPr>
            <w:r>
              <w:rPr>
                <w:rFonts w:ascii="Times New Roman" w:hAnsi="Times New Roman" w:eastAsia="바탕"/>
                <w:sz w:val="20"/>
              </w:rPr>
              <w:t xml:space="preserve">어떤 경로로 들어온 값이든 </w:t>
            </w:r>
            <w:r>
              <w:rPr>
                <w:rFonts w:ascii="Times New Roman" w:hAnsi="Times New Roman" w:eastAsia="바탕"/>
                <w:b/>
                <w:sz w:val="20"/>
              </w:rPr>
              <w:t>같은 물리 검사</w:t>
            </w:r>
            <w:r>
              <w:rPr>
                <w:rFonts w:ascii="Times New Roman" w:hAnsi="Times New Roman" w:eastAsia="바탕"/>
                <w:sz w:val="20"/>
              </w:rPr>
              <w:t>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1942353" cy="4754880"/>
                  <wp:docPr id="7" name="Picture 7"/>
                  <wp:cNvGraphicFramePr>
                    <a:graphicFrameLocks noChangeAspect="1"/>
                  </wp:cNvGraphicFramePr>
                  <a:graphic>
                    <a:graphicData uri="http://schemas.openxmlformats.org/drawingml/2006/picture">
                      <pic:pic>
                        <pic:nvPicPr>
                          <pic:cNvPr id="0" name="fig07_verdict_label.png"/>
                          <pic:cNvPicPr/>
                        </pic:nvPicPr>
                        <pic:blipFill>
                          <a:blip r:embed="rId21"/>
                          <a:stretch>
                            <a:fillRect/>
                          </a:stretch>
                        </pic:blipFill>
                        <pic:spPr>
                          <a:xfrm>
                            <a:off x="0" y="0"/>
                            <a:ext cx="19423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영양성분표 판정 화면. 수치를 그대로 옮기지 않고 </w:t>
            </w:r>
            <w:r>
              <w:rPr>
                <w:rFonts w:ascii="Times New Roman" w:hAnsi="Times New Roman" w:eastAsia="바탕"/>
                <w:b/>
                <w:color w:val="606068"/>
                <w:sz w:val="18"/>
              </w:rPr>
              <w:t>이 사람의 하루 기준치에서 차지하는 비중</w:t>
            </w:r>
            <w:r>
              <w:rPr>
                <w:rFonts w:ascii="Times New Roman" w:hAnsi="Times New Roman" w:eastAsia="바탕"/>
                <w:color w:val="606068"/>
                <w:sz w:val="18"/>
              </w:rPr>
              <w:t>으로 바꾼다. 기준치는 구성원의 나이와 조건에서 유도하므로 같은 제품도 사람이 바뀌면 막대가 달라진다. 맨 아래의 대체 기준은 회피할 것에 부정 연산자를 씌운 그림이며, 그림 자체가 "이것이 없는 것을 고르라"는 뜻이다.</w:t>
            </w:r>
          </w:p>
          <w:p>
            <w:pPr>
              <w:spacing w:before="160" w:after="60"/>
              <w:jc w:val="center"/>
            </w:pPr>
            <w:r>
              <w:drawing>
                <wp:inline xmlns:a="http://schemas.openxmlformats.org/drawingml/2006/main" xmlns:pic="http://schemas.openxmlformats.org/drawingml/2006/picture">
                  <wp:extent cx="2110154" cy="4754880"/>
                  <wp:docPr id="8" name="Picture 8"/>
                  <wp:cNvGraphicFramePr>
                    <a:graphicFrameLocks noChangeAspect="1"/>
                  </wp:cNvGraphicFramePr>
                  <a:graphic>
                    <a:graphicData uri="http://schemas.openxmlformats.org/drawingml/2006/picture">
                      <pic:pic>
                        <pic:nvPicPr>
                          <pic:cNvPr id="0" name="fig08_today.png"/>
                          <pic:cNvPicPr/>
                        </pic:nvPicPr>
                        <pic:blipFill>
                          <a:blip r:embed="rId22"/>
                          <a:stretch>
                            <a:fillRect/>
                          </a:stretch>
                        </pic:blipFill>
                        <pic:spPr>
                          <a:xfrm>
                            <a:off x="0" y="0"/>
                            <a:ext cx="2110154"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오늘 누적 화면. 한 번의 판정이 아니라 하루의 합을 보여 준다. 아래의 출처 표시는 값이 커뮤니티 편집 데이터베이스에서 왔고 추정이며 의료 조언이 아니라는 것을 화면에서 지운 적이 없다 — §2.5 의 판정 한계를 사용자에게 숨기지 않기 위해서다.</w:t>
            </w:r>
          </w:p>
          <w:p>
            <w:pPr>
              <w:spacing w:after="80" w:line="276" w:lineRule="auto"/>
              <w:jc w:val="both"/>
            </w:pPr>
            <w:r>
              <w:rPr>
                <w:rFonts w:ascii="Times New Roman" w:hAnsi="Times New Roman" w:eastAsia="바탕"/>
                <w:b/>
                <w:sz w:val="20"/>
              </w:rPr>
              <w:t>기능 3 —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2195911" cy="4754880"/>
                  <wp:docPr id="9" name="Picture 9"/>
                  <wp:cNvGraphicFramePr>
                    <a:graphicFrameLocks noChangeAspect="1"/>
                  </wp:cNvGraphicFramePr>
                  <a:graphic>
                    <a:graphicData uri="http://schemas.openxmlformats.org/drawingml/2006/picture">
                      <pic:pic>
                        <pic:nvPicPr>
                          <pic:cNvPr id="0" name="fig09_device.png"/>
                          <pic:cNvPicPr/>
                        </pic:nvPicPr>
                        <pic:blipFill>
                          <a:blip r:embed="rId23"/>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기기 연동 화면. 앱이 만든 복약 일정을 디스펜서의 트레이에 배치한 결과를 보여 주고, 한 번 눌러 기기로 보낸다. §4.3 에서 서술한 대로 브라우저가 HTTPS 에서 HTTP 기기를 직접 호출할 수 없으므로 이 버튼은 최상위 내비게이션으로 동작한다.</w:t>
            </w:r>
          </w:p>
          <w:p>
            <w:pPr>
              <w:spacing w:before="160" w:after="60"/>
              <w:jc w:val="center"/>
            </w:pPr>
            <w:r>
              <w:drawing>
                <wp:inline xmlns:a="http://schemas.openxmlformats.org/drawingml/2006/main" xmlns:pic="http://schemas.openxmlformats.org/drawingml/2006/picture">
                  <wp:extent cx="5486400" cy="2852928"/>
                  <wp:docPr id="10" name="Picture 10"/>
                  <wp:cNvGraphicFramePr>
                    <a:graphicFrameLocks noChangeAspect="1"/>
                  </wp:cNvGraphicFramePr>
                  <a:graphic>
                    <a:graphicData uri="http://schemas.openxmlformats.org/drawingml/2006/picture">
                      <pic:pic>
                        <pic:nvPicPr>
                          <pic:cNvPr id="0" name="fig10_dispenser.png"/>
                          <pic:cNvPicPr/>
                        </pic:nvPicPr>
                        <pic:blipFill>
                          <a:blip r:embed="rId24"/>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w:t>
            </w:r>
            <w:r>
              <w:rPr>
                <w:rFonts w:ascii="Times New Roman" w:hAnsi="Times New Roman" w:eastAsia="바탕"/>
                <w:b/>
                <w:color w:val="606068"/>
                <w:sz w:val="18"/>
              </w:rPr>
              <w:t>이 복용을 이미 주었는지를 적는 파일</w:t>
            </w:r>
            <w:r>
              <w:rPr>
                <w:rFonts w:ascii="Times New Roman" w:hAnsi="Times New Roman" w:eastAsia="바탕"/>
                <w:color w:val="606068"/>
                <w:sz w:val="18"/>
              </w:rPr>
              <w:t>이다. 오른쪽 아래의 복용 기록에 놓친 복용 두 건이 남아 있는 것도 같은 이유에서 중요하다 — 주지 못한 것을 주지 못했다고 적지 않으면, 다음 복용이 두 번째가 아니라 첫 번째가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w:t>
            </w:r>
            <w:r>
              <w:rPr>
                <w:rFonts w:ascii="Times New Roman" w:hAnsi="Times New Roman" w:eastAsia="바탕"/>
                <w:b/>
                <w:sz w:val="20"/>
              </w:rPr>
              <w:t>한 번의 촬영에서 판정까지 분기 없이 이어지는 것</w:t>
            </w:r>
            <w:r>
              <w:rPr>
                <w:rFonts w:ascii="Times New Roman" w:hAnsi="Times New Roman" w:eastAsia="바탕"/>
                <w:sz w:val="20"/>
              </w:rPr>
              <w:t>을 원칙으로 한다. 앞 절에서 인용한 대로 비문해 사용자에게 깊은 계층 구조는 평균 65.5초가 걸리는 반면 평면 목록은 25초에 그친다 (Medhi et al., INTERACT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9026"/>
                  <wp:docPr id="11" name="Picture 11"/>
                  <wp:cNvGraphicFramePr>
                    <a:graphicFrameLocks noChangeAspect="1"/>
                  </wp:cNvGraphicFramePr>
                  <a:graphic>
                    <a:graphicData uri="http://schemas.openxmlformats.org/drawingml/2006/picture">
                      <pic:pic>
                        <pic:nvPicPr>
                          <pic:cNvPr id="0" name="fig11_userflow.png"/>
                          <pic:cNvPicPr/>
                        </pic:nvPicPr>
                        <pic:blipFill>
                          <a:blip r:embed="rId25"/>
                          <a:stretch>
                            <a:fillRect/>
                          </a:stretch>
                        </pic:blipFill>
                        <pic:spPr>
                          <a:xfrm>
                            <a:off x="0" y="0"/>
                            <a:ext cx="5486400" cy="320902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전체 사용자 흐름. 각 단계 아래에 그 단계를 그렇게 만든 근거를 함께 적었다. 흐름도가 보여 주는 것은 단계의 순서가 아니라 </w:t>
            </w:r>
            <w:r>
              <w:rPr>
                <w:rFonts w:ascii="Times New Roman" w:hAnsi="Times New Roman" w:eastAsia="바탕"/>
                <w:b/>
                <w:color w:val="606068"/>
                <w:sz w:val="18"/>
              </w:rPr>
              <w:t>읽기를 요구하는 지점이 어디에도 없다는 것</w:t>
            </w:r>
            <w:r>
              <w:rPr>
                <w:rFonts w:ascii="Times New Roman" w:hAnsi="Times New Roman" w:eastAsia="바탕"/>
                <w:color w:val="606068"/>
                <w:sz w:val="18"/>
              </w:rPr>
              <w:t>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8]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얼굴·나이·조건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 xml:space="preserve">표 8의 마지막 열이 이 설계의 요점이다. </w:t>
            </w:r>
            <w:r>
              <w:rPr>
                <w:rFonts w:ascii="Times New Roman" w:hAnsi="Times New Roman" w:eastAsia="바탕"/>
                <w:b/>
                <w:sz w:val="20"/>
              </w:rPr>
              <w:t>어느 단계에서도 글을 읽거나 입력할 것을 요구하지 않는다.</w:t>
            </w:r>
          </w:p>
          <w:p>
            <w:pPr>
              <w:spacing w:before="180" w:after="40"/>
            </w:pPr>
            <w:r>
              <w:rPr>
                <w:rFonts w:ascii="Times New Roman" w:hAnsi="Times New Roman" w:eastAsia="바탕"/>
                <w:b/>
                <w:sz w:val="23"/>
              </w:rPr>
              <w:t>3.2 첫 실행 — 나이를 묻는다</w:t>
            </w:r>
          </w:p>
          <w:p>
            <w:pPr>
              <w:spacing w:after="80" w:line="276" w:lineRule="auto"/>
              <w:jc w:val="both"/>
            </w:pPr>
            <w:r>
              <w:rPr>
                <w:rFonts w:ascii="Times New Roman" w:hAnsi="Times New Roman" w:eastAsia="바탕"/>
                <w:sz w:val="20"/>
              </w:rPr>
              <w:t>앱을 처음 열면 네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그림으로 고른다.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 xml:space="preserve">건너뛸 수 있으나, 건너뛴 경우 홈 화면이 </w:t>
            </w:r>
            <w:r>
              <w:rPr>
                <w:rFonts w:ascii="Times New Roman" w:hAnsi="Times New Roman" w:eastAsia="바탕"/>
                <w:b/>
                <w:sz w:val="20"/>
              </w:rPr>
              <w:t>"성인 기준으로 보고 있습니다"</w:t>
            </w:r>
            <w:r>
              <w:rPr>
                <w:rFonts w:ascii="Times New Roman" w:hAnsi="Times New Roman" w:eastAsia="바탕"/>
                <w:sz w:val="20"/>
              </w:rPr>
              <w:t xml:space="preserve"> 를 계속 표시한다. 기본값이 조용히 적용되는 것을 막기 위해서다.</w:t>
            </w:r>
          </w:p>
          <w:p>
            <w:pPr>
              <w:spacing w:before="160" w:after="60"/>
              <w:jc w:val="center"/>
            </w:pPr>
            <w:r>
              <w:drawing>
                <wp:inline xmlns:a="http://schemas.openxmlformats.org/drawingml/2006/main" xmlns:pic="http://schemas.openxmlformats.org/drawingml/2006/picture">
                  <wp:extent cx="2195911" cy="4754880"/>
                  <wp:docPr id="12" name="Picture 12"/>
                  <wp:cNvGraphicFramePr>
                    <a:graphicFrameLocks noChangeAspect="1"/>
                  </wp:cNvGraphicFramePr>
                  <a:graphic>
                    <a:graphicData uri="http://schemas.openxmlformats.org/drawingml/2006/picture">
                      <pic:pic>
                        <pic:nvPicPr>
                          <pic:cNvPr id="0" name="fig12_onboarding.png"/>
                          <pic:cNvPicPr/>
                        </pic:nvPicPr>
                        <pic:blipFill>
                          <a:blip r:embed="rId26"/>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첫 실행 안내. 네 장 모두 그림과 한 문장으로 되어 있고 각 문장은 눌러서 들을 수 있다. 건너뛸 수 있다.</w:t>
            </w:r>
          </w:p>
          <w:p>
            <w:pPr>
              <w:spacing w:before="160" w:after="60"/>
              <w:jc w:val="center"/>
            </w:pPr>
            <w:r>
              <w:drawing>
                <wp:inline xmlns:a="http://schemas.openxmlformats.org/drawingml/2006/main" xmlns:pic="http://schemas.openxmlformats.org/drawingml/2006/picture">
                  <wp:extent cx="1602049" cy="4754880"/>
                  <wp:docPr id="13" name="Picture 13"/>
                  <wp:cNvGraphicFramePr>
                    <a:graphicFrameLocks noChangeAspect="1"/>
                  </wp:cNvGraphicFramePr>
                  <a:graphic>
                    <a:graphicData uri="http://schemas.openxmlformats.org/drawingml/2006/picture">
                      <pic:pic>
                        <pic:nvPicPr>
                          <pic:cNvPr id="0" name="fig13_profile.png"/>
                          <pic:cNvPicPr/>
                        </pic:nvPicPr>
                        <pic:blipFill>
                          <a:blip r:embed="rId27"/>
                          <a:stretch>
                            <a:fillRect/>
                          </a:stretch>
                        </pic:blipFill>
                        <pic:spPr>
                          <a:xfrm>
                            <a:off x="0" y="0"/>
                            <a:ext cx="160204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프로필 설정 화면. 나이 구간은 얼굴 그림으로, 조건은 그림 카드로 고르며 어느 쪽에도 입력란이 없다. 화면에 남아 있는 문자는 눌러서 들을 수 있는 이름표이지 읽어야 하는 지시가 아니다.</w:t>
            </w:r>
          </w:p>
          <w:p>
            <w:pPr>
              <w:spacing w:before="180" w:after="40"/>
            </w:pPr>
            <w:r>
              <w:rPr>
                <w:rFonts w:ascii="Times New Roman" w:hAnsi="Times New Roman" w:eastAsia="바탕"/>
                <w:b/>
                <w:sz w:val="23"/>
              </w:rPr>
              <w:t>3.3 촬영에서 판정까지</w:t>
            </w:r>
          </w:p>
          <w:p>
            <w:pPr>
              <w:spacing w:after="80" w:line="276" w:lineRule="auto"/>
              <w:jc w:val="both"/>
            </w:pPr>
            <w:r>
              <w:rPr>
                <w:rFonts w:ascii="Times New Roman" w:hAnsi="Times New Roman" w:eastAsia="바탕"/>
                <w:sz w:val="20"/>
              </w:rPr>
              <w:t xml:space="preserve">촬영 버튼을 누르면 카메라가 열린다. 대상이 처방전인지 영양성분표인지 음식인지를 </w:t>
            </w:r>
            <w:r>
              <w:rPr>
                <w:rFonts w:ascii="Times New Roman" w:hAnsi="Times New Roman" w:eastAsia="바탕"/>
                <w:b/>
                <w:sz w:val="20"/>
              </w:rPr>
              <w:t>사용자가 고르지 않는다.</w:t>
            </w:r>
            <w:r>
              <w:rPr>
                <w:rFonts w:ascii="Times New Roman" w:hAnsi="Times New Roman" w:eastAsia="바탕"/>
                <w:sz w:val="20"/>
              </w:rPr>
              <w:t xml:space="preserve"> 촬영된 이미지에서 판별한다.</w:t>
            </w:r>
          </w:p>
          <w:p>
            <w:pPr>
              <w:spacing w:after="80" w:line="276" w:lineRule="auto"/>
              <w:jc w:val="both"/>
            </w:pPr>
            <w:r>
              <w:rPr>
                <w:rFonts w:ascii="Times New Roman" w:hAnsi="Times New Roman" w:eastAsia="바탕"/>
                <w:sz w:val="20"/>
              </w:rPr>
              <w:t>인식이 진행되는 동안 화면은 진행 상태를 보여준다. 이 단계를 감추지 않는 것은 의도적이다. 저문해 사용자 연구에서 지적된 장벽 가운데 하나가 위압감(intimidation)이며 (</w:t>
            </w:r>
            <w:r>
              <w:rPr>
                <w:rFonts w:ascii="Times New Roman" w:hAnsi="Times New Roman" w:eastAsia="바탕"/>
                <w:i/>
                <w:sz w:val="20"/>
              </w:rPr>
              <w:t>It's not just illiteracy</w:t>
            </w:r>
            <w:r>
              <w:rPr>
                <w:rFonts w:ascii="Times New Roman" w:hAnsi="Times New Roman" w:eastAsia="바탕"/>
                <w:sz w:val="20"/>
              </w:rPr>
              <w:t>), 아무 표시 없이 멈춘 화면은 고장으로 읽힌다.</w:t>
            </w:r>
          </w:p>
          <w:p>
            <w:pPr>
              <w:spacing w:after="80" w:line="276" w:lineRule="auto"/>
              <w:jc w:val="both"/>
            </w:pPr>
            <w:r>
              <w:rPr>
                <w:rFonts w:ascii="Times New Roman" w:hAnsi="Times New Roman" w:eastAsia="바탕"/>
                <w:sz w:val="20"/>
              </w:rPr>
              <w:t>판정 화면은 위에서 아래로 다음 순서다 — 무엇인지(이름과 그림), 안전한지(색과 기호), 어떻게 하는지(픽토그램 시퀀스), 그것이 무슨 뜻인지(음성), 그리고 언제인지(복용 시각).</w:t>
            </w:r>
          </w:p>
          <w:p>
            <w:pPr>
              <w:spacing w:after="80" w:line="276" w:lineRule="auto"/>
              <w:jc w:val="both"/>
            </w:pPr>
            <w:r>
              <w:rPr>
                <w:rFonts w:ascii="Times New Roman" w:hAnsi="Times New Roman" w:eastAsia="바탕"/>
                <w:sz w:val="20"/>
              </w:rPr>
              <w:t>인식이 진행되는 동안의 화면은 그림 5 에, 그 결과인 판정 화면은 그림 6 에 있다.</w:t>
            </w:r>
          </w:p>
          <w:p>
            <w:pPr>
              <w:spacing w:before="180" w:after="40"/>
            </w:pPr>
            <w:r>
              <w:rPr>
                <w:rFonts w:ascii="Times New Roman" w:hAnsi="Times New Roman" w:eastAsia="바탕"/>
                <w:b/>
                <w:sz w:val="23"/>
              </w:rPr>
              <w:t>3.4 문장을 누르면 그 문장을 읽는다</w:t>
            </w:r>
          </w:p>
          <w:p>
            <w:pPr>
              <w:spacing w:after="80" w:line="276" w:lineRule="auto"/>
              <w:jc w:val="both"/>
            </w:pPr>
            <w:r>
              <w:rPr>
                <w:rFonts w:ascii="Times New Roman" w:hAnsi="Times New Roman" w:eastAsia="바탕"/>
                <w:sz w:val="20"/>
              </w:rPr>
              <w:t xml:space="preserve">음성은 판정 화면에 들어가면 자동으로 한 번 재생된다. 그러나 듣는 사람은 되감을 수 없다. 그래서 화면의 </w:t>
            </w:r>
            <w:r>
              <w:rPr>
                <w:rFonts w:ascii="Times New Roman" w:hAnsi="Times New Roman" w:eastAsia="바탕"/>
                <w:b/>
                <w:sz w:val="20"/>
              </w:rPr>
              <w:t>모든 문장이 눌러서 다시 들을 수 있는 대상</w:t>
            </w:r>
            <w:r>
              <w:rPr>
                <w:rFonts w:ascii="Times New Roman" w:hAnsi="Times New Roman" w:eastAsia="바탕"/>
                <w:sz w:val="20"/>
              </w:rPr>
              <w:t>이다.</w:t>
            </w:r>
          </w:p>
          <w:p>
            <w:pPr>
              <w:spacing w:after="80" w:line="276" w:lineRule="auto"/>
              <w:jc w:val="both"/>
            </w:pPr>
            <w:r>
              <w:rPr>
                <w:rFonts w:ascii="Times New Roman" w:hAnsi="Times New Roman" w:eastAsia="바탕"/>
                <w:sz w:val="20"/>
              </w:rPr>
              <w:t>이 설계는 §1.10 의 IVR 연구에서 지적된 문제 — 말 속도와 선택지 길이가 고령 사용자의 주된 어려움이라는 것 — 에 대한 대응이다. 한 번에 다 듣지 못해도 필요한 부분만 다시 들을 수 있다.</w:t>
            </w:r>
          </w:p>
          <w:p>
            <w:pPr>
              <w:spacing w:before="180" w:after="40"/>
            </w:pPr>
            <w:r>
              <w:rPr>
                <w:rFonts w:ascii="Times New Roman" w:hAnsi="Times New Roman" w:eastAsia="바탕"/>
                <w:b/>
                <w:sz w:val="23"/>
              </w:rPr>
              <w:t>3.5 색만으로 판정하지 않는다</w:t>
            </w:r>
          </w:p>
          <w:p>
            <w:pPr>
              <w:spacing w:after="80" w:line="276" w:lineRule="auto"/>
              <w:jc w:val="both"/>
            </w:pPr>
            <w:r>
              <w:rPr>
                <w:rFonts w:ascii="Times New Roman" w:hAnsi="Times New Roman" w:eastAsia="바탕"/>
                <w:sz w:val="20"/>
              </w:rPr>
              <w:t>판정은 초록·노랑·빨강 세 색으로 표시된다. 그러나 색은 남성의 약 8%, 여성의 0.5%에게 전달되지 않는다 (색각이상 유병률).</w:t>
            </w:r>
          </w:p>
          <w:p>
            <w:pPr>
              <w:spacing w:after="80" w:line="276" w:lineRule="auto"/>
              <w:jc w:val="both"/>
            </w:pPr>
            <w:r>
              <w:rPr>
                <w:rFonts w:ascii="Times New Roman" w:hAnsi="Times New Roman" w:eastAsia="바탕"/>
                <w:sz w:val="20"/>
              </w:rPr>
              <w:t xml:space="preserve">WCAG 1.4.1 은 색만으로 뜻을 전달하지 말 것을 요구하며, 색상 대비만으로는 충분하지 않다는 것이 반복해서 지적되어 왔다 — 명도 대비가 높아도 적록색약에게는 색상이 구별되지 않을 수 있기 때문이다 (W3C WCAG 2.x). 따라서 SnapCare 는 색과 함께 </w:t>
            </w:r>
            <w:r>
              <w:rPr>
                <w:rFonts w:ascii="Times New Roman" w:hAnsi="Times New Roman" w:eastAsia="바탕"/>
                <w:b/>
                <w:sz w:val="20"/>
              </w:rPr>
              <w:t>기호</w:t>
            </w:r>
            <w:r>
              <w:rPr>
                <w:rFonts w:ascii="Times New Roman" w:hAnsi="Times New Roman" w:eastAsia="바탕"/>
                <w:sz w:val="20"/>
              </w:rPr>
              <w:t>를 표시한다.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[표 9]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ConvNeXt-tiny-224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before="180" w:after="40"/>
            </w:pPr>
            <w:r>
              <w:rPr>
                <w:rFonts w:ascii="Times New Roman" w:hAnsi="Times New Roman" w:eastAsia="바탕"/>
                <w:b/>
                <w:sz w:val="23"/>
              </w:rPr>
              <w:t>4.2 판정 엔진 — 출처를 가리지 않는 물리 검사</w:t>
            </w:r>
          </w:p>
          <w:p>
            <w:pPr>
              <w:spacing w:after="80" w:line="276" w:lineRule="auto"/>
              <w:jc w:val="both"/>
            </w:pPr>
            <w:r>
              <w:rPr>
                <w:rFonts w:ascii="Times New Roman" w:hAnsi="Times New Roman" w:eastAsia="바탕"/>
                <w:sz w:val="20"/>
              </w:rPr>
              <w:t>영양 정보는 세 경로로 들어온다. 영양성분표 OCR, 제품 데이터베이스 조회, 그리고 음식 사진 추정이다. 세 경로의 신뢰도는 서로 다르며, 특히 사진 추정은 이 분야 최신 기법의 평균 오차가 14.43% 수준이다 (NutritionVerse-Direct 등).</w:t>
            </w:r>
          </w:p>
          <w:p>
            <w:pPr>
              <w:spacing w:after="80" w:line="276" w:lineRule="auto"/>
              <w:jc w:val="both"/>
            </w:pPr>
            <w:r>
              <w:rPr>
                <w:rFonts w:ascii="Times New Roman" w:hAnsi="Times New Roman" w:eastAsia="바탕"/>
                <w:sz w:val="20"/>
              </w:rPr>
              <w:t xml:space="preserve">따라서 SnapCare 는 </w:t>
            </w:r>
            <w:r>
              <w:rPr>
                <w:rFonts w:ascii="Times New Roman" w:hAnsi="Times New Roman" w:eastAsia="바탕"/>
                <w:b/>
                <w:sz w:val="20"/>
              </w:rPr>
              <w:t>어느 경로로 들어왔는지와 무관하게 같은 검사를 적용한다.</w:t>
            </w:r>
          </w:p>
          <w:p>
            <w:pPr>
              <w:spacing w:after="80" w:line="276" w:lineRule="auto"/>
              <w:jc w:val="both"/>
            </w:pPr>
            <w:r>
              <w:rPr>
                <w:rFonts w:ascii="Times New Roman" w:hAnsi="Times New Roman" w:eastAsia="바탕"/>
                <w:sz w:val="20"/>
              </w:rPr>
              <w:t>[표 10]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 xml:space="preserve">Atwater 항등식이 특히 유용하다. 이것은 어떤 출처에서 온 값이든 성립해야 하는 관계이므로, </w:t>
            </w:r>
            <w:r>
              <w:rPr>
                <w:rFonts w:ascii="Times New Roman" w:hAnsi="Times New Roman" w:eastAsia="바탕"/>
                <w:b/>
                <w:sz w:val="20"/>
              </w:rPr>
              <w:t>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before="180" w:after="40"/>
            </w:pPr>
            <w:r>
              <w:rPr>
                <w:rFonts w:ascii="Times New Roman" w:hAnsi="Times New Roman" w:eastAsia="바탕"/>
                <w:b/>
                <w:sz w:val="23"/>
              </w:rPr>
              <w:t>4.3 하드웨어 연동 — 제약이 선택지를 지운 과정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11]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 xml:space="preserve">앞의 둘은 플랫폼이 정한 것이라 우회할 수 없고, 셋째는 저인프라 지역을 대상으로 하는 이상 받아들일 수 없으며, 넷째는 우리가 스스로 배제했다. 표 11의 마지막 행이 나머지와 성격이 다르다는 점을 밝혀 둔다 — 기술이 막은 것이 아니라 </w:t>
            </w:r>
            <w:r>
              <w:rPr>
                <w:rFonts w:ascii="Times New Roman" w:hAnsi="Times New Roman" w:eastAsia="바탕"/>
                <w:b/>
                <w:sz w:val="20"/>
              </w:rPr>
              <w:t>제품의 주장을 지키기 위해 선택지를 좁힌 것</w:t>
            </w:r>
            <w:r>
              <w:rPr>
                <w:rFonts w:ascii="Times New Roman" w:hAnsi="Times New Roman" w:eastAsia="바탕"/>
                <w:sz w:val="20"/>
              </w:rPr>
              <w:t>이다.</w:t>
            </w:r>
          </w:p>
          <w:p>
            <w:pPr>
              <w:spacing w:after="80" w:line="276" w:lineRule="auto"/>
              <w:jc w:val="both"/>
            </w:pPr>
            <w:r>
              <w:rPr>
                <w:rFonts w:ascii="Times New Roman" w:hAnsi="Times New Roman" w:eastAsia="바탕"/>
                <w:sz w:val="20"/>
              </w:rPr>
              <w:t xml:space="preserve">남은 경로는 </w:t>
            </w:r>
            <w:r>
              <w:rPr>
                <w:rFonts w:ascii="Times New Roman" w:hAnsi="Times New Roman" w:eastAsia="바탕"/>
                <w:b/>
                <w:sz w:val="20"/>
              </w:rPr>
              <w:t>최상위 내비게이션</w:t>
            </w:r>
            <w:r>
              <w:rPr>
                <w:rFonts w:ascii="Times New Roman" w:hAnsi="Times New Roman" w:eastAsia="바탕"/>
                <w:sz w:val="20"/>
              </w:rPr>
              <w:t xml:space="preserve">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w:t>
            </w:r>
            <w:r>
              <w:rPr>
                <w:rFonts w:ascii="Times New Roman" w:hAnsi="Times New Roman" w:eastAsia="바탕"/>
                <w:b/>
                <w:sz w:val="20"/>
              </w:rPr>
              <w:t>이동하는 것은 차단되지 않는다.</w:t>
            </w:r>
            <w:r>
              <w:rPr>
                <w:rFonts w:ascii="Times New Roman" w:hAnsi="Times New Roman" w:eastAsia="바탕"/>
                <w:sz w:val="20"/>
              </w:rPr>
              <w:t xml:space="preserve">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80" w:after="40"/>
            </w:pPr>
            <w:r>
              <w:rPr>
                <w:rFonts w:ascii="Times New Roman" w:hAnsi="Times New Roman" w:eastAsia="바탕"/>
                <w:b/>
                <w:sz w:val="23"/>
              </w:rPr>
              <w:t>4.4 종이 서식 — 화면 없는 설정 경로</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 문자 메뉴를 읽어야 하는 화면은 우리가 없애려는 것 자체다.</w:t>
            </w:r>
          </w:p>
          <w:p>
            <w:pPr>
              <w:spacing w:after="80" w:line="276" w:lineRule="auto"/>
              <w:jc w:val="both"/>
            </w:pPr>
            <w:r>
              <w:rPr>
                <w:rFonts w:ascii="Times New Roman" w:hAnsi="Times New Roman" w:eastAsia="바탕"/>
                <w:sz w:val="20"/>
              </w:rPr>
              <w:t xml:space="preserve">따라서 화면을 제거하고 </w:t>
            </w:r>
            <w:r>
              <w:rPr>
                <w:rFonts w:ascii="Times New Roman" w:hAnsi="Times New Roman" w:eastAsia="바탕"/>
                <w:b/>
                <w:sz w:val="20"/>
              </w:rPr>
              <w:t>종이 서식</w:t>
            </w:r>
            <w:r>
              <w:rPr>
                <w:rFonts w:ascii="Times New Roman" w:hAnsi="Times New Roman" w:eastAsia="바탕"/>
                <w:sz w:val="20"/>
              </w:rPr>
              <w:t>으로 대체했다. 의사나 약사가 서식에 표시하면, 환자는 그것을 사진으로 찍기만 하면 된다. 판독은 팀에서 만든 OpenCV 파서가 수행하며, 네 귀퉁이의 ArUco 마커로 서식을 정렬한다.</w:t>
            </w:r>
          </w:p>
          <w:p>
            <w:pPr>
              <w:spacing w:before="160" w:after="60"/>
              <w:jc w:val="center"/>
            </w:pPr>
            <w:r>
              <w:drawing>
                <wp:inline xmlns:a="http://schemas.openxmlformats.org/drawingml/2006/main" xmlns:pic="http://schemas.openxmlformats.org/drawingml/2006/picture">
                  <wp:extent cx="5486400" cy="3135086"/>
                  <wp:docPr id="14" name="Picture 14"/>
                  <wp:cNvGraphicFramePr>
                    <a:graphicFrameLocks noChangeAspect="1"/>
                  </wp:cNvGraphicFramePr>
                  <a:graphic>
                    <a:graphicData uri="http://schemas.openxmlformats.org/drawingml/2006/picture">
                      <pic:pic>
                        <pic:nvPicPr>
                          <pic:cNvPr id="0" name="fig14_formsheet.png"/>
                          <pic:cNvPicPr/>
                        </pic:nvPicPr>
                        <pic:blipFill>
                          <a:blip r:embed="rId28"/>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캐시 이름에는 자산 지문을 찍는다. 픽토그램의 주소는 DSL 문자열에서 유도되므로 그림을 교체해도 주소가 변하지 않으며, 지문이 없으면 한 번이라도 방문한 사용자에게 옛 그림이 계속 제공된다.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12]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펌웨어를 하나의 저장소에서 관리한다. 웹 앱은 한국 팀의 두 명이, 하드웨어 펌웨어와 영양 추정 모델은 김도훈이, 3D 출력과 기구 설계는 몰도바 팀이 담당했다. 대회 조직의 GitHub 조직으로 이관하여 최종 제출한다.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 정보가 화면에 도달하는가</w:t>
            </w:r>
          </w:p>
          <w:p>
            <w:pPr>
              <w:spacing w:after="80" w:line="276" w:lineRule="auto"/>
              <w:jc w:val="both"/>
            </w:pPr>
            <w:r>
              <w:rPr>
                <w:rFonts w:ascii="Times New Roman" w:hAnsi="Times New Roman" w:eastAsia="바탕"/>
                <w:sz w:val="20"/>
              </w:rPr>
              <w:t xml:space="preserve">앱이 완성된 뒤 가장 먼저 물어야 할 것은 </w:t>
            </w:r>
            <w:r>
              <w:rPr>
                <w:rFonts w:ascii="Times New Roman" w:hAnsi="Times New Roman" w:eastAsia="바탕"/>
                <w:b/>
                <w:sz w:val="20"/>
              </w:rPr>
              <w:t>"필요한 정보가 실제로 화면에 도달하는가"</w:t>
            </w:r>
            <w:r>
              <w:rPr>
                <w:rFonts w:ascii="Times New Roman" w:hAnsi="Times New Roman" w:eastAsia="바탕"/>
                <w:sz w:val="20"/>
              </w:rPr>
              <w:t xml:space="preserve"> 였다.</w:t>
            </w:r>
          </w:p>
          <w:p>
            <w:pPr>
              <w:spacing w:after="80" w:line="276" w:lineRule="auto"/>
              <w:jc w:val="both"/>
            </w:pPr>
            <w:r>
              <w:rPr>
                <w:rFonts w:ascii="Times New Roman" w:hAnsi="Times New Roman" w:eastAsia="바탕"/>
                <w:sz w:val="20"/>
              </w:rPr>
              <w:t xml:space="preserve">이를 재현 가능한 방식으로 측정하기 위해, 표본 처방전 네 종과 사용자 조건 일곱 가지를 조합한 28회의 시행을 구성하고, 각 시행의 산출물을 여섯 항목으로 채점했다. 채점은 사람의 판단이 아니라 </w:t>
            </w:r>
            <w:r>
              <w:rPr>
                <w:rFonts w:ascii="Times New Roman" w:hAnsi="Times New Roman" w:eastAsia="바탕"/>
                <w:b/>
                <w:sz w:val="20"/>
              </w:rPr>
              <w:t>화면에 실제로 존재하는 문자열과 음성 대상에 대한 규칙 대조</w:t>
            </w:r>
            <w:r>
              <w:rPr>
                <w:rFonts w:ascii="Times New Roman" w:hAnsi="Times New Roman" w:eastAsia="바탕"/>
                <w:sz w:val="20"/>
              </w:rPr>
              <w:t>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[표 13]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[표 14]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 xml:space="preserve">이 평가가 측정한 것은 </w:t>
            </w:r>
            <w:r>
              <w:rPr>
                <w:rFonts w:ascii="Times New Roman" w:hAnsi="Times New Roman" w:eastAsia="바탕"/>
                <w:b/>
                <w:sz w:val="20"/>
              </w:rPr>
              <w:t>정보의 도달</w:t>
            </w:r>
            <w:r>
              <w:rPr>
                <w:rFonts w:ascii="Times New Roman" w:hAnsi="Times New Roman" w:eastAsia="바탕"/>
                <w:sz w:val="20"/>
              </w:rPr>
              <w:t xml:space="preserve">이지 </w:t>
            </w:r>
            <w:r>
              <w:rPr>
                <w:rFonts w:ascii="Times New Roman" w:hAnsi="Times New Roman" w:eastAsia="바탕"/>
                <w:b/>
                <w:sz w:val="20"/>
              </w:rPr>
              <w:t>사람의 이해</w:t>
            </w:r>
            <w:r>
              <w:rPr>
                <w:rFonts w:ascii="Times New Roman" w:hAnsi="Times New Roman" w:eastAsia="바탕"/>
                <w:sz w:val="20"/>
              </w:rPr>
              <w:t>가 아니라는 점을 분명히 해 둔다. 후자는 사람에게 물어야 하며, 본 평가의 범위 밖이다.</w:t>
            </w:r>
          </w:p>
          <w:p>
            <w:pPr>
              <w:spacing w:before="180" w:after="40"/>
            </w:pPr>
            <w:r>
              <w:rPr>
                <w:rFonts w:ascii="Times New Roman" w:hAnsi="Times New Roman" w:eastAsia="바탕"/>
                <w:b/>
                <w:sz w:val="23"/>
              </w:rPr>
              <w:t>5.2 픽토그램 이해도 — 배포 전에 재는 절차</w:t>
            </w:r>
          </w:p>
          <w:p>
            <w:pPr>
              <w:spacing w:after="80" w:line="276" w:lineRule="auto"/>
              <w:jc w:val="both"/>
            </w:pPr>
            <w:r>
              <w:rPr>
                <w:rFonts w:ascii="Times New Roman" w:hAnsi="Times New Roman" w:eastAsia="바탕"/>
                <w:sz w:val="20"/>
              </w:rPr>
              <w:t>§1.8 에서 확인했듯 픽토그램은 만든다고 읽히는 것이 아니다. 실제로 시험된 의약 픽토그램 가운데 ISO 67% 기준을 통과한 것은 45.8%에 그쳤다 (필리핀 연구).</w:t>
            </w:r>
          </w:p>
          <w:p>
            <w:pPr>
              <w:spacing w:after="80" w:line="276" w:lineRule="auto"/>
              <w:jc w:val="both"/>
            </w:pPr>
            <w:r>
              <w:rPr>
                <w:rFonts w:ascii="Times New Roman" w:hAnsi="Times New Roman" w:eastAsia="바탕"/>
                <w:sz w:val="20"/>
              </w:rPr>
              <w:t xml:space="preserve">그러나 이해도 시험은 사람을 모아야 하므로 비용이 크고 반복하기 어렵다. 그 결과 대부분의 픽토그램 세트는 </w:t>
            </w:r>
            <w:r>
              <w:rPr>
                <w:rFonts w:ascii="Times New Roman" w:hAnsi="Times New Roman" w:eastAsia="바탕"/>
                <w:b/>
                <w:sz w:val="20"/>
              </w:rPr>
              <w:t>만들어진 뒤에 평가되며</w:t>
            </w:r>
            <w:r>
              <w:rPr>
                <w:rFonts w:ascii="Times New Roman" w:hAnsi="Times New Roman" w:eastAsia="바탕"/>
                <w:sz w:val="20"/>
              </w:rPr>
              <w:t>,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15]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 xml:space="preserve">두 번째 관문의 질문 방식이 중요하다. </w:t>
            </w:r>
            <w:r>
              <w:rPr>
                <w:rFonts w:ascii="Times New Roman" w:hAnsi="Times New Roman" w:eastAsia="바탕"/>
                <w:b/>
                <w:sz w:val="20"/>
              </w:rPr>
              <w:t>"이것이 땅콩입니까"</w:t>
            </w:r>
            <w:r>
              <w:rPr>
                <w:rFonts w:ascii="Times New Roman" w:hAnsi="Times New Roman" w:eastAsia="바탕"/>
                <w:sz w:val="20"/>
              </w:rPr>
              <w:t xml:space="preserve">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 xml:space="preserve">또한 512px 원본과 32px 축소본을 함께 제시하고 </w:t>
            </w:r>
            <w:r>
              <w:rPr>
                <w:rFonts w:ascii="Times New Roman" w:hAnsi="Times New Roman" w:eastAsia="바탕"/>
                <w:b/>
                <w:sz w:val="20"/>
              </w:rPr>
              <w:t>축소본을 기준으로</w:t>
            </w:r>
            <w:r>
              <w:rPr>
                <w:rFonts w:ascii="Times New Roman" w:hAnsi="Times New Roman" w:eastAsia="바탕"/>
                <w:sz w:val="20"/>
              </w:rPr>
              <w:t xml:space="preserve"> 답하게 한다. 목록에서 실제로 보이는 크기가 그것이기 때문이다.</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16]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after="80" w:line="276" w:lineRule="auto"/>
              <w:jc w:val="both"/>
            </w:pPr>
            <w:r>
              <w:rPr>
                <w:rFonts w:ascii="Times New Roman" w:hAnsi="Times New Roman" w:eastAsia="바탕"/>
                <w:sz w:val="20"/>
              </w:rPr>
              <w:t>[표 17]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w:t>
            </w:r>
            <w:r>
              <w:rPr>
                <w:rFonts w:ascii="Times New Roman" w:hAnsi="Times New Roman" w:eastAsia="바탕"/>
                <w:b/>
                <w:sz w:val="20"/>
              </w:rPr>
              <w:t>세트 안에 `egg` 라는 다른 알레르겐이 존재하기 때문</w:t>
            </w:r>
            <w:r>
              <w:rPr>
                <w:rFonts w:ascii="Times New Roman" w:hAnsi="Times New Roman" w:eastAsia="바탕"/>
                <w:sz w:val="20"/>
              </w:rPr>
              <w:t>이다. 서로 다른 두 알레르기 경고가 같은 그림으로 읽히는 상태였다.</w:t>
            </w:r>
          </w:p>
          <w:p>
            <w:pPr>
              <w:spacing w:before="180" w:after="40"/>
            </w:pPr>
            <w:r>
              <w:rPr>
                <w:rFonts w:ascii="Times New Roman" w:hAnsi="Times New Roman" w:eastAsia="바탕"/>
                <w:b/>
                <w:sz w:val="23"/>
              </w:rPr>
              <w:t>5.3 고칠 수 없다고 판정한 것</w:t>
            </w:r>
          </w:p>
          <w:p>
            <w:pPr>
              <w:spacing w:after="80" w:line="276" w:lineRule="auto"/>
              <w:jc w:val="both"/>
            </w:pPr>
            <w:r>
              <w:rPr>
                <w:rFonts w:ascii="Times New Roman" w:hAnsi="Times New Roman" w:eastAsia="바탕"/>
                <w:sz w:val="20"/>
              </w:rPr>
              <w:t>재작업을 시도했으나 개선되지 않은 네 종이 있다. 이들은 성격이 앞의 일곱과 다르다.</w:t>
            </w:r>
          </w:p>
          <w:p>
            <w:pPr>
              <w:spacing w:after="80" w:line="276" w:lineRule="auto"/>
              <w:jc w:val="both"/>
            </w:pPr>
            <w:r>
              <w:rPr>
                <w:rFonts w:ascii="Times New Roman" w:hAnsi="Times New Roman" w:eastAsia="바탕"/>
                <w:sz w:val="20"/>
              </w:rPr>
              <w:t>[표 18]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bl>
          <w:p/>
          <w:p>
            <w:pPr>
              <w:spacing w:after="120"/>
            </w:pPr>
          </w:p>
          <w:p>
            <w:pPr>
              <w:spacing w:after="80" w:line="276" w:lineRule="auto"/>
              <w:jc w:val="both"/>
            </w:pPr>
            <w:r>
              <w:rPr>
                <w:rFonts w:ascii="Times New Roman" w:hAnsi="Times New Roman" w:eastAsia="바탕"/>
                <w:sz w:val="20"/>
              </w:rPr>
              <w:t xml:space="preserve">이 넷을 명시하는 이유는 픽토그램이라는 매체의 한계가 어디에 있는지를 보여 주기 때문이다. 개선 가능했던 일곱은 모두 </w:t>
            </w:r>
            <w:r>
              <w:rPr>
                <w:rFonts w:ascii="Times New Roman" w:hAnsi="Times New Roman" w:eastAsia="바탕"/>
                <w:b/>
                <w:sz w:val="20"/>
              </w:rPr>
              <w:t>더 나은 대상을 고르면</w:t>
            </w:r>
            <w:r>
              <w:rPr>
                <w:rFonts w:ascii="Times New Roman" w:hAnsi="Times New Roman" w:eastAsia="바탕"/>
                <w:sz w:val="20"/>
              </w:rPr>
              <w:t xml:space="preserve"> 풀렸으나, 이 넷은 개념 자체가 단독 실루엣으로 성립하지 않는다.</w:t>
            </w:r>
          </w:p>
          <w:p>
            <w:pPr>
              <w:spacing w:before="180" w:after="40"/>
            </w:pPr>
            <w:r>
              <w:rPr>
                <w:rFonts w:ascii="Times New Roman" w:hAnsi="Times New Roman" w:eastAsia="바탕"/>
                <w:b/>
                <w:sz w:val="23"/>
              </w:rPr>
              <w:t>5.4 이 측정의 한계</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b/>
                <w:sz w:val="20"/>
              </w:rPr>
              <w:t>첫째, 사람에게 묻지 않았다.</w:t>
            </w:r>
            <w:r>
              <w:rPr>
                <w:rFonts w:ascii="Times New Roman" w:hAnsi="Times New Roman" w:eastAsia="바탕"/>
                <w:sz w:val="20"/>
              </w:rPr>
              <w:t xml:space="preserve"> 위의 의미 검사는 사람이 아니라 시각 언어 모델에게 물은 것이다. 따라서 표 4의 선행 연구 수치(ISO 통과 45.8%)와 </w:t>
            </w:r>
            <w:r>
              <w:rPr>
                <w:rFonts w:ascii="Times New Roman" w:hAnsi="Times New Roman" w:eastAsia="바탕"/>
                <w:b/>
                <w:sz w:val="20"/>
              </w:rPr>
              <w:t>직접 비교할 수 없다.</w:t>
            </w:r>
            <w:r>
              <w:rPr>
                <w:rFonts w:ascii="Times New Roman" w:hAnsi="Times New Roman" w:eastAsia="바탕"/>
                <w:sz w:val="20"/>
              </w:rPr>
              <w:t xml:space="preserve"> 이 절차의 값어치는 사람 대상 시험을 대체하는 데 있지 않고, 사람에게 묻기 </w:t>
            </w:r>
            <w:r>
              <w:rPr>
                <w:rFonts w:ascii="Times New Roman" w:hAnsi="Times New Roman" w:eastAsia="바탕"/>
                <w:b/>
                <w:sz w:val="20"/>
              </w:rPr>
              <w:t>전에</w:t>
            </w:r>
            <w:r>
              <w:rPr>
                <w:rFonts w:ascii="Times New Roman" w:hAnsi="Times New Roman" w:eastAsia="바탕"/>
                <w:sz w:val="20"/>
              </w:rPr>
              <w:t xml:space="preserve"> 명백한 오독을 걸러 시험 한 번의 비용을 아끼는 데 있다.</w:t>
            </w:r>
          </w:p>
          <w:p>
            <w:pPr>
              <w:spacing w:after="80" w:line="276" w:lineRule="auto"/>
              <w:jc w:val="both"/>
            </w:pPr>
            <w:r>
              <w:rPr>
                <w:rFonts w:ascii="Times New Roman" w:hAnsi="Times New Roman" w:eastAsia="바탕"/>
                <w:b/>
                <w:sz w:val="20"/>
              </w:rPr>
              <w:t>둘째, 판정이 경계에서 흔들린다.</w:t>
            </w:r>
            <w:r>
              <w:rPr>
                <w:rFonts w:ascii="Times New Roman" w:hAnsi="Times New Roman" w:eastAsia="바탕"/>
                <w:sz w:val="20"/>
              </w:rPr>
              <w:t xml:space="preserve">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before="180" w:after="40"/>
            </w:pPr>
            <w:r>
              <w:rPr>
                <w:rFonts w:ascii="Times New Roman" w:hAnsi="Times New Roman" w:eastAsia="바탕"/>
                <w:b/>
                <w:sz w:val="23"/>
              </w:rPr>
              <w:t>5.5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19]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w:t>
            </w:r>
          </w:p>
          <w:p>
            <w:pPr>
              <w:spacing w:before="180" w:after="40"/>
            </w:pPr>
            <w:r>
              <w:rPr>
                <w:rFonts w:ascii="Times New Roman" w:hAnsi="Times New Roman" w:eastAsia="바탕"/>
                <w:b/>
                <w:sz w:val="23"/>
              </w:rPr>
              <w:t>5.6 SDG 3 에 대한 기여</w:t>
            </w:r>
          </w:p>
          <w:p>
            <w:pPr>
              <w:spacing w:after="80" w:line="276" w:lineRule="auto"/>
              <w:jc w:val="both"/>
            </w:pPr>
            <w:r>
              <w:rPr>
                <w:rFonts w:ascii="Times New Roman" w:hAnsi="Times New Roman" w:eastAsia="바탕"/>
                <w:sz w:val="20"/>
              </w:rPr>
              <w:t xml:space="preserve">SnapCare 가 개입하는 지점은 §1.4 에서 서술한 </w:t>
            </w:r>
            <w:r>
              <w:rPr>
                <w:rFonts w:ascii="Times New Roman" w:hAnsi="Times New Roman" w:eastAsia="바탕"/>
                <w:b/>
                <w:sz w:val="20"/>
              </w:rPr>
              <w:t>마지막 한 걸음</w:t>
            </w:r>
            <w:r>
              <w:rPr>
                <w:rFonts w:ascii="Times New Roman" w:hAnsi="Times New Roman" w:eastAsia="바탕"/>
                <w:sz w:val="20"/>
              </w:rPr>
              <w:t xml:space="preserve">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20]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특히 3.d 와의 연결이 직접적이다. 전 세계 세균 감염의 6건 중 1건이 1차 항생제에 내성을 보이며 (WHO GLASS, 2025), 내성으로 인한 사망은 HIV와 말라리아를 넘어섰다 (WHO GLASS, 2025). 증상이 가시면 항생제를 중단하는 것은 내성의 주요 인적 경로이며, 처방전에 적힌 복용 기간이 환자에게 도달하지 못하면 그 지시는 존재하지 않는 것과 같다.</w:t>
            </w:r>
          </w:p>
          <w:p>
            <w:pPr>
              <w:spacing w:before="180" w:after="40"/>
            </w:pPr>
            <w:r>
              <w:rPr>
                <w:rFonts w:ascii="Times New Roman" w:hAnsi="Times New Roman" w:eastAsia="바탕"/>
                <w:b/>
                <w:sz w:val="23"/>
              </w:rPr>
              <w:t>5.7 아직 검증되지 않은 것</w:t>
            </w:r>
          </w:p>
          <w:p>
            <w:pPr>
              <w:spacing w:after="80" w:line="276" w:lineRule="auto"/>
              <w:jc w:val="both"/>
            </w:pPr>
            <w:r>
              <w:rPr>
                <w:rFonts w:ascii="Times New Roman" w:hAnsi="Times New Roman" w:eastAsia="바탕"/>
                <w:sz w:val="20"/>
              </w:rPr>
              <w:t xml:space="preserve">본 제안서가 주장하지 </w:t>
            </w:r>
            <w:r>
              <w:rPr>
                <w:rFonts w:ascii="Times New Roman" w:hAnsi="Times New Roman" w:eastAsia="바탕"/>
                <w:b/>
                <w:sz w:val="20"/>
              </w:rPr>
              <w:t>않는</w:t>
            </w:r>
            <w:r>
              <w:rPr>
                <w:rFonts w:ascii="Times New Roman" w:hAnsi="Times New Roman" w:eastAsia="바탕"/>
                <w:sz w:val="20"/>
              </w:rPr>
              <w:t xml:space="preserve"> 것을 명시한다.</w:t>
            </w:r>
          </w:p>
          <w:p>
            <w:pPr>
              <w:spacing w:after="80" w:line="276" w:lineRule="auto"/>
              <w:jc w:val="both"/>
            </w:pPr>
            <w:r>
              <w:rPr>
                <w:rFonts w:ascii="Times New Roman" w:hAnsi="Times New Roman" w:eastAsia="바탕"/>
                <w:b/>
                <w:sz w:val="20"/>
              </w:rPr>
              <w:t>첫째, 사람 대상 이해도 시험이 수행되지 않았다.</w:t>
            </w:r>
            <w:r>
              <w:rPr>
                <w:rFonts w:ascii="Times New Roman" w:hAnsi="Times New Roman" w:eastAsia="바탕"/>
                <w:sz w:val="20"/>
              </w:rPr>
              <w:t xml:space="preserve">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b/>
                <w:sz w:val="20"/>
              </w:rPr>
              <w:t>둘째, 문화 적응이 검증되지 않았다.</w:t>
            </w:r>
            <w:r>
              <w:rPr>
                <w:rFonts w:ascii="Times New Roman" w:hAnsi="Times New Roman" w:eastAsia="바탕"/>
                <w:sz w:val="20"/>
              </w:rPr>
              <w:t xml:space="preserve"> Dowse &amp; Ehlers 의 연구에서 현지 제작 픽토그램 20종이 ANSI 기준을 통과한 반면 USP 픽토그램은 11종에 그쳤다 (2005).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b/>
                <w:sz w:val="20"/>
              </w:rPr>
              <w:t>셋째, 임상 결과에 대한 주장을 하지 않는다.</w:t>
            </w:r>
            <w:r>
              <w:rPr>
                <w:rFonts w:ascii="Times New Roman" w:hAnsi="Times New Roman" w:eastAsia="바탕"/>
                <w:sz w:val="20"/>
              </w:rPr>
              <w:t xml:space="preserve"> 본 연구는 정보의 도달을 측정했을 뿐, 복약 순응도나 건강 결과의 개선을 측정하지 않았다.</w:t>
            </w:r>
          </w:p>
          <w:p>
            <w:pPr>
              <w:spacing w:before="180" w:after="40"/>
            </w:pPr>
            <w:r>
              <w:rPr>
                <w:rFonts w:ascii="Times New Roman" w:hAnsi="Times New Roman" w:eastAsia="바탕"/>
                <w:b/>
                <w:sz w:val="23"/>
              </w:rPr>
              <w:t>5.8 향후 계획</w:t>
            </w:r>
          </w:p>
          <w:p>
            <w:pPr>
              <w:spacing w:after="80" w:line="276" w:lineRule="auto"/>
              <w:jc w:val="both"/>
            </w:pPr>
            <w:r>
              <w:rPr>
                <w:rFonts w:ascii="Times New Roman" w:hAnsi="Times New Roman" w:eastAsia="바탕"/>
                <w:sz w:val="20"/>
              </w:rPr>
              <w:t>[표 21]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서비스 문서 작성 후 전문가 자문 요청</w:t>
                  </w:r>
                </w:p>
              </w:tc>
              <w:tc>
                <w:tcPr>
                  <w:tcW w:type="dxa" w:w="3238"/>
                </w:tcPr>
                <w:p>
                  <w:r>
                    <w:rPr>
                      <w:rFonts w:ascii="Times New Roman" w:hAnsi="Times New Roman" w:eastAsia="바탕"/>
                      <w:sz w:val="18"/>
                    </w:rPr>
                    <w:t>전문가는 서비스를 사용해 보고 문서를 함께 읽은 뒤 의견을 준다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§5.7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네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 xml:space="preserve">2단계가 가장 중요하다. 본 연구의 모든 측정은 정보가 화면에 도달하는지를 확인했을 뿐이며, </w:t>
            </w:r>
            <w:r>
              <w:rPr>
                <w:rFonts w:ascii="Times New Roman" w:hAnsi="Times New Roman" w:eastAsia="바탕"/>
                <w:b/>
                <w:sz w:val="20"/>
              </w:rPr>
              <w:t>그것이 사람에게 읽히는지는 사람에게 물어야만 알 수 있다.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