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Typography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Kit</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Typography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url('https://fonts.googleapis.com/css?family=Rubik:300,400,500,700');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font-family : 'Rubik', sans-serif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font-weight: normal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Heading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HTML headings, &lt;h1&gt; through &lt;h6&gt;, are available.</w:t>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h1. Bootstrap heading</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 Bootstrap heading</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h3. Bootstrap heading</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h4. Bootstrap heading</w:t>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h5. Bootstrap heading</w:t>
      </w:r>
    </w:p>
    <w:p w:rsidR="00000000" w:rsidDel="00000000" w:rsidP="00000000" w:rsidRDefault="00000000" w:rsidRPr="00000000" w14:paraId="0000005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h6. Bootstrap heading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Blockquotes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quoting blocks of content from another source within your document. Wrap &lt;blockquote class="blockquote"&gt; around any HTML as the quote.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famous in Source Title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Display Headings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Traditional heading elements are designed to work best in the meat of your page content.</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1</w:t>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2</w:t>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3</w:t>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Display 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text utilities as needed to change the alignment of your 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left.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center.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right.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justify.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Unstyled List</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Unorder List</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 List</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9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Purus sodales ultricies</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Inline text elements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Styling for common inline HTML5 elements.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mark tag to highlight text.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deleted text.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no longer accurate.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an addition to the document.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This line of text will render as underlined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line rendered as bold 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line rendered as italicized text.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Text Color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Convey meaning through color with a handful of color utility classes.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primary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success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danger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warning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info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secondary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muted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text color is light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Description list alignment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terms and descriptions horizontally by using our grid system’s predefined classes (or semantic mixins). For longer terms, you can optionally add a .text-truncate class to truncate the text with an ellipsis.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lists A description list is perfect for defining terms. Euismod Vestibulum id ligula porta felis euismod semper eget lacinia odio sem nec elit. Donec id elit non mi porta gravida at eget metus. Malesuada porta Etiam porta sem malesuada magna mollis euismod. Truncated term is truncated Fusce dapibus, tellus ac cursus commodo, tortor mauris condimentum nibh, ut fermentum massa justo sit amet risus. Nesting Nested definition list Aenean posuere, tortor sed cursus feugiat, nunc augue blandit nunc.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Address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to &lt;address&gt; tag.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Twitter, Inc.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795 Folsom Ave, Suite 600</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San Francisco, CA 94107</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 (123) 456-7890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0C8">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