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94588" w14:textId="77777777" w:rsidR="00B20348" w:rsidRDefault="00B20348" w:rsidP="00B20348">
      <w:r>
        <w:t xml:space="preserve">Sergiu Buciumas </w:t>
      </w:r>
    </w:p>
    <w:p w14:paraId="45DD4D85" w14:textId="77777777" w:rsidR="00B20348" w:rsidRDefault="00B20348" w:rsidP="00B20348">
      <w:r>
        <w:t>1 April 1, 2016</w:t>
      </w:r>
    </w:p>
    <w:p w14:paraId="55F3BC5C" w14:textId="77777777" w:rsidR="00B20348" w:rsidRDefault="00B20348" w:rsidP="00B20348">
      <w:pPr>
        <w:pStyle w:val="Heading1"/>
      </w:pPr>
      <w:proofErr w:type="gramStart"/>
      <w:r>
        <w:t>4</w:t>
      </w:r>
      <w:r w:rsidRPr="00B20348">
        <w:rPr>
          <w:vertAlign w:val="superscript"/>
        </w:rPr>
        <w:t>th</w:t>
      </w:r>
      <w:r>
        <w:t xml:space="preserve"> method for Multivariate Forecasting methods.</w:t>
      </w:r>
      <w:proofErr w:type="gramEnd"/>
    </w:p>
    <w:p w14:paraId="028DF57C" w14:textId="77777777" w:rsidR="00B20348" w:rsidRDefault="00B20348" w:rsidP="00B20348">
      <w:pPr>
        <w:pStyle w:val="Heading2"/>
      </w:pPr>
      <w:r>
        <w:t>Single-Equation models</w:t>
      </w:r>
    </w:p>
    <w:p w14:paraId="1B0F4448" w14:textId="77777777" w:rsidR="00B20348" w:rsidRPr="00B20348" w:rsidRDefault="00B20348" w:rsidP="00B20348"/>
    <w:p w14:paraId="33BB3468" w14:textId="77777777" w:rsidR="00B20348" w:rsidRPr="00E71F49" w:rsidRDefault="00B20348" w:rsidP="00B20348">
      <w:pPr>
        <w:widowControl w:val="0"/>
        <w:autoSpaceDE w:val="0"/>
        <w:autoSpaceDN w:val="0"/>
        <w:adjustRightInd w:val="0"/>
        <w:spacing w:after="240" w:line="360" w:lineRule="atLeast"/>
        <w:rPr>
          <w:rFonts w:ascii="Times" w:hAnsi="Times" w:cs="Times"/>
          <w:sz w:val="20"/>
          <w:szCs w:val="20"/>
        </w:rPr>
      </w:pPr>
      <w:r w:rsidRPr="00E71F49">
        <w:rPr>
          <w:rFonts w:ascii="Times" w:hAnsi="Times" w:cs="Times"/>
          <w:sz w:val="20"/>
          <w:szCs w:val="20"/>
        </w:rPr>
        <w:t xml:space="preserve">Two types of so-called single-equation models can be considered for multivariate forecasting: regression models and transfer-function models. </w:t>
      </w:r>
    </w:p>
    <w:p w14:paraId="2FD657BE" w14:textId="77777777" w:rsidR="00B20348" w:rsidRPr="00E71F49" w:rsidRDefault="00B20348" w:rsidP="00B20348">
      <w:pPr>
        <w:widowControl w:val="0"/>
        <w:autoSpaceDE w:val="0"/>
        <w:autoSpaceDN w:val="0"/>
        <w:adjustRightInd w:val="0"/>
        <w:spacing w:after="240" w:line="360" w:lineRule="atLeast"/>
        <w:rPr>
          <w:rFonts w:ascii="Times" w:hAnsi="Times" w:cs="Times"/>
          <w:sz w:val="20"/>
          <w:szCs w:val="20"/>
        </w:rPr>
      </w:pPr>
      <w:r w:rsidRPr="00E71F49">
        <w:rPr>
          <w:rFonts w:ascii="Times" w:hAnsi="Times" w:cs="Times"/>
          <w:sz w:val="20"/>
          <w:szCs w:val="20"/>
        </w:rPr>
        <w:t>The methods are helpful in f</w:t>
      </w:r>
      <w:bookmarkStart w:id="0" w:name="_GoBack"/>
      <w:bookmarkEnd w:id="0"/>
      <w:r w:rsidRPr="00E71F49">
        <w:rPr>
          <w:rFonts w:ascii="Times" w:hAnsi="Times" w:cs="Times"/>
          <w:sz w:val="20"/>
          <w:szCs w:val="20"/>
        </w:rPr>
        <w:t xml:space="preserve">orecasting only if future values of the explanatory variables are known, if forecasting of explanatory variables is particularly easy, or at least if there is no dynamic feedback from the endogenous to the explanatory variables. </w:t>
      </w:r>
    </w:p>
    <w:p w14:paraId="4CF0E552" w14:textId="77777777" w:rsidR="00B20348" w:rsidRPr="00E71F49" w:rsidRDefault="00B20348" w:rsidP="00B20348">
      <w:pPr>
        <w:widowControl w:val="0"/>
        <w:autoSpaceDE w:val="0"/>
        <w:autoSpaceDN w:val="0"/>
        <w:adjustRightInd w:val="0"/>
        <w:spacing w:after="240" w:line="360" w:lineRule="atLeast"/>
        <w:rPr>
          <w:rFonts w:ascii="Times" w:hAnsi="Times" w:cs="Times"/>
          <w:sz w:val="20"/>
          <w:szCs w:val="20"/>
        </w:rPr>
      </w:pPr>
      <w:r w:rsidRPr="00E71F49">
        <w:rPr>
          <w:rFonts w:ascii="Times" w:hAnsi="Times" w:cs="Times"/>
          <w:sz w:val="20"/>
          <w:szCs w:val="20"/>
        </w:rPr>
        <w:t xml:space="preserve">In a time-series setting, errors are often correlated over time, such that ordinary least squares (OLS) may not be appropriate and some kind of generalized least squares (GLS) procedure should be considered. These GLS models assume two </w:t>
      </w:r>
      <w:proofErr w:type="spellStart"/>
      <w:r w:rsidRPr="00E71F49">
        <w:rPr>
          <w:rFonts w:ascii="Times" w:hAnsi="Times" w:cs="Times"/>
          <w:sz w:val="20"/>
          <w:szCs w:val="20"/>
        </w:rPr>
        <w:t>equa</w:t>
      </w:r>
      <w:proofErr w:type="spellEnd"/>
      <w:r w:rsidRPr="00E71F49">
        <w:rPr>
          <w:rFonts w:ascii="Times" w:hAnsi="Times" w:cs="Times"/>
          <w:sz w:val="20"/>
          <w:szCs w:val="20"/>
        </w:rPr>
        <w:t xml:space="preserve">- </w:t>
      </w:r>
      <w:proofErr w:type="spellStart"/>
      <w:r w:rsidRPr="00E71F49">
        <w:rPr>
          <w:rFonts w:ascii="Times" w:hAnsi="Times" w:cs="Times"/>
          <w:sz w:val="20"/>
          <w:szCs w:val="20"/>
        </w:rPr>
        <w:t>tions</w:t>
      </w:r>
      <w:proofErr w:type="spellEnd"/>
      <w:r w:rsidRPr="00E71F49">
        <w:rPr>
          <w:rFonts w:ascii="Times" w:hAnsi="Times" w:cs="Times"/>
          <w:sz w:val="20"/>
          <w:szCs w:val="20"/>
        </w:rPr>
        <w:t xml:space="preserve">, with a time-series model for the errors from the ‘means’ equation, for example an ARMA model: </w:t>
      </w:r>
    </w:p>
    <w:p w14:paraId="509A57B3" w14:textId="77777777" w:rsidR="00B20348" w:rsidRPr="00E71F49" w:rsidRDefault="00B20348" w:rsidP="00B20348">
      <w:pPr>
        <w:widowControl w:val="0"/>
        <w:autoSpaceDE w:val="0"/>
        <w:autoSpaceDN w:val="0"/>
        <w:adjustRightInd w:val="0"/>
        <w:spacing w:after="240" w:line="360" w:lineRule="atLeast"/>
        <w:rPr>
          <w:rFonts w:ascii="Times" w:hAnsi="Times" w:cs="Times"/>
          <w:sz w:val="20"/>
          <w:szCs w:val="20"/>
        </w:rPr>
      </w:pPr>
      <w:proofErr w:type="gramStart"/>
      <w:r w:rsidRPr="00E71F49">
        <w:rPr>
          <w:rFonts w:ascii="Times" w:hAnsi="Times" w:cs="Times"/>
          <w:sz w:val="20"/>
          <w:szCs w:val="20"/>
        </w:rPr>
        <w:t>y</w:t>
      </w:r>
      <w:proofErr w:type="gramEnd"/>
      <w:r w:rsidRPr="00E71F49">
        <w:rPr>
          <w:rFonts w:ascii="Times" w:hAnsi="Times" w:cs="Times"/>
          <w:position w:val="-6"/>
          <w:sz w:val="20"/>
          <w:szCs w:val="20"/>
        </w:rPr>
        <w:t xml:space="preserve">t </w:t>
      </w:r>
      <w:r w:rsidRPr="00E71F49">
        <w:rPr>
          <w:rFonts w:ascii="Times" w:hAnsi="Times" w:cs="Times"/>
          <w:sz w:val="20"/>
          <w:szCs w:val="20"/>
        </w:rPr>
        <w:t>=β</w:t>
      </w:r>
      <w:r w:rsidRPr="00E71F49">
        <w:rPr>
          <w:rFonts w:ascii="Times" w:hAnsi="Times" w:cs="Times"/>
          <w:position w:val="13"/>
          <w:sz w:val="20"/>
          <w:szCs w:val="20"/>
        </w:rPr>
        <w:t>0</w:t>
      </w:r>
      <w:r w:rsidRPr="00E71F49">
        <w:rPr>
          <w:rFonts w:ascii="Times" w:hAnsi="Times" w:cs="Times"/>
          <w:sz w:val="20"/>
          <w:szCs w:val="20"/>
        </w:rPr>
        <w:t>x</w:t>
      </w:r>
      <w:r w:rsidRPr="00E71F49">
        <w:rPr>
          <w:rFonts w:ascii="Times" w:hAnsi="Times" w:cs="Times"/>
          <w:position w:val="-6"/>
          <w:sz w:val="20"/>
          <w:szCs w:val="20"/>
        </w:rPr>
        <w:t>t</w:t>
      </w:r>
      <w:r w:rsidRPr="00E71F49">
        <w:rPr>
          <w:rFonts w:ascii="Times" w:hAnsi="Times" w:cs="Times"/>
          <w:sz w:val="20"/>
          <w:szCs w:val="20"/>
        </w:rPr>
        <w:t>+u</w:t>
      </w:r>
      <w:r w:rsidRPr="00E71F49">
        <w:rPr>
          <w:rFonts w:ascii="Times" w:hAnsi="Times" w:cs="Times"/>
          <w:position w:val="-6"/>
          <w:sz w:val="20"/>
          <w:szCs w:val="20"/>
        </w:rPr>
        <w:t xml:space="preserve">t </w:t>
      </w:r>
      <w:r w:rsidRPr="00E71F49">
        <w:rPr>
          <w:rFonts w:ascii="Times" w:hAnsi="Times" w:cs="Times"/>
          <w:sz w:val="20"/>
          <w:szCs w:val="20"/>
        </w:rPr>
        <w:t>φ(B)u</w:t>
      </w:r>
      <w:r w:rsidRPr="00E71F49">
        <w:rPr>
          <w:rFonts w:ascii="Times" w:hAnsi="Times" w:cs="Times"/>
          <w:position w:val="-6"/>
          <w:sz w:val="20"/>
          <w:szCs w:val="20"/>
        </w:rPr>
        <w:t xml:space="preserve">t </w:t>
      </w:r>
      <w:r w:rsidRPr="00E71F49">
        <w:rPr>
          <w:rFonts w:ascii="Times" w:hAnsi="Times" w:cs="Times"/>
          <w:sz w:val="20"/>
          <w:szCs w:val="20"/>
        </w:rPr>
        <w:t>= θ(B)ε</w:t>
      </w:r>
      <w:r w:rsidRPr="00E71F49">
        <w:rPr>
          <w:rFonts w:ascii="Times" w:hAnsi="Times" w:cs="Times"/>
          <w:position w:val="-6"/>
          <w:sz w:val="20"/>
          <w:szCs w:val="20"/>
        </w:rPr>
        <w:t>t</w:t>
      </w:r>
      <w:r w:rsidRPr="00E71F49">
        <w:rPr>
          <w:rFonts w:ascii="Times" w:hAnsi="Times" w:cs="Times"/>
          <w:sz w:val="20"/>
          <w:szCs w:val="20"/>
        </w:rPr>
        <w:t xml:space="preserve">. </w:t>
      </w:r>
    </w:p>
    <w:p w14:paraId="4C2350DB" w14:textId="77777777" w:rsidR="00B20348" w:rsidRPr="00E71F49" w:rsidRDefault="00B20348" w:rsidP="00B20348">
      <w:pPr>
        <w:widowControl w:val="0"/>
        <w:autoSpaceDE w:val="0"/>
        <w:autoSpaceDN w:val="0"/>
        <w:adjustRightInd w:val="0"/>
        <w:spacing w:after="240" w:line="360" w:lineRule="atLeast"/>
        <w:rPr>
          <w:rFonts w:ascii="Times" w:hAnsi="Times" w:cs="Times"/>
          <w:sz w:val="20"/>
          <w:szCs w:val="20"/>
        </w:rPr>
      </w:pPr>
      <w:r w:rsidRPr="00E71F49">
        <w:rPr>
          <w:rFonts w:ascii="Times" w:hAnsi="Times" w:cs="Times"/>
          <w:sz w:val="20"/>
          <w:szCs w:val="20"/>
        </w:rPr>
        <w:t xml:space="preserve">Some authors recommend removing trends and seasonal from all variables or possible differencing before regression modeling, which however may be problematic and may entail a deterioration of predictive accuracy. </w:t>
      </w:r>
    </w:p>
    <w:p w14:paraId="01E1D1CE" w14:textId="77777777" w:rsidR="00B20348" w:rsidRPr="00E71F49" w:rsidRDefault="00B20348" w:rsidP="00B20348">
      <w:pPr>
        <w:widowControl w:val="0"/>
        <w:autoSpaceDE w:val="0"/>
        <w:autoSpaceDN w:val="0"/>
        <w:adjustRightInd w:val="0"/>
        <w:spacing w:after="240" w:line="360" w:lineRule="atLeast"/>
        <w:rPr>
          <w:rFonts w:ascii="Times" w:hAnsi="Times" w:cs="Times"/>
          <w:sz w:val="20"/>
          <w:szCs w:val="20"/>
        </w:rPr>
      </w:pPr>
      <w:r w:rsidRPr="00E71F49">
        <w:rPr>
          <w:rFonts w:ascii="Times" w:hAnsi="Times" w:cs="Times"/>
          <w:sz w:val="20"/>
          <w:szCs w:val="20"/>
        </w:rPr>
        <w:t>Transfer-function models are based on dynamic relationships among mean- and possibly trend-corrected variables y</w:t>
      </w:r>
      <w:r w:rsidRPr="00E71F49">
        <w:rPr>
          <w:rFonts w:ascii="Times" w:hAnsi="Times" w:cs="Times"/>
          <w:position w:val="-6"/>
          <w:sz w:val="20"/>
          <w:szCs w:val="20"/>
        </w:rPr>
        <w:t xml:space="preserve">t </w:t>
      </w:r>
      <w:r w:rsidRPr="00E71F49">
        <w:rPr>
          <w:rFonts w:ascii="Times" w:hAnsi="Times" w:cs="Times"/>
          <w:sz w:val="20"/>
          <w:szCs w:val="20"/>
        </w:rPr>
        <w:t>(output) and x</w:t>
      </w:r>
      <w:r w:rsidRPr="00E71F49">
        <w:rPr>
          <w:rFonts w:ascii="Times" w:hAnsi="Times" w:cs="Times"/>
          <w:position w:val="-6"/>
          <w:sz w:val="20"/>
          <w:szCs w:val="20"/>
        </w:rPr>
        <w:t xml:space="preserve">t </w:t>
      </w:r>
      <w:r w:rsidRPr="00E71F49">
        <w:rPr>
          <w:rFonts w:ascii="Times" w:hAnsi="Times" w:cs="Times"/>
          <w:sz w:val="20"/>
          <w:szCs w:val="20"/>
        </w:rPr>
        <w:t xml:space="preserve">(input) of the form </w:t>
      </w:r>
    </w:p>
    <w:p w14:paraId="4F3A830F" w14:textId="77777777" w:rsidR="00B20348" w:rsidRPr="00E71F49" w:rsidRDefault="00B20348" w:rsidP="00B20348">
      <w:pPr>
        <w:widowControl w:val="0"/>
        <w:autoSpaceDE w:val="0"/>
        <w:autoSpaceDN w:val="0"/>
        <w:adjustRightInd w:val="0"/>
        <w:spacing w:after="240" w:line="360" w:lineRule="atLeast"/>
        <w:rPr>
          <w:rFonts w:ascii="Times" w:hAnsi="Times" w:cs="Times"/>
          <w:sz w:val="20"/>
          <w:szCs w:val="20"/>
        </w:rPr>
      </w:pPr>
      <w:proofErr w:type="gramStart"/>
      <w:r w:rsidRPr="00E71F49">
        <w:rPr>
          <w:rFonts w:ascii="Times" w:hAnsi="Times" w:cs="Times"/>
          <w:sz w:val="20"/>
          <w:szCs w:val="20"/>
        </w:rPr>
        <w:t>δ(</w:t>
      </w:r>
      <w:proofErr w:type="gramEnd"/>
      <w:r w:rsidRPr="00E71F49">
        <w:rPr>
          <w:rFonts w:ascii="Times" w:hAnsi="Times" w:cs="Times"/>
          <w:sz w:val="20"/>
          <w:szCs w:val="20"/>
        </w:rPr>
        <w:t>B)y</w:t>
      </w:r>
      <w:r w:rsidRPr="00E71F49">
        <w:rPr>
          <w:rFonts w:ascii="Times" w:hAnsi="Times" w:cs="Times"/>
          <w:position w:val="-6"/>
          <w:sz w:val="20"/>
          <w:szCs w:val="20"/>
        </w:rPr>
        <w:t xml:space="preserve">t </w:t>
      </w:r>
      <w:r w:rsidRPr="00E71F49">
        <w:rPr>
          <w:rFonts w:ascii="Times" w:hAnsi="Times" w:cs="Times"/>
          <w:sz w:val="20"/>
          <w:szCs w:val="20"/>
        </w:rPr>
        <w:t>=ω(B)x</w:t>
      </w:r>
      <w:r w:rsidRPr="00E71F49">
        <w:rPr>
          <w:rFonts w:ascii="Times" w:hAnsi="Times" w:cs="Times"/>
          <w:position w:val="-6"/>
          <w:sz w:val="20"/>
          <w:szCs w:val="20"/>
        </w:rPr>
        <w:t xml:space="preserve">t </w:t>
      </w:r>
      <w:r w:rsidRPr="00E71F49">
        <w:rPr>
          <w:rFonts w:ascii="Times" w:hAnsi="Times" w:cs="Times"/>
          <w:sz w:val="20"/>
          <w:szCs w:val="20"/>
        </w:rPr>
        <w:t>+θ(B)ε</w:t>
      </w:r>
      <w:r w:rsidRPr="00E71F49">
        <w:rPr>
          <w:rFonts w:ascii="Times" w:hAnsi="Times" w:cs="Times"/>
          <w:position w:val="-6"/>
          <w:sz w:val="20"/>
          <w:szCs w:val="20"/>
        </w:rPr>
        <w:t>t</w:t>
      </w:r>
      <w:r w:rsidRPr="00E71F49">
        <w:rPr>
          <w:rFonts w:ascii="Times" w:hAnsi="Times" w:cs="Times"/>
          <w:sz w:val="20"/>
          <w:szCs w:val="20"/>
        </w:rPr>
        <w:t xml:space="preserve">. (1) </w:t>
      </w:r>
    </w:p>
    <w:p w14:paraId="12C2AB46" w14:textId="77777777" w:rsidR="00B20348" w:rsidRDefault="00B20348" w:rsidP="00B20348">
      <w:pPr>
        <w:widowControl w:val="0"/>
        <w:autoSpaceDE w:val="0"/>
        <w:autoSpaceDN w:val="0"/>
        <w:adjustRightInd w:val="0"/>
        <w:spacing w:after="240" w:line="360" w:lineRule="atLeast"/>
        <w:rPr>
          <w:rFonts w:ascii="Times" w:hAnsi="Times" w:cs="Times"/>
        </w:rPr>
      </w:pPr>
      <w:r w:rsidRPr="00E71F49">
        <w:rPr>
          <w:rFonts w:ascii="Times" w:hAnsi="Times" w:cs="Times"/>
          <w:sz w:val="20"/>
          <w:szCs w:val="20"/>
        </w:rPr>
        <w:t>A common suggestion is to start from an ARMA or ARIMA model for the input variable x</w:t>
      </w:r>
      <w:r w:rsidRPr="00E71F49">
        <w:rPr>
          <w:rFonts w:ascii="Times" w:hAnsi="Times" w:cs="Times"/>
          <w:position w:val="-6"/>
          <w:sz w:val="20"/>
          <w:szCs w:val="20"/>
        </w:rPr>
        <w:t xml:space="preserve">t </w:t>
      </w:r>
      <w:r w:rsidRPr="00E71F49">
        <w:rPr>
          <w:rFonts w:ascii="Times" w:hAnsi="Times" w:cs="Times"/>
          <w:sz w:val="20"/>
          <w:szCs w:val="20"/>
        </w:rPr>
        <w:t xml:space="preserve">and to apply the identified ‘filter’ to both input and output. It is then much easier to determine the remaining polynomial. </w:t>
      </w:r>
    </w:p>
    <w:p w14:paraId="51315839" w14:textId="77777777" w:rsidR="00B20348" w:rsidRDefault="00B20348" w:rsidP="00B20348">
      <w:pPr>
        <w:widowControl w:val="0"/>
        <w:autoSpaceDE w:val="0"/>
        <w:autoSpaceDN w:val="0"/>
        <w:adjustRightInd w:val="0"/>
        <w:spacing w:after="240" w:line="360" w:lineRule="atLeast"/>
        <w:rPr>
          <w:rFonts w:ascii="Times" w:hAnsi="Times" w:cs="Times"/>
        </w:rPr>
      </w:pPr>
    </w:p>
    <w:p w14:paraId="6D125A98" w14:textId="77777777" w:rsidR="00B3170B" w:rsidRDefault="00B3170B"/>
    <w:sectPr w:rsidR="00B3170B" w:rsidSect="00B2034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48"/>
    <w:rsid w:val="009C2272"/>
    <w:rsid w:val="009C534E"/>
    <w:rsid w:val="00B20348"/>
    <w:rsid w:val="00B3170B"/>
    <w:rsid w:val="00E71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FD1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3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03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3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2034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3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03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3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2034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1266</Characters>
  <Application>Microsoft Macintosh Word</Application>
  <DocSecurity>0</DocSecurity>
  <Lines>10</Lines>
  <Paragraphs>2</Paragraphs>
  <ScaleCrop>false</ScaleCrop>
  <Company>Kennesaw State Univeristy</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buciumas</dc:creator>
  <cp:keywords/>
  <dc:description/>
  <cp:lastModifiedBy>sergiu  buciumas</cp:lastModifiedBy>
  <cp:revision>2</cp:revision>
  <dcterms:created xsi:type="dcterms:W3CDTF">2016-04-01T15:08:00Z</dcterms:created>
  <dcterms:modified xsi:type="dcterms:W3CDTF">2016-04-01T18:33:00Z</dcterms:modified>
</cp:coreProperties>
</file>