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LAB02: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3"/>
        </w:numPr>
        <w:spacing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Actors &amp; Use Cases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 (tác nhân):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Khách hàng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Quản trị viên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Cases (chức năng):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Đăng ký tài khoản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Tìm kiếm sản phẩm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Đặt hàng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Thanh toán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Quản lý sản phẩm (chỉ dành cho quản trị viên)</w:t>
        <w:br w:type="textWrapping"/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2"/>
          <w:szCs w:val="22"/>
        </w:rPr>
      </w:pPr>
      <w:bookmarkStart w:colFirst="0" w:colLast="0" w:name="_pkyjx7effoje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Use Case Descriptions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ybhek9yr41k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 1: Đặt hàng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Khách hàng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Khách chọn sản phẩm và tạo đơn hàng.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Điều kiện tiên quyết:</w:t>
      </w:r>
      <w:r w:rsidDel="00000000" w:rsidR="00000000" w:rsidRPr="00000000">
        <w:rPr>
          <w:rtl w:val="0"/>
        </w:rPr>
        <w:t xml:space="preserve"> Khách đã đăng nhập.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Luồng sự kiện chính: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Khách duyệt danh sách sản phẩm.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Khách chọn sản phẩm và thêm vào giỏ hàng.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Khách xác nhận đơn hàng.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Hệ thống lưu thông tin đơn hàng.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  <w:t xml:space="preserve"> Đơn hàng được tạo.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Ngoại lệ:</w:t>
      </w:r>
      <w:r w:rsidDel="00000000" w:rsidR="00000000" w:rsidRPr="00000000">
        <w:rPr>
          <w:rtl w:val="0"/>
        </w:rPr>
        <w:t xml:space="preserve"> Sản phẩm hết hàng.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t8zt6b4ofp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 2: Thanh toán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Khách hàng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Khách thanh toán đơn hàng đã đặt.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Điều kiện tiên quyết:</w:t>
      </w:r>
      <w:r w:rsidDel="00000000" w:rsidR="00000000" w:rsidRPr="00000000">
        <w:rPr>
          <w:rtl w:val="0"/>
        </w:rPr>
        <w:t xml:space="preserve"> Khách đã có đơn hàng.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Luồng sự kiện chính: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Khách mở giỏ hàng và chọn đơn cần thanh toán.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Hệ thống hiển thị số tiền.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Khách chọn phương thức thanh toán (ví dụ: thẻ, COD).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Hệ thống xác nhận giao dịch.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  <w:t xml:space="preserve"> Đơn hàng được thanh toán.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Ngoại lệ:</w:t>
      </w:r>
      <w:r w:rsidDel="00000000" w:rsidR="00000000" w:rsidRPr="00000000">
        <w:rPr>
          <w:rtl w:val="0"/>
        </w:rPr>
        <w:t xml:space="preserve"> Giao dịch thất bại.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