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keepNext/>
        <w:widowControl/>
        <w:shd w:fill="E7E6E6"/>
      </w:pPr>
      <w:r>
        <w:t>00｜複習總索引示範</w:t>
      </w:r>
    </w:p>
    <w:p>
      <w:pPr>
        <w:pStyle w:val="Heading1"/>
        <w:keepNext/>
        <w:widowControl/>
        <w:shd w:fill="D9D9D9"/>
      </w:pPr>
      <w:r>
        <w:t>關鍵字快速查找表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888888"/>
          <w:insideV w:val="single" w:sz="2" w:space="0" w:color="888888"/>
        </w:tblBorders>
      </w:tblPr>
      <w:tblGrid>
        <w:gridCol w:w="3477"/>
        <w:gridCol w:w="3477"/>
        <w:gridCol w:w="3477"/>
      </w:tblGrid>
      <w:tr>
        <w:trPr>
          <w:tblHeader w:val="true"/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關鍵字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翻哪一份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Control Chart / Cpk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01 製程管制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製程穩定、異常判斷、能力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FMEA / RPN / AP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02 風險分析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事前風險、改善優先順序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FA / Root Cause / CAPA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04 失效分析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定位、真因、改善回饋</w:t>
            </w:r>
          </w:p>
        </w:tc>
      </w:tr>
    </w:tbl>
    <w:p>
      <w:pPr>
        <w:pStyle w:val="Heading1"/>
        <w:keepNext/>
        <w:widowControl/>
        <w:shd w:fill="D9D9D9"/>
      </w:pPr>
      <w:r>
        <w:t>申論 / 面試快速路線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888888"/>
          <w:insideV w:val="single" w:sz="2" w:space="0" w:color="888888"/>
        </w:tblBorders>
      </w:tblPr>
      <w:tblGrid>
        <w:gridCol w:w="3477"/>
        <w:gridCol w:w="3477"/>
        <w:gridCol w:w="3477"/>
      </w:tblGrid>
      <w:tr>
        <w:trPr>
          <w:tblHeader w:val="true"/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題型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建議順序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答題主線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製程異常怎麼處理？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SPC → FA → FMEA/QMS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確認 → 圍堵 → 根因 → CAPA → 預防再發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良率下降怎麼辦？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PI SOP → Commonality → Verification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Define → Scope → Data → Hypothesis → Verify</w:t>
            </w:r>
          </w:p>
        </w:tc>
      </w:tr>
    </w:tbl>
    <w:tbl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888888"/>
          <w:left w:val="nil" w:sz="0" w:space="0" w:color="888888"/>
          <w:bottom w:val="nil" w:sz="0" w:space="0" w:color="888888"/>
          <w:right w:val="nil" w:sz="0" w:space="0" w:color="888888"/>
          <w:insideH w:val="nil" w:sz="4" w:space="0" w:color="888888"/>
          <w:insideV w:val="single" w:sz="4" w:space="0" w:color="888888"/>
        </w:tblBorders>
      </w:tblPr>
      <w:tblGrid>
        <w:gridCol w:w="5216"/>
        <w:gridCol w:w="5216"/>
      </w:tblGrid>
      <w:tr>
        <w:tc>
          <w:tcPr>
            <w:tcW w:type="dxa" w:w="52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widowControl/>
            </w:pPr>
            <w:r/>
          </w:p>
          <w:p>
            <w:pPr>
              <w:pStyle w:val="Heading2"/>
              <w:keepNext/>
              <w:widowControl/>
            </w:pPr>
            <w:r>
              <w:t>易混淆概念</w:t>
            </w:r>
          </w:p>
          <w:p>
            <w:pPr>
              <w:widowControl/>
              <w:ind w:left="180" w:hanging="100"/>
            </w:pPr>
            <w:r>
              <w:t xml:space="preserve">• </w:t>
            </w:r>
            <w:r>
              <w:t>Control Limit ≠ Specification Limit</w:t>
            </w:r>
          </w:p>
          <w:p>
            <w:pPr>
              <w:widowControl/>
              <w:ind w:left="180" w:hanging="100"/>
            </w:pPr>
            <w:r>
              <w:t xml:space="preserve">• </w:t>
            </w:r>
            <w:r>
              <w:t>OOC ≠ OOS</w:t>
            </w:r>
          </w:p>
          <w:p>
            <w:pPr>
              <w:widowControl/>
              <w:ind w:left="180" w:hanging="100"/>
            </w:pPr>
            <w:r>
              <w:t xml:space="preserve">• </w:t>
            </w:r>
            <w:r>
              <w:t>Correlation ≠ Causality</w:t>
            </w:r>
          </w:p>
          <w:p>
            <w:pPr>
              <w:widowControl/>
              <w:ind w:left="180" w:hanging="100"/>
            </w:pPr>
            <w:r>
              <w:t xml:space="preserve">• </w:t>
            </w:r>
            <w:r>
              <w:t>Containment ≠ Corrective Action</w:t>
            </w:r>
          </w:p>
        </w:tc>
        <w:tc>
          <w:tcPr>
            <w:tcW w:type="dxa" w:w="52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widowControl/>
            </w:pPr>
            <w:r/>
          </w:p>
          <w:p>
            <w:pPr>
              <w:pStyle w:val="Heading2"/>
              <w:keepNext/>
              <w:widowControl/>
            </w:pPr>
            <w:r>
              <w:t>最後速背</w:t>
            </w:r>
          </w:p>
          <w:p>
            <w:pPr>
              <w:widowControl/>
              <w:ind w:left="180" w:hanging="100"/>
            </w:pPr>
            <w:r>
              <w:t xml:space="preserve">• </w:t>
            </w:r>
            <w:r>
              <w:t>先定義問題，再做驗證。</w:t>
            </w:r>
          </w:p>
          <w:p>
            <w:pPr>
              <w:widowControl/>
              <w:ind w:left="180" w:hanging="100"/>
            </w:pPr>
            <w:r>
              <w:t xml:space="preserve">• </w:t>
            </w:r>
            <w:r>
              <w:t>Hold lot 只是止血。</w:t>
            </w:r>
          </w:p>
          <w:p>
            <w:pPr>
              <w:widowControl/>
              <w:ind w:left="180" w:hanging="100"/>
            </w:pPr>
            <w:r>
              <w:t xml:space="preserve">• </w:t>
            </w:r>
            <w:r>
              <w:t>根因必須能被證據支持，且改善後問題下降。</w:t>
            </w:r>
          </w:p>
          <w:p>
            <w:pPr>
              <w:widowControl/>
              <w:ind w:left="180" w:hanging="100"/>
            </w:pPr>
            <w:r>
              <w:t xml:space="preserve">• </w:t>
            </w:r>
            <w:r>
              <w:t>結案要更新制度與追蹤效果。</w:t>
            </w:r>
          </w:p>
        </w:tc>
      </w:tr>
    </w:tbl>
    <w:p>
      <w:pPr>
        <w:pStyle w:val="Heading1"/>
        <w:keepNext/>
        <w:widowControl/>
        <w:shd w:fill="D9D9D9"/>
      </w:pPr>
      <w:r>
        <w:t>主題與來源對照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888888"/>
          <w:insideV w:val="single" w:sz="2" w:space="0" w:color="888888"/>
        </w:tblBorders>
      </w:tblPr>
      <w:tblGrid>
        <w:gridCol w:w="3477"/>
        <w:gridCol w:w="3477"/>
        <w:gridCol w:w="3477"/>
      </w:tblGrid>
      <w:tr>
        <w:trPr>
          <w:tblHeader w:val="true"/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主題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主要來源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狀態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製程管制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教材 01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READY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風險分析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教材 02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READY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失效分析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教材 04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READY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737" w:bottom="680" w:left="737" w:header="720" w:footer="720" w:gutter="0"/>
      <w:cols w:space="283" w:num="1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5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sz w:val="15"/>
      </w:rPr>
      <w:t>Study Note QA｜00｜複習總索引示範｜專業複習灰階版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" w:line="245" w:lineRule="auto"/>
    </w:pPr>
    <w:rPr>
      <w:rFonts w:ascii="Liberation Serif" w:hAnsi="Liberation Serif" w:eastAsia="Noto Serif CJK TC" w:cs="Liberation Serif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60" w:after="20"/>
      <w:outlineLvl w:val="0"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50" w:after="16"/>
      <w:outlineLvl w:val="1"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40" w:after="10"/>
      <w:outlineLvl w:val="2"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bCs/>
      <w:color w:val="000000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40" w:line="240" w:lineRule="auto" w:before="0"/>
      <w:contextualSpacing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color w:val="000000"/>
      <w:spacing w:val="5"/>
      <w:kern w:val="28"/>
      <w:sz w:val="3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widowControl/>
      <w:spacing w:after="10" w:line="245" w:lineRule="auto"/>
    </w:pPr>
    <w:rPr>
      <w:rFonts w:ascii="Liberation Serif" w:hAnsi="Liberation Serif" w:eastAsia="Noto Serif CJK TC" w:cs="Liberation Serif"/>
      <w:b w:val="0"/>
      <w:color w:val="000000"/>
      <w:sz w:val="16"/>
    </w:rPr>
  </w:style>
  <w:style w:type="paragraph" w:customStyle="1" w:styleId="KeySentence">
    <w:name w:val="KeySentence"/>
    <w:pPr>
      <w:widowControl/>
      <w:spacing w:after="16" w:line="245" w:lineRule="auto"/>
    </w:pPr>
    <w:rPr>
      <w:rFonts w:ascii="Liberation Serif" w:hAnsi="Liberation Serif" w:eastAsia="Noto Serif CJK TC" w:cs="Liberation Serif"/>
      <w:b/>
      <w:color w:val="000000"/>
      <w:sz w:val="17"/>
    </w:rPr>
  </w:style>
  <w:style w:type="paragraph" w:customStyle="1" w:styleId="Question">
    <w:name w:val="Question"/>
    <w:pPr>
      <w:widowControl/>
      <w:spacing w:after="10" w:line="245" w:lineRule="auto"/>
    </w:pPr>
    <w:rPr>
      <w:rFonts w:ascii="Liberation Serif" w:hAnsi="Liberation Serif" w:eastAsia="Noto Sans CJK TC" w:cs="Liberation Serif"/>
      <w:b/>
      <w:color w:val="000000"/>
      <w:sz w:val="17"/>
    </w:rPr>
  </w:style>
  <w:style w:type="paragraph" w:customStyle="1" w:styleId="Answer">
    <w:name w:val="Answer"/>
    <w:pPr>
      <w:widowControl/>
      <w:spacing w:after="10" w:line="245" w:lineRule="auto"/>
      <w:ind w:left="113"/>
    </w:pPr>
    <w:rPr>
      <w:rFonts w:ascii="Liberation Serif" w:hAnsi="Liberation Serif" w:eastAsia="Noto Serif CJK TC" w:cs="Liberation Serif"/>
      <w:b w:val="0"/>
      <w:color w:val="000000"/>
      <w:sz w:val="17"/>
    </w:rPr>
  </w:style>
  <w:style w:type="paragraph" w:customStyle="1" w:styleId="Compact">
    <w:name w:val="Compact"/>
    <w:pPr>
      <w:widowControl/>
      <w:spacing w:after="16" w:line="245" w:lineRule="auto"/>
    </w:pPr>
    <w:rPr>
      <w:rFonts w:ascii="Liberation Serif" w:hAnsi="Liberation Serif" w:eastAsia="Noto Serif CJK TC" w:cs="Liberation Serif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