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To: </w:t>
      </w:r>
    </w:p>
    <w:p>
      <w:r>
        <w:t>client</w:t>
      </w:r>
    </w:p>
    <w:p/>
    <w:p>
      <w:r>
        <w:t>Date: 1/5/2021</w:t>
      </w:r>
    </w:p>
    <w:tbl>
      <w:tblPr>
        <w:tblStyle w:val="TableGrid"/>
        <w:tblW w:type="auto" w:w="0"/>
        <w:tblLook w:firstColumn="1" w:firstRow="1" w:lastColumn="0" w:lastRow="0" w:noHBand="0" w:noVBand="1" w:val="04A0"/>
      </w:tblPr>
      <w:tblGrid>
        <w:gridCol w:w="2160"/>
        <w:gridCol w:w="2160"/>
        <w:gridCol w:w="2160"/>
        <w:gridCol w:w="2160"/>
      </w:tblGrid>
      <w:tr>
        <w:trPr>
          <w:trHeight w:val="720"/>
        </w:trPr>
        <w:tc>
          <w:tcPr>
            <w:tcW w:type="dxa" w:w="2160"/>
          </w:tcPr>
          <w:p>
            <w:r>
              <w:rPr>
                <w:b/>
              </w:rPr>
              <w:t>Product Name</w:t>
            </w:r>
          </w:p>
        </w:tc>
        <w:tc>
          <w:tcPr>
            <w:tcW w:type="dxa" w:w="2160"/>
          </w:tcPr>
          <w:p>
            <w:r>
              <w:rPr>
                <w:b/>
              </w:rPr>
              <w:t>Price</w:t>
            </w:r>
          </w:p>
        </w:tc>
        <w:tc>
          <w:tcPr>
            <w:tcW w:type="dxa" w:w="2160"/>
          </w:tcPr>
          <w:p>
            <w:r>
              <w:rPr>
                <w:b/>
              </w:rPr>
              <w:t>Quantity</w:t>
            </w:r>
          </w:p>
        </w:tc>
        <w:tc>
          <w:tcPr>
            <w:tcW w:type="dxa" w:w="2160"/>
          </w:tcPr>
          <w:p>
            <w:r>
              <w:rPr>
                <w:b/>
              </w:rPr>
              <w:t>Amount</w:t>
            </w:r>
          </w:p>
        </w:tc>
      </w:tr>
      <w:tr>
        <w:tc>
          <w:tcPr>
            <w:tcW w:type="dxa" w:w="2160"/>
          </w:tcPr>
          <w:p>
            <w:r>
              <w:t>Plastic Bags</w:t>
            </w:r>
          </w:p>
        </w:tc>
        <w:tc>
          <w:tcPr>
            <w:tcW w:type="dxa" w:w="2160"/>
          </w:tcPr>
          <w:p>
            <w:r>
              <w:t>100</w:t>
            </w:r>
          </w:p>
        </w:tc>
        <w:tc>
          <w:tcPr>
            <w:tcW w:type="dxa" w:w="2160"/>
          </w:tcPr>
          <w:p>
            <w:r>
              <w:t>1000</w:t>
            </w:r>
          </w:p>
        </w:tc>
        <w:tc>
          <w:tcPr>
            <w:tcW w:type="dxa" w:w="2160"/>
          </w:tcPr>
          <w:p>
            <w:r>
              <w:t>100000</w:t>
            </w:r>
          </w:p>
        </w:tc>
      </w:tr>
      <w:tr>
        <w:tc>
          <w:tcPr>
            <w:tcW w:type="dxa" w:w="2160"/>
          </w:tcPr>
          <w:p/>
        </w:tc>
        <w:tc>
          <w:tcPr>
            <w:tcW w:type="dxa" w:w="2160"/>
          </w:tcPr>
          <w:p/>
        </w:tc>
        <w:tc>
          <w:tcPr>
            <w:tcW w:type="dxa" w:w="2160"/>
          </w:tcPr>
          <w:p/>
        </w:tc>
        <w:tc>
          <w:tcPr>
            <w:tcW w:type="dxa" w:w="2160"/>
          </w:tcPr>
          <w:p/>
        </w:tc>
      </w:tr>
      <w:tr>
        <w:tc>
          <w:tcPr>
            <w:tcW w:type="dxa" w:w="2160"/>
          </w:tcPr>
          <w:p>
            <w:pPr>
              <w:jc w:val="right"/>
            </w:pPr>
            <w:r>
              <w:rPr>
                <w:b/>
              </w:rPr>
              <w:t>Sub Total</w:t>
            </w:r>
          </w:p>
        </w:tc>
        <w:tc>
          <w:tcPr>
            <w:tcW w:type="dxa" w:w="2160"/>
          </w:tcPr>
          <w:p/>
        </w:tc>
        <w:tc>
          <w:tcPr>
            <w:tcW w:type="dxa" w:w="2160"/>
          </w:tcPr>
          <w:p/>
        </w:tc>
        <w:tc>
          <w:tcPr>
            <w:tcW w:type="dxa" w:w="2160"/>
          </w:tcPr>
          <w:p>
            <w:r>
              <w:t>100000</w:t>
            </w:r>
          </w:p>
        </w:tc>
      </w:tr>
      <w:tr>
        <w:tc>
          <w:tcPr>
            <w:tcW w:type="dxa" w:w="2160"/>
          </w:tcPr>
          <w:p>
            <w:pPr>
              <w:jc w:val="right"/>
            </w:pPr>
            <w:r>
              <w:rPr>
                <w:b/>
              </w:rPr>
              <w:t>Hst 13%</w:t>
            </w:r>
          </w:p>
        </w:tc>
        <w:tc>
          <w:tcPr>
            <w:tcW w:type="dxa" w:w="2160"/>
          </w:tcPr>
          <w:p/>
        </w:tc>
        <w:tc>
          <w:tcPr>
            <w:tcW w:type="dxa" w:w="2160"/>
          </w:tcPr>
          <w:p/>
        </w:tc>
        <w:tc>
          <w:tcPr>
            <w:tcW w:type="dxa" w:w="2160"/>
          </w:tcPr>
          <w:p>
            <w:r>
              <w:t>13000.0</w:t>
            </w:r>
          </w:p>
        </w:tc>
      </w:tr>
      <w:tr>
        <w:tc>
          <w:tcPr>
            <w:tcW w:type="dxa" w:w="2160"/>
          </w:tcPr>
          <w:p>
            <w:pPr>
              <w:jc w:val="right"/>
            </w:pPr>
            <w:r>
              <w:rPr>
                <w:b/>
              </w:rPr>
              <w:t>Total</w:t>
            </w:r>
          </w:p>
        </w:tc>
        <w:tc>
          <w:tcPr>
            <w:tcW w:type="dxa" w:w="2160"/>
          </w:tcPr>
          <w:p/>
        </w:tc>
        <w:tc>
          <w:tcPr>
            <w:tcW w:type="dxa" w:w="2160"/>
          </w:tcPr>
          <w:p/>
        </w:tc>
        <w:tc>
          <w:tcPr>
            <w:tcW w:type="dxa" w:w="2160"/>
          </w:tcPr>
          <w:p>
            <w:r>
              <w:t>113000.0</w:t>
            </w:r>
          </w:p>
        </w:tc>
      </w:tr>
    </w:tbl>
    <w:p/>
    <w:p/>
    <w:p>
      <w:r>
        <w:t>Due to the ongoing Covid-19 crisis, supply chains, shipping times and raw materials have been drastically affected. All prices and shipping estimates and times are subject to change without prior notice. Because of the nature of our products, we have a no returns and refund policy.</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spacing w:before="0" w:after="0"/>
      <w:jc w:val="center"/>
    </w:pPr>
    <w:r>
      <w:t>147 Clarence Street, Unit#30, Brampton, ON. L6W 1T2</w:t>
    </w:r>
  </w:p>
  <w:p>
    <w:pPr>
      <w:spacing w:before="0" w:after="0"/>
      <w:jc w:val="center"/>
    </w:pPr>
    <w:r>
      <w:t>Tel: 905-497-6500 Fax: 905-497-5600 E-mail: nathanpharmacy@gmail.com</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spacing w:before="0" w:after="0"/>
      <w:jc w:val="right"/>
    </w:pPr>
    <w:r>
      <w:t>2293984 ONTARIO INC.</w:t>
    </w:r>
  </w:p>
  <w:p>
    <w:pPr>
      <w:spacing w:before="0" w:after="0"/>
      <w:jc w:val="right"/>
    </w:pPr>
    <w:r>
      <w:t>147 Clarence Street, Unit#30, Brampton, ON. L6W 1T2</w:t>
    </w:r>
  </w:p>
  <w:p>
    <w:pPr>
      <w:spacing w:before="0" w:after="0"/>
      <w:jc w:val="right"/>
    </w:pPr>
    <w:r>
      <w:t>Tel: 905-497-6500</w:t>
    </w:r>
  </w:p>
  <w:p>
    <w:pPr>
      <w:spacing w:before="0" w:after="0"/>
      <w:jc w:val="right"/>
    </w:pPr>
    <w:r>
      <w:t>Fax: 905-497-5600</w:t>
    </w:r>
  </w:p>
  <w:p>
    <w:pPr>
      <w:spacing w:before="0" w:after="0"/>
      <w:jc w:val="right"/>
    </w:pPr>
    <w:r>
      <w:t>E-mail: nathanpharmacy@gmail.com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