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D41D6F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Uber ATG</w:t>
            </w: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Google Brain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John Hancock Financial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Sunnybrook Research Institute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42B3EE64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303D8213" w14:textId="0828D536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sz w:val="21"/>
                <w:szCs w:val="21"/>
              </w:rPr>
              <w:t xml:space="preserve">Pranav Subramani, </w:t>
            </w: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Gautam Kamath. Enabling Fast Differentially Private SGD via Just-in-Time Compilation and Vectorization. </w:t>
            </w:r>
            <w:r>
              <w:rPr>
                <w:i/>
                <w:iCs/>
                <w:sz w:val="21"/>
                <w:szCs w:val="21"/>
              </w:rPr>
              <w:t>In Submission</w:t>
            </w:r>
            <w:r w:rsidRPr="00BB6391">
              <w:rPr>
                <w:sz w:val="21"/>
                <w:szCs w:val="21"/>
              </w:rPr>
              <w:t>.</w:t>
            </w:r>
          </w:p>
          <w:p w14:paraId="72749294" w14:textId="74D526C6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BB6391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PyTorch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Ignite: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Data Science Club Lectures:</w:t>
            </w:r>
            <w:r w:rsidRPr="008A56D0">
              <w:rPr>
                <w:rFonts w:ascii="Roboto Black" w:hAnsi="Roboto Black"/>
                <w:color w:val="538135" w:themeColor="accent6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 for </w:t>
            </w:r>
            <w:r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WATonomous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77777777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Competitive </w:t>
            </w: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Pokemon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Analysis: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539817B" w14:textId="77777777" w:rsidR="00BB6391" w:rsidRPr="00966E5D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Thrive Life Simulator: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sz w:val="21"/>
                <w:szCs w:val="21"/>
              </w:rPr>
              <w:t>Created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37961088" w14:textId="5185827E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University of Waterloo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505DBA95" w:rsidR="00BB6391" w:rsidRPr="006E348D" w:rsidRDefault="00BB6391" w:rsidP="00BB6391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138</cp:revision>
  <cp:lastPrinted>2020-10-17T05:59:00Z</cp:lastPrinted>
  <dcterms:created xsi:type="dcterms:W3CDTF">2020-09-06T22:38:00Z</dcterms:created>
  <dcterms:modified xsi:type="dcterms:W3CDTF">2020-10-17T06:06:00Z</dcterms:modified>
</cp:coreProperties>
</file>