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5276"/>
          <w:sz w:val="52"/>
          <w:szCs w:val="52"/>
        </w:rPr>
        <w:t xml:space="preserve">Oolshik Fintech</w:t>
      </w:r>
    </w:p>
    <w:p>
      <w:pPr>
        <w:spacing w:after="80" w:before="0"/>
      </w:pPr>
      <w:r>
        <w:rPr>
          <w:rFonts w:ascii="Arial" w:cs="Arial" w:eastAsia="Arial" w:hAnsi="Arial"/>
          <w:color w:val="2C3E50"/>
          <w:sz w:val="36"/>
          <w:szCs w:val="36"/>
        </w:rPr>
        <w:t xml:space="preserve">Cloud Platform Cost Optimisation Plan</w:t>
      </w:r>
    </w:p>
    <w:p>
      <w:pPr>
        <w:spacing w:after="40" w:before="0"/>
      </w:pPr>
      <w:r>
        <w:rPr>
          <w:rFonts w:ascii="Arial" w:cs="Arial" w:eastAsia="Arial" w:hAnsi="Arial"/>
          <w:color w:val="7F8C8D"/>
          <w:sz w:val="24"/>
          <w:szCs w:val="24"/>
        </w:rPr>
        <w:t xml:space="preserve">Multi-Platform Strategy: Dev/Test → Production</w:t>
      </w:r>
    </w:p>
    <w:p>
      <w:pPr>
        <w:spacing w:after="480" w:before="0"/>
      </w:pPr>
      <w:r>
        <w:rPr>
          <w:rFonts w:ascii="Arial" w:cs="Arial" w:eastAsia="Arial" w:hAnsi="Arial"/>
          <w:color w:val="7F8C8D"/>
          <w:sz w:val="20"/>
          <w:szCs w:val="20"/>
        </w:rPr>
        <w:t xml:space="preserve">Prepared: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6655" w:sz="8"/>
              <w:left w:val="single" w:color="0E6655" w:sz="24"/>
              <w:bottom w:val="single" w:color="0E6655" w:sz="8"/>
              <w:right w:val="none" w:color="FFFFFF" w:sz="0"/>
            </w:tcBorders>
            <w:shd w:fill="D1F2EB" w:val="clear"/>
            <w:tcMar>
              <w:top w:type="dxa" w:w="160"/>
              <w:left w:type="dxa" w:w="200"/>
              <w:bottom w:type="dxa" w:w="160"/>
              <w:right w:type="dxa" w:w="200"/>
            </w:tcMar>
          </w:tcPr>
          <w:p>
            <w:pPr>
              <w:spacing w:after="80" w:before="0"/>
            </w:pPr>
            <w:r>
              <w:rPr>
                <w:rFonts w:ascii="Arial" w:cs="Arial" w:eastAsia="Arial" w:hAnsi="Arial"/>
                <w:b/>
                <w:bCs/>
                <w:color w:val="0E6655"/>
                <w:sz w:val="22"/>
                <w:szCs w:val="22"/>
              </w:rPr>
              <w:t xml:space="preserve">Executive Summary</w:t>
            </w:r>
          </w:p>
          <w:p>
            <w:pPr>
              <w:spacing w:after="60" w:before="0"/>
            </w:pPr>
            <w:r>
              <w:rPr>
                <w:rFonts w:ascii="Arial" w:cs="Arial" w:eastAsia="Arial" w:hAnsi="Arial"/>
                <w:color w:val="0E6655"/>
                <w:sz w:val="20"/>
                <w:szCs w:val="20"/>
              </w:rPr>
              <w:t xml:space="preserve">This plan outlines a two-phase cloud strategy for the Oolshik RBI-regulated fintech backend. By using free/pay-per-use tiers during development and migrating to a single managed platform for production, the team can reduce testing costs by over 95% while maintaining a clean migration path to full compliance.</w:t>
            </w:r>
          </w:p>
          <w:p>
            <w:pPr>
              <w:spacing w:after="0" w:before="0"/>
            </w:pPr>
            <w:r>
              <w:rPr>
                <w:rFonts w:ascii="Arial" w:cs="Arial" w:eastAsia="Arial" w:hAnsi="Arial"/>
                <w:b/>
                <w:bCs/>
                <w:color w:val="0E6655"/>
                <w:sz w:val="20"/>
                <w:szCs w:val="20"/>
              </w:rPr>
              <w:t xml:space="preserve">Dev/Test cost: </w:t>
            </w:r>
            <w:r>
              <w:rPr>
                <w:rFonts w:ascii="Arial" w:cs="Arial" w:eastAsia="Arial" w:hAnsi="Arial"/>
                <w:color w:val="0E6655"/>
                <w:sz w:val="20"/>
                <w:szCs w:val="20"/>
              </w:rPr>
              <w:t xml:space="preserve">~₹7/month idle   |   </w:t>
            </w:r>
            <w:r>
              <w:rPr>
                <w:rFonts w:ascii="Arial" w:cs="Arial" w:eastAsia="Arial" w:hAnsi="Arial"/>
                <w:b/>
                <w:bCs/>
                <w:color w:val="0E6655"/>
                <w:sz w:val="20"/>
                <w:szCs w:val="20"/>
              </w:rPr>
              <w:t xml:space="preserve">Production cost: </w:t>
            </w:r>
            <w:r>
              <w:rPr>
                <w:rFonts w:ascii="Arial" w:cs="Arial" w:eastAsia="Arial" w:hAnsi="Arial"/>
                <w:color w:val="0E6655"/>
                <w:sz w:val="20"/>
                <w:szCs w:val="20"/>
              </w:rPr>
              <w:t xml:space="preserve">~₹16,000/month   |   </w:t>
            </w:r>
            <w:r>
              <w:rPr>
                <w:rFonts w:ascii="Arial" w:cs="Arial" w:eastAsia="Arial" w:hAnsi="Arial"/>
                <w:b/>
                <w:bCs/>
                <w:color w:val="0E6655"/>
                <w:sz w:val="20"/>
                <w:szCs w:val="20"/>
              </w:rPr>
              <w:t xml:space="preserve">Saving vs DO full stack in dev: </w:t>
            </w:r>
            <w:r>
              <w:rPr>
                <w:rFonts w:ascii="Arial" w:cs="Arial" w:eastAsia="Arial" w:hAnsi="Arial"/>
                <w:color w:val="0E6655"/>
                <w:sz w:val="20"/>
                <w:szCs w:val="20"/>
              </w:rPr>
              <w:t xml:space="preserve">~95%</w:t>
            </w:r>
          </w:p>
        </w:tc>
      </w:tr>
    </w:tbl>
    <w:p>
      <w:r>
        <w:rPr>
          <w:sz w:val="20"/>
          <w:szCs w:val="20"/>
        </w:rPr>
        <w:t xml:space="preserve"/>
      </w:r>
    </w:p>
    <w:p>
      <w:r>
        <w:rPr>
          <w:sz w:val="20"/>
          <w:szCs w:val="20"/>
        </w:rPr>
        <w:t xml:space="preserve"/>
      </w:r>
    </w:p>
    <w:p>
      <w:pPr>
        <w:pStyle w:val="Heading1"/>
        <w:spacing w:after="160" w:before="320"/>
      </w:pPr>
      <w:r>
        <w:rPr>
          <w:rFonts w:ascii="Arial" w:cs="Arial" w:eastAsia="Arial" w:hAnsi="Arial"/>
          <w:b/>
          <w:bCs/>
          <w:color w:val="1A5276"/>
          <w:sz w:val="32"/>
          <w:szCs w:val="32"/>
        </w:rPr>
        <w:t xml:space="preserve">1. Strategy Overview</w:t>
      </w:r>
    </w:p>
    <w:p>
      <w:pPr>
        <w:spacing w:after="60" w:before="60"/>
        <w:jc w:val="left"/>
      </w:pPr>
      <w:r>
        <w:rPr>
          <w:rFonts w:ascii="Arial" w:cs="Arial" w:eastAsia="Arial" w:hAnsi="Arial"/>
          <w:b w:val="false"/>
          <w:bCs w:val="false"/>
          <w:i w:val="false"/>
          <w:iCs w:val="false"/>
          <w:color w:val="2C3E50"/>
          <w:sz w:val="20"/>
          <w:szCs w:val="20"/>
        </w:rPr>
        <w:t xml:space="preserve">The core insight from our analysis is that different cloud providers offer different advantages. Rather than choosing one provider for everything, this plan splits infrastructure into two clear phases aligned to the project lifecycle.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120"/>
              <w:left w:type="dxa" w:w="160"/>
              <w:bottom w:type="dxa" w:w="120"/>
              <w:right w:type="dxa" w:w="160"/>
            </w:tcMar>
          </w:tcPr>
          <w:p>
            <w:r>
              <w:rPr>
                <w:rFonts w:ascii="Arial" w:cs="Arial" w:eastAsia="Arial" w:hAnsi="Arial"/>
                <w:b/>
                <w:bCs/>
                <w:color w:val="FFFFFF"/>
                <w:sz w:val="24"/>
                <w:szCs w:val="24"/>
              </w:rPr>
              <w:t xml:space="preserve">Phase 1: Dev / Test</w:t>
            </w:r>
          </w:p>
          <w:p>
            <w:r>
              <w:rPr>
                <w:rFonts w:ascii="Arial" w:cs="Arial" w:eastAsia="Arial" w:hAnsi="Arial"/>
                <w:color w:val="D6EAF8"/>
                <w:sz w:val="18"/>
                <w:szCs w:val="18"/>
              </w:rPr>
              <w:t xml:space="preserve">Free &amp; pay-per-second platforms</w:t>
            </w:r>
          </w:p>
        </w:tc>
        <w:tc>
          <w:tcPr>
            <w:tcW w:type="dxa" w:w="4680"/>
            <w:tcBorders>
              <w:top w:val="single" w:color="CCCCCC" w:sz="1"/>
              <w:left w:val="single" w:color="CCCCCC" w:sz="1"/>
              <w:bottom w:val="single" w:color="CCCCCC" w:sz="1"/>
              <w:right w:val="single" w:color="CCCCCC" w:sz="1"/>
            </w:tcBorders>
            <w:shd w:fill="784212" w:val="clear"/>
            <w:tcMar>
              <w:top w:type="dxa" w:w="120"/>
              <w:left w:type="dxa" w:w="160"/>
              <w:bottom w:type="dxa" w:w="120"/>
              <w:right w:type="dxa" w:w="160"/>
            </w:tcMar>
          </w:tcPr>
          <w:p>
            <w:r>
              <w:rPr>
                <w:rFonts w:ascii="Arial" w:cs="Arial" w:eastAsia="Arial" w:hAnsi="Arial"/>
                <w:b/>
                <w:bCs/>
                <w:color w:val="FFFFFF"/>
                <w:sz w:val="24"/>
                <w:szCs w:val="24"/>
              </w:rPr>
              <w:t xml:space="preserve">Phase 2: Production</w:t>
            </w:r>
          </w:p>
          <w:p>
            <w:r>
              <w:rPr>
                <w:rFonts w:ascii="Arial" w:cs="Arial" w:eastAsia="Arial" w:hAnsi="Arial"/>
                <w:color w:val="FDEBD0"/>
                <w:sz w:val="18"/>
                <w:szCs w:val="18"/>
              </w:rPr>
              <w:t xml:space="preserve">Single managed platform</w:t>
            </w:r>
          </w:p>
        </w:tc>
      </w:tr>
      <w:tr>
        <w:tc>
          <w:tcPr>
            <w:tcW w:type="dxa" w:w="4680"/>
            <w:tcBorders>
              <w:top w:val="single" w:color="CCCCCC" w:sz="1"/>
              <w:left w:val="single" w:color="CCCCCC" w:sz="1"/>
              <w:bottom w:val="single" w:color="CCCCCC" w:sz="1"/>
              <w:right w:val="single" w:color="CCCCCC" w:sz="1"/>
            </w:tcBorders>
            <w:shd w:fill="D6EAF8" w:val="clear"/>
            <w:tcMar>
              <w:top w:type="dxa" w:w="100"/>
              <w:left w:type="dxa" w:w="160"/>
              <w:bottom w:type="dxa" w:w="100"/>
              <w:right w:type="dxa" w:w="160"/>
            </w:tcMar>
          </w:tcPr>
          <w:p>
            <w:pPr>
              <w:spacing w:after="60"/>
            </w:pPr>
            <w:r>
              <w:rPr>
                <w:rFonts w:ascii="Arial" w:cs="Arial" w:eastAsia="Arial" w:hAnsi="Arial"/>
                <w:b/>
                <w:bCs/>
                <w:color w:val="1A5276"/>
                <w:sz w:val="20"/>
                <w:szCs w:val="20"/>
              </w:rPr>
              <w:t xml:space="preserve">Goal: nearly zero cost when idle</w:t>
            </w:r>
          </w:p>
          <w:p>
            <w:pPr>
              <w:spacing w:after="40"/>
            </w:pPr>
            <w:r>
              <w:rPr>
                <w:rFonts w:ascii="Arial" w:cs="Arial" w:eastAsia="Arial" w:hAnsi="Arial"/>
                <w:color w:val="1A3A5C"/>
                <w:sz w:val="19"/>
                <w:szCs w:val="19"/>
              </w:rPr>
              <w:t xml:space="preserve">•  AWS EC2 for compute (stop = billing stops)</w:t>
            </w:r>
          </w:p>
          <w:p>
            <w:pPr>
              <w:spacing w:after="40"/>
            </w:pPr>
            <w:r>
              <w:rPr>
                <w:rFonts w:ascii="Arial" w:cs="Arial" w:eastAsia="Arial" w:hAnsi="Arial"/>
                <w:color w:val="1A3A5C"/>
                <w:sz w:val="19"/>
                <w:szCs w:val="19"/>
              </w:rPr>
              <w:t xml:space="preserve">•  Neon for PostgreSQL (scales to zero)</w:t>
            </w:r>
          </w:p>
          <w:p>
            <w:pPr>
              <w:spacing w:after="40"/>
            </w:pPr>
            <w:r>
              <w:rPr>
                <w:rFonts w:ascii="Arial" w:cs="Arial" w:eastAsia="Arial" w:hAnsi="Arial"/>
                <w:color w:val="1A3A5C"/>
                <w:sz w:val="19"/>
                <w:szCs w:val="19"/>
              </w:rPr>
              <w:t xml:space="preserve">•  Kafka self-hosted inside EC2 (free)</w:t>
            </w:r>
          </w:p>
          <w:p>
            <w:pPr>
              <w:spacing w:after="40"/>
            </w:pPr>
            <w:r>
              <w:rPr>
                <w:rFonts w:ascii="Arial" w:cs="Arial" w:eastAsia="Arial" w:hAnsi="Arial"/>
                <w:color w:val="1A3A5C"/>
                <w:sz w:val="19"/>
                <w:szCs w:val="19"/>
              </w:rPr>
              <w:t xml:space="preserve">•  DigitalOcean Spaces for object storage</w:t>
            </w:r>
          </w:p>
          <w:p>
            <w:pPr>
              <w:spacing w:after="0"/>
            </w:pPr>
            <w:r>
              <w:rPr>
                <w:rFonts w:ascii="Arial" w:cs="Arial" w:eastAsia="Arial" w:hAnsi="Arial"/>
                <w:color w:val="1A3A5C"/>
                <w:sz w:val="19"/>
                <w:szCs w:val="19"/>
              </w:rPr>
              <w:t xml:space="preserve">•  2–3 accounts, all free/low tiers</w:t>
            </w:r>
          </w:p>
        </w:tc>
        <w:tc>
          <w:tcPr>
            <w:tcW w:type="dxa" w:w="4680"/>
            <w:tcBorders>
              <w:top w:val="single" w:color="CCCCCC" w:sz="1"/>
              <w:left w:val="single" w:color="CCCCCC" w:sz="1"/>
              <w:bottom w:val="single" w:color="CCCCCC" w:sz="1"/>
              <w:right w:val="single" w:color="CCCCCC" w:sz="1"/>
            </w:tcBorders>
            <w:shd w:fill="FDEBD0" w:val="clear"/>
            <w:tcMar>
              <w:top w:type="dxa" w:w="100"/>
              <w:left w:type="dxa" w:w="160"/>
              <w:bottom w:type="dxa" w:w="100"/>
              <w:right w:type="dxa" w:w="160"/>
            </w:tcMar>
          </w:tcPr>
          <w:p>
            <w:pPr>
              <w:spacing w:after="60"/>
            </w:pPr>
            <w:r>
              <w:rPr>
                <w:rFonts w:ascii="Arial" w:cs="Arial" w:eastAsia="Arial" w:hAnsi="Arial"/>
                <w:b/>
                <w:bCs/>
                <w:color w:val="784212"/>
                <w:sz w:val="20"/>
                <w:szCs w:val="20"/>
              </w:rPr>
              <w:t xml:space="preserve">Goal: single platform, RBI compliant</w:t>
            </w:r>
          </w:p>
          <w:p>
            <w:pPr>
              <w:spacing w:after="40"/>
            </w:pPr>
            <w:r>
              <w:rPr>
                <w:rFonts w:ascii="Arial" w:cs="Arial" w:eastAsia="Arial" w:hAnsi="Arial"/>
                <w:color w:val="4A2508"/>
                <w:sz w:val="19"/>
                <w:szCs w:val="19"/>
              </w:rPr>
              <w:t xml:space="preserve">•  DigitalOcean BLR1 (India data residency)</w:t>
            </w:r>
          </w:p>
          <w:p>
            <w:pPr>
              <w:spacing w:after="40"/>
            </w:pPr>
            <w:r>
              <w:rPr>
                <w:rFonts w:ascii="Arial" w:cs="Arial" w:eastAsia="Arial" w:hAnsi="Arial"/>
                <w:color w:val="4A2508"/>
                <w:sz w:val="19"/>
                <w:szCs w:val="19"/>
              </w:rPr>
              <w:t xml:space="preserve">•  DO Managed PostgreSQL with PostGIS</w:t>
            </w:r>
          </w:p>
          <w:p>
            <w:pPr>
              <w:spacing w:after="40"/>
            </w:pPr>
            <w:r>
              <w:rPr>
                <w:rFonts w:ascii="Arial" w:cs="Arial" w:eastAsia="Arial" w:hAnsi="Arial"/>
                <w:color w:val="4A2508"/>
                <w:sz w:val="19"/>
                <w:szCs w:val="19"/>
              </w:rPr>
              <w:t xml:space="preserve">•  DO Managed Kafka (3-node HA)</w:t>
            </w:r>
          </w:p>
          <w:p>
            <w:pPr>
              <w:spacing w:after="40"/>
            </w:pPr>
            <w:r>
              <w:rPr>
                <w:rFonts w:ascii="Arial" w:cs="Arial" w:eastAsia="Arial" w:hAnsi="Arial"/>
                <w:color w:val="4A2508"/>
                <w:sz w:val="19"/>
                <w:szCs w:val="19"/>
              </w:rPr>
              <w:t xml:space="preserve">•  DO App Platform / Droplets for Spring Boot</w:t>
            </w:r>
          </w:p>
          <w:p>
            <w:pPr>
              <w:spacing w:after="0"/>
            </w:pPr>
            <w:r>
              <w:rPr>
                <w:rFonts w:ascii="Arial" w:cs="Arial" w:eastAsia="Arial" w:hAnsi="Arial"/>
                <w:color w:val="4A2508"/>
                <w:sz w:val="19"/>
                <w:szCs w:val="19"/>
              </w:rPr>
              <w:t xml:space="preserve">•  1 account, predictable billing, SLAs</w:t>
            </w:r>
          </w:p>
        </w:tc>
      </w:tr>
    </w:tbl>
    <w:p>
      <w:r>
        <w:rPr>
          <w:sz w:val="20"/>
          <w:szCs w:val="20"/>
        </w:rPr>
        <w:t xml:space="preserve"/>
      </w:r>
    </w:p>
    <w:p>
      <w:r>
        <w:rPr>
          <w:sz w:val="20"/>
          <w:szCs w:val="20"/>
        </w:rPr>
        <w:t xml:space="preserve"/>
      </w:r>
    </w:p>
    <w:p>
      <w:pPr>
        <w:pStyle w:val="Heading1"/>
        <w:spacing w:after="160" w:before="320"/>
      </w:pPr>
      <w:r>
        <w:rPr>
          <w:rFonts w:ascii="Arial" w:cs="Arial" w:eastAsia="Arial" w:hAnsi="Arial"/>
          <w:b/>
          <w:bCs/>
          <w:color w:val="1A5276"/>
          <w:sz w:val="32"/>
          <w:szCs w:val="32"/>
        </w:rPr>
        <w:t xml:space="preserve">2. Phase 1 — Dev / Test Component Plan</w:t>
      </w:r>
    </w:p>
    <w:p>
      <w:pPr>
        <w:spacing w:after="60" w:before="60"/>
        <w:jc w:val="left"/>
      </w:pPr>
      <w:r>
        <w:rPr>
          <w:rFonts w:ascii="Arial" w:cs="Arial" w:eastAsia="Arial" w:hAnsi="Arial"/>
          <w:b w:val="false"/>
          <w:bCs w:val="false"/>
          <w:i w:val="false"/>
          <w:iCs w:val="false"/>
          <w:color w:val="2C3E50"/>
          <w:sz w:val="20"/>
          <w:szCs w:val="20"/>
        </w:rPr>
        <w:t xml:space="preserve">Each component is assigned to the provider that offers the best billing behaviour for intermittent use. The guiding rule: billing must stop (or approach zero) when you are not actively testing.</w:t>
      </w:r>
    </w:p>
    <w:p>
      <w:r>
        <w:rPr>
          <w:sz w:val="20"/>
          <w:szCs w:val="20"/>
        </w:rPr>
        <w:t xml:space="preserve"/>
      </w:r>
    </w:p>
    <w:p>
      <w:pPr>
        <w:pStyle w:val="Heading2"/>
        <w:pBdr>
          <w:bottom w:val="single" w:color="D5D8DC" w:sz="4" w:space="4"/>
        </w:pBdr>
        <w:spacing w:after="120" w:before="240"/>
      </w:pPr>
      <w:r>
        <w:rPr>
          <w:rFonts w:ascii="Arial" w:cs="Arial" w:eastAsia="Arial" w:hAnsi="Arial"/>
          <w:b/>
          <w:bCs/>
          <w:color w:val="2C3E50"/>
          <w:sz w:val="26"/>
          <w:szCs w:val="26"/>
        </w:rPr>
        <w:t xml:space="preserve">2.1  Compute — AWS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Account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Amazon Web Services (aws.amazon.com) — free tier account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Instance type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t3.small (2 vCPU, 2 GB RAM) — enough for Spring Boot API + STT worker during testing</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Billing when stopped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 charge stops immediately on Stop. Only EBS disk storage continues at ~₹7/GB/month.</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Workflow</w:t>
            </w:r>
          </w:p>
        </w:tc>
        <w:tc>
          <w:tcPr>
            <w:tcW w:type="dxa" w:w="7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Start instance → run tests (1–2 hrs) → Stop instance. No destroy/snapshot cycle needed.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Estimated idle cost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 GB root disk = ~₹200/month. Compute = ₹0 when stopped.</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Free tier note</w:t>
            </w:r>
          </w:p>
        </w:tc>
        <w:tc>
          <w:tcPr>
            <w:tcW w:type="dxa" w:w="7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AWS accounts get 750 hrs/month of t2.micro/t3.micro free for 12 months. Use this for initial testing at zero compute cost.</w:t>
            </w:r>
          </w:p>
        </w:tc>
      </w:tr>
    </w:tbl>
    <w:p>
      <w:r>
        <w:rPr>
          <w:sz w:val="20"/>
          <w:szCs w:val="20"/>
        </w:rPr>
        <w:t xml:space="preserve"/>
      </w:r>
    </w:p>
    <w:p>
      <w:pPr>
        <w:pStyle w:val="Heading2"/>
        <w:pBdr>
          <w:bottom w:val="single" w:color="D5D8DC" w:sz="4" w:space="4"/>
        </w:pBdr>
        <w:spacing w:after="120" w:before="240"/>
      </w:pPr>
      <w:r>
        <w:rPr>
          <w:rFonts w:ascii="Arial" w:cs="Arial" w:eastAsia="Arial" w:hAnsi="Arial"/>
          <w:b/>
          <w:bCs/>
          <w:color w:val="2C3E50"/>
          <w:sz w:val="26"/>
          <w:szCs w:val="26"/>
        </w:rPr>
        <w:t xml:space="preserve">2.2  PostgreSQL — Neon Serverless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Account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Neon (neon.com) — free tier account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Why Neon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Serverless PostgreSQL that automatically scales to zero after 5 minutes of inactivity. Compute billing stops completely when idle. Full PostgreSQL compatibility including PostGIS.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Free tier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CU-hours/month free. 0.5 GB storage free. Enough for all dev/test activity with no credit card required.</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Billing when idle</w:t>
            </w:r>
          </w:p>
        </w:tc>
        <w:tc>
          <w:tcPr>
            <w:tcW w:type="dxa" w:w="7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compute. Only storage (₹29/GB/month) continues — effectively free at dev database sizes.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PostGIS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Supported natively. Enable via dashboard extension panel — same as DigitalOcean Managed PostgreSQL.</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Migration path</w:t>
            </w:r>
          </w:p>
        </w:tc>
        <w:tc>
          <w:tcPr>
            <w:tcW w:type="dxa" w:w="7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When going to production: pg_dump from Neon, pg_restore into DigitalOcean Managed PostgreSQL. Neon also supports logical replication for zero-downtime cutover.</w:t>
            </w:r>
          </w:p>
        </w:tc>
      </w:tr>
    </w:tbl>
    <w:p>
      <w:r>
        <w:rPr>
          <w:sz w:val="20"/>
          <w:szCs w:val="20"/>
        </w:rPr>
        <w:t xml:space="preserve"/>
      </w:r>
    </w:p>
    <w:p>
      <w:pPr>
        <w:pStyle w:val="Heading2"/>
        <w:pBdr>
          <w:bottom w:val="single" w:color="D5D8DC" w:sz="4" w:space="4"/>
        </w:pBdr>
        <w:spacing w:after="120" w:before="240"/>
      </w:pPr>
      <w:r>
        <w:rPr>
          <w:rFonts w:ascii="Arial" w:cs="Arial" w:eastAsia="Arial" w:hAnsi="Arial"/>
          <w:b/>
          <w:bCs/>
          <w:color w:val="2C3E50"/>
          <w:sz w:val="26"/>
          <w:szCs w:val="26"/>
        </w:rPr>
        <w:t xml:space="preserve">2.3  Event Streaming — Self-Hosted Kafka on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Approach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Kafka directly inside the same EC2 instance as the Spring Boot API. No separate service or account needed.</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Cost</w:t>
            </w:r>
          </w:p>
        </w:tc>
        <w:tc>
          <w:tcPr>
            <w:tcW w:type="dxa" w:w="7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additional cost. Kafka runs within the EC2 instance you are already paying for. Stops when EC2 is stopped.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Setup</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Install KRaft-mode Kafka (no ZooKeeper needed in Kafka 3.3+). Single-broker is fine for testing — not HA but fully functional.</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Limitation</w:t>
            </w:r>
          </w:p>
        </w:tc>
        <w:tc>
          <w:tcPr>
            <w:tcW w:type="dxa" w:w="7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production-grade: single broker, no replication, data lost if EC2 terminated. This is acceptable for testing. Do not use for production.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Migration path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Replace with DigitalOcean Managed Kafka ($147/month) at production. Update Spring Boot bootstrap.servers config only.</w:t>
            </w:r>
          </w:p>
        </w:tc>
      </w:tr>
    </w:tbl>
    <w:p>
      <w:r>
        <w:rPr>
          <w:sz w:val="20"/>
          <w:szCs w:val="20"/>
        </w:rPr>
        <w:t xml:space="preserve"/>
      </w:r>
    </w:p>
    <w:p>
      <w:pPr>
        <w:pStyle w:val="Heading2"/>
        <w:pBdr>
          <w:bottom w:val="single" w:color="D5D8DC" w:sz="4" w:space="4"/>
        </w:pBdr>
        <w:spacing w:after="120" w:before="240"/>
      </w:pPr>
      <w:r>
        <w:rPr>
          <w:rFonts w:ascii="Arial" w:cs="Arial" w:eastAsia="Arial" w:hAnsi="Arial"/>
          <w:b/>
          <w:bCs/>
          <w:color w:val="2C3E50"/>
          <w:sz w:val="26"/>
          <w:szCs w:val="26"/>
        </w:rPr>
        <w:t xml:space="preserve">2.4  Object Storage — DigitalOcean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Account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DigitalOcean (digitalocean.com) — open now, used for Spaces only during dev phase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Why open early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Spaces is $5/month flat regardless. No benefit to delaying. Opening the DO account early also prepares for the production migration.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What it stores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Audio files for STT workers, user document uploads, application backups. S3-compatible API — use AWS SDK with custom endpoint.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Region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Spaces bucket in BLR1 (Bangalore) region now. Data residency in India from day one.</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$5/month flat = ~₹415/month. Includes 250 GiB storage and 1 TiB outbound transfer.</w:t>
            </w:r>
          </w:p>
        </w:tc>
      </w:tr>
    </w:tbl>
    <w:p>
      <w:r>
        <w:rPr>
          <w:sz w:val="20"/>
          <w:szCs w:val="20"/>
        </w:rPr>
        <w:t xml:space="preserve"/>
      </w:r>
    </w:p>
    <w:p>
      <w:r>
        <w:rPr>
          <w:sz w:val="20"/>
          <w:szCs w:val="20"/>
        </w:rPr>
        <w:t xml:space="preserve"/>
      </w:r>
    </w:p>
    <w:p>
      <w:pPr>
        <w:pStyle w:val="Heading1"/>
        <w:spacing w:after="160" w:before="320"/>
      </w:pPr>
      <w:r>
        <w:rPr>
          <w:rFonts w:ascii="Arial" w:cs="Arial" w:eastAsia="Arial" w:hAnsi="Arial"/>
          <w:b/>
          <w:bCs/>
          <w:color w:val="1A5276"/>
          <w:sz w:val="32"/>
          <w:szCs w:val="32"/>
        </w:rPr>
        <w:t xml:space="preserve">3. Cost Comparison Summary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Dev/Test (idle)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Production</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 (API + STT)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~₹2,000/mo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Dev: EC2 stopped (disk only). Prod: DO App Platform / Droplet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PostgreSQL 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 (free tier)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~₹1,260/mo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Dev: Neon free tier. Prod: DO Managed PostgreSQL $15.15/mo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Kafka streaming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 (on EC2)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~₹12,200/mo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Dev: self-hosted on EC2. Prod: DO Managed Kafka $147/mo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Object storage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~₹415/mo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~₹415/mo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 Spaces BLR1 — same account both phases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egress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Dev: minimal traffic. Prod: estimated at ~20 GB/mo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(monthly)</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~₹615/mo</w:t>
            </w:r>
          </w:p>
        </w:tc>
        <w:tc>
          <w:tcPr>
            <w:tcW w:type="dxa" w:w="1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pPr>
              <w:jc w:val="center"/>
            </w:pPr>
            <w:r>
              <w:rPr>
                <w:rFonts w:ascii="Arial" w:cs="Arial" w:eastAsia="Arial" w:hAnsi="Arial"/>
                <w:b/>
                <w:bCs/>
                <w:color w:val="784212"/>
                <w:sz w:val="18"/>
                <w:szCs w:val="18"/>
              </w:rPr>
              <w:t xml:space="preserve">~₹16,075/mo</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Dev savings vs full DO stack: ~95% reduction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8"/>
              <w:left w:val="single" w:color="CCCCCC" w:sz="1"/>
              <w:bottom w:val="single" w:color="CCCCCC" w:sz="1"/>
              <w:right w:val="single" w:color="CCCCCC" w:sz="1"/>
            </w:tcBorders>
            <w:shd w:fill="FADBD8" w:val="clear"/>
            <w:tcMar>
              <w:top w:type="dxa" w:w="120"/>
              <w:left w:type="dxa" w:w="160"/>
              <w:bottom w:type="dxa" w:w="120"/>
              <w:right w:type="dxa" w:w="160"/>
            </w:tcMar>
          </w:tcPr>
          <w:p>
            <w:pPr>
              <w:spacing w:after="60"/>
            </w:pPr>
            <w:r>
              <w:rPr>
                <w:rFonts w:ascii="Arial" w:cs="Arial" w:eastAsia="Arial" w:hAnsi="Arial"/>
                <w:b/>
                <w:bCs/>
                <w:color w:val="C0392B"/>
                <w:sz w:val="20"/>
                <w:szCs w:val="20"/>
              </w:rPr>
              <w:t xml:space="preserve">Important note on Kafka cost</w:t>
            </w:r>
          </w:p>
          <w:p>
            <w:r>
              <w:rPr>
                <w:rFonts w:ascii="Arial" w:cs="Arial" w:eastAsia="Arial" w:hAnsi="Arial"/>
                <w:color w:val="7B241C"/>
                <w:sz w:val="19"/>
                <w:szCs w:val="19"/>
              </w:rPr>
              <w:t xml:space="preserve">Managed Kafka at $147/month ($1,764/year) is the single largest cost item at production. If the Oolshik architecture can use DigitalOcean’s managed Kafka via the BLR1 region, this is the best compliant option. If budget is a concern, evaluate whether Upstash Kafka (serverless, pay-per-message, ~$0/month at low volume) is a viable substitute — but validate latency requirements before committing.</w:t>
            </w:r>
          </w:p>
        </w:tc>
      </w:tr>
    </w:tbl>
    <w:p>
      <w:r>
        <w:rPr>
          <w:sz w:val="20"/>
          <w:szCs w:val="20"/>
        </w:rPr>
        <w:t xml:space="preserve"/>
      </w:r>
    </w:p>
    <w:p>
      <w:r>
        <w:rPr>
          <w:sz w:val="20"/>
          <w:szCs w:val="20"/>
        </w:rPr>
        <w:t xml:space="preserve"/>
      </w:r>
    </w:p>
    <w:p>
      <w:pPr>
        <w:pStyle w:val="Heading1"/>
        <w:spacing w:after="160" w:before="320"/>
      </w:pPr>
      <w:r>
        <w:rPr>
          <w:rFonts w:ascii="Arial" w:cs="Arial" w:eastAsia="Arial" w:hAnsi="Arial"/>
          <w:b/>
          <w:bCs/>
          <w:color w:val="1A5276"/>
          <w:sz w:val="32"/>
          <w:szCs w:val="32"/>
        </w:rPr>
        <w:t xml:space="preserve">4. Phase 2 — Production Component Plan</w:t>
      </w:r>
    </w:p>
    <w:p>
      <w:pPr>
        <w:spacing w:after="60" w:before="60"/>
        <w:jc w:val="left"/>
      </w:pPr>
      <w:r>
        <w:rPr>
          <w:rFonts w:ascii="Arial" w:cs="Arial" w:eastAsia="Arial" w:hAnsi="Arial"/>
          <w:b w:val="false"/>
          <w:bCs w:val="false"/>
          <w:i w:val="false"/>
          <w:iCs w:val="false"/>
          <w:color w:val="2C3E50"/>
          <w:sz w:val="20"/>
          <w:szCs w:val="20"/>
        </w:rPr>
        <w:t xml:space="preserve">All production services run in DigitalOcean BLR1 (Bangalore). This satisfies RBI data localisation requirements and consolidates billing, support, and monitoring to a single provider.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00"/>
        <w:gridCol w:w="2600"/>
        <w:gridCol w:w="1200"/>
        <w:gridCol w:w="2480"/>
      </w:tblGrid>
      <w:tr>
        <w:trPr>
          <w:tblHeader/>
        </w:trPr>
        <w:tc>
          <w:tcPr>
            <w:tcW w:type="dxa" w:w="1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w:t>
            </w:r>
          </w:p>
        </w:tc>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Cost/mo</w:t>
            </w:r>
          </w:p>
        </w:tc>
        <w:tc>
          <w:tcPr>
            <w:tcW w:type="dxa" w:w="24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Spring Boot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App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 vCPU / 2 GB — container-based deploy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Auto-restart, HTTPS, env vars managed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STT Workers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Droplet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 vCPU / 4 GB — CPU-optimised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$42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Per-second billing, scale to 2–3 during peak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PostgreSQL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Managed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 vCPU / 1 GB + PostGIS extension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$15.15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Daily backups, automated failover, BLR1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Kafka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Managed Kafka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3-node cluster, shared vCPU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$147</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HA, schema registry, VPC-only access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Object Storage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Spaces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250 GiB + 1 TiB transfer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Already running from dev phase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Load Balancer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Load Balancer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Regional, 1 node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$12</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Add when &gt; 1 App Platform instance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VPC / Firewall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VPC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Private networking between services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Free — enable from day one of production</w:t>
            </w:r>
          </w:p>
        </w:tc>
      </w:tr>
    </w:tbl>
    <w:p>
      <w:r>
        <w:rPr>
          <w:sz w:val="20"/>
          <w:szCs w:val="20"/>
        </w:rPr>
        <w:t xml:space="preserve"/>
      </w:r>
    </w:p>
    <w:p>
      <w:r>
        <w:rPr>
          <w:sz w:val="20"/>
          <w:szCs w:val="20"/>
        </w:rPr>
        <w:t xml:space="preserve"/>
      </w:r>
    </w:p>
    <w:p>
      <w:pPr>
        <w:pStyle w:val="Heading1"/>
        <w:spacing w:after="160" w:before="320"/>
      </w:pPr>
      <w:r>
        <w:rPr>
          <w:rFonts w:ascii="Arial" w:cs="Arial" w:eastAsia="Arial" w:hAnsi="Arial"/>
          <w:b/>
          <w:bCs/>
          <w:color w:val="1A5276"/>
          <w:sz w:val="32"/>
          <w:szCs w:val="32"/>
        </w:rPr>
        <w:t xml:space="preserve">5. Migration Plan — Dev to Production</w:t>
      </w:r>
    </w:p>
    <w:p>
      <w:pPr>
        <w:spacing w:after="60" w:before="60"/>
        <w:jc w:val="left"/>
      </w:pPr>
      <w:r>
        <w:rPr>
          <w:rFonts w:ascii="Arial" w:cs="Arial" w:eastAsia="Arial" w:hAnsi="Arial"/>
          <w:b w:val="false"/>
          <w:bCs w:val="false"/>
          <w:i w:val="false"/>
          <w:iCs w:val="false"/>
          <w:color w:val="2C3E50"/>
          <w:sz w:val="20"/>
          <w:szCs w:val="20"/>
        </w:rPr>
        <w:t xml:space="preserve">Follow these steps in order when transitioning from testing to production. The sequence is designed to minimise downtime and avoid any data loss.</w:t>
      </w:r>
    </w:p>
    <w:p>
      <w:r>
        <w:rPr>
          <w:sz w:val="20"/>
          <w:szCs w:val="20"/>
        </w:rPr>
        <w:t xml:space="preserve"/>
      </w:r>
    </w:p>
    <w:p>
      <w:pPr>
        <w:spacing w:after="80" w:before="180"/>
      </w:pPr>
      <w:r>
        <w:rPr>
          <w:rFonts w:ascii="Arial" w:cs="Arial" w:eastAsia="Arial" w:hAnsi="Arial"/>
          <w:b/>
          <w:bCs/>
          <w:color w:val="0E6655"/>
          <w:sz w:val="22"/>
          <w:szCs w:val="22"/>
        </w:rPr>
        <w:t xml:space="preserve">Step 1 — Prepare DigitalOcean account (do this now)</w:t>
      </w:r>
    </w:p>
    <w:p>
      <w:pPr>
        <w:pStyle w:val="ListParagraph"/>
        <w:numPr>
          <w:ilvl w:val="0"/>
          <w:numId w:val="2"/>
        </w:numPr>
        <w:spacing w:after="40" w:before="40"/>
      </w:pPr>
      <w:r>
        <w:rPr>
          <w:rFonts w:ascii="Arial" w:cs="Arial" w:eastAsia="Arial" w:hAnsi="Arial"/>
          <w:color w:val="2C3E50"/>
          <w:sz w:val="20"/>
          <w:szCs w:val="20"/>
        </w:rPr>
        <w:t xml:space="preserve">Create a DigitalOcean account and verify identity</w:t>
      </w:r>
    </w:p>
    <w:p>
      <w:pPr>
        <w:pStyle w:val="ListParagraph"/>
        <w:numPr>
          <w:ilvl w:val="0"/>
          <w:numId w:val="2"/>
        </w:numPr>
        <w:spacing w:after="40" w:before="40"/>
      </w:pPr>
      <w:r>
        <w:rPr>
          <w:rFonts w:ascii="Arial" w:cs="Arial" w:eastAsia="Arial" w:hAnsi="Arial"/>
          <w:color w:val="2C3E50"/>
          <w:sz w:val="20"/>
          <w:szCs w:val="20"/>
        </w:rPr>
        <w:t xml:space="preserve">Create a Spaces bucket in BLR1 region — use this from your first day of testing</w:t>
      </w:r>
    </w:p>
    <w:p>
      <w:pPr>
        <w:pStyle w:val="ListParagraph"/>
        <w:numPr>
          <w:ilvl w:val="0"/>
          <w:numId w:val="2"/>
        </w:numPr>
        <w:spacing w:after="40" w:before="40"/>
      </w:pPr>
      <w:r>
        <w:rPr>
          <w:rFonts w:ascii="Arial" w:cs="Arial" w:eastAsia="Arial" w:hAnsi="Arial"/>
          <w:color w:val="2C3E50"/>
          <w:sz w:val="20"/>
          <w:szCs w:val="20"/>
        </w:rPr>
        <w:t xml:space="preserve">Set up a VPC in BLR1 — free, and required for production networking</w:t>
      </w:r>
    </w:p>
    <w:p>
      <w:pPr>
        <w:pStyle w:val="ListParagraph"/>
        <w:numPr>
          <w:ilvl w:val="0"/>
          <w:numId w:val="2"/>
        </w:numPr>
        <w:spacing w:after="40" w:before="40"/>
      </w:pPr>
      <w:r>
        <w:rPr>
          <w:rFonts w:ascii="Arial" w:cs="Arial" w:eastAsia="Arial" w:hAnsi="Arial"/>
          <w:color w:val="2C3E50"/>
          <w:sz w:val="20"/>
          <w:szCs w:val="20"/>
        </w:rPr>
        <w:t xml:space="preserve">Configure billing alerts at $50 and $200 thresholds</w:t>
      </w:r>
    </w:p>
    <w:p>
      <w:r>
        <w:rPr>
          <w:sz w:val="20"/>
          <w:szCs w:val="20"/>
        </w:rPr>
        <w:t xml:space="preserve"/>
      </w:r>
    </w:p>
    <w:p>
      <w:pPr>
        <w:spacing w:after="80" w:before="180"/>
      </w:pPr>
      <w:r>
        <w:rPr>
          <w:rFonts w:ascii="Arial" w:cs="Arial" w:eastAsia="Arial" w:hAnsi="Arial"/>
          <w:b/>
          <w:bCs/>
          <w:color w:val="0E6655"/>
          <w:sz w:val="22"/>
          <w:szCs w:val="22"/>
        </w:rPr>
        <w:t xml:space="preserve">Step 2 — Launch Managed PostgreSQL in BLR1</w:t>
      </w:r>
    </w:p>
    <w:p>
      <w:pPr>
        <w:pStyle w:val="ListParagraph"/>
        <w:numPr>
          <w:ilvl w:val="0"/>
          <w:numId w:val="2"/>
        </w:numPr>
        <w:spacing w:after="40" w:before="40"/>
      </w:pPr>
      <w:r>
        <w:rPr>
          <w:rFonts w:ascii="Arial" w:cs="Arial" w:eastAsia="Arial" w:hAnsi="Arial"/>
          <w:color w:val="2C3E50"/>
          <w:sz w:val="20"/>
          <w:szCs w:val="20"/>
        </w:rPr>
        <w:t xml:space="preserve">Create a DO Managed PostgreSQL cluster (1 vCPU / 1 GB, BLR1)</w:t>
      </w:r>
    </w:p>
    <w:p>
      <w:pPr>
        <w:pStyle w:val="ListParagraph"/>
        <w:numPr>
          <w:ilvl w:val="0"/>
          <w:numId w:val="2"/>
        </w:numPr>
        <w:spacing w:after="40" w:before="40"/>
      </w:pPr>
      <w:r>
        <w:rPr>
          <w:rFonts w:ascii="Arial" w:cs="Arial" w:eastAsia="Arial" w:hAnsi="Arial"/>
          <w:color w:val="2C3E50"/>
          <w:sz w:val="20"/>
          <w:szCs w:val="20"/>
        </w:rPr>
        <w:t xml:space="preserve">Enable the PostGIS extension via the DO dashboard</w:t>
      </w:r>
    </w:p>
    <w:p>
      <w:pPr>
        <w:pStyle w:val="ListParagraph"/>
        <w:numPr>
          <w:ilvl w:val="0"/>
          <w:numId w:val="2"/>
        </w:numPr>
        <w:spacing w:after="40" w:before="40"/>
      </w:pPr>
      <w:r>
        <w:rPr>
          <w:rFonts w:ascii="Arial" w:cs="Arial" w:eastAsia="Arial" w:hAnsi="Arial"/>
          <w:color w:val="2C3E50"/>
          <w:sz w:val="20"/>
          <w:szCs w:val="20"/>
        </w:rPr>
        <w:t xml:space="preserve">Run pg_dump on your Neon dev database:</w:t>
      </w:r>
    </w:p>
    <w:p>
      <w:pPr>
        <w:pStyle w:val="ListParagraph"/>
        <w:numPr>
          <w:ilvl w:val="1"/>
          <w:numId w:val="2"/>
        </w:numPr>
        <w:spacing w:after="40" w:before="40"/>
      </w:pPr>
      <w:r>
        <w:rPr>
          <w:rFonts w:ascii="Arial" w:cs="Arial" w:eastAsia="Arial" w:hAnsi="Arial"/>
          <w:color w:val="2C3E50"/>
          <w:sz w:val="20"/>
          <w:szCs w:val="20"/>
        </w:rPr>
        <w:t xml:space="preserve">pg_dump -Fc --host=&lt;neon-host&gt; --port=5432 -U &lt;user&gt; -d &lt;db&gt; -f oolshik_dev.dump</w:t>
      </w:r>
    </w:p>
    <w:p>
      <w:pPr>
        <w:pStyle w:val="ListParagraph"/>
        <w:numPr>
          <w:ilvl w:val="0"/>
          <w:numId w:val="2"/>
        </w:numPr>
        <w:spacing w:after="40" w:before="40"/>
      </w:pPr>
      <w:r>
        <w:rPr>
          <w:rFonts w:ascii="Arial" w:cs="Arial" w:eastAsia="Arial" w:hAnsi="Arial"/>
          <w:color w:val="2C3E50"/>
          <w:sz w:val="20"/>
          <w:szCs w:val="20"/>
        </w:rPr>
        <w:t xml:space="preserve">Restore into DO PostgreSQL:</w:t>
      </w:r>
    </w:p>
    <w:p>
      <w:pPr>
        <w:pStyle w:val="ListParagraph"/>
        <w:numPr>
          <w:ilvl w:val="1"/>
          <w:numId w:val="2"/>
        </w:numPr>
        <w:spacing w:after="40" w:before="40"/>
      </w:pPr>
      <w:r>
        <w:rPr>
          <w:rFonts w:ascii="Arial" w:cs="Arial" w:eastAsia="Arial" w:hAnsi="Arial"/>
          <w:color w:val="2C3E50"/>
          <w:sz w:val="20"/>
          <w:szCs w:val="20"/>
        </w:rPr>
        <w:t xml:space="preserve">pg_restore --host=&lt;do-host&gt; --port=25060 -U &lt;user&gt; -d &lt;db&gt; oolshik_dev.dump</w:t>
      </w:r>
    </w:p>
    <w:p>
      <w:pPr>
        <w:pStyle w:val="ListParagraph"/>
        <w:numPr>
          <w:ilvl w:val="0"/>
          <w:numId w:val="2"/>
        </w:numPr>
        <w:spacing w:after="40" w:before="40"/>
      </w:pPr>
      <w:r>
        <w:rPr>
          <w:rFonts w:ascii="Arial" w:cs="Arial" w:eastAsia="Arial" w:hAnsi="Arial"/>
          <w:color w:val="2C3E50"/>
          <w:sz w:val="20"/>
          <w:szCs w:val="20"/>
        </w:rPr>
        <w:t xml:space="preserve">Validate row counts match between source and destination</w:t>
      </w:r>
    </w:p>
    <w:p>
      <w:r>
        <w:rPr>
          <w:sz w:val="20"/>
          <w:szCs w:val="20"/>
        </w:rPr>
        <w:t xml:space="preserve"/>
      </w:r>
    </w:p>
    <w:p>
      <w:pPr>
        <w:spacing w:after="80" w:before="180"/>
      </w:pPr>
      <w:r>
        <w:rPr>
          <w:rFonts w:ascii="Arial" w:cs="Arial" w:eastAsia="Arial" w:hAnsi="Arial"/>
          <w:b/>
          <w:bCs/>
          <w:color w:val="0E6655"/>
          <w:sz w:val="22"/>
          <w:szCs w:val="22"/>
        </w:rPr>
        <w:t xml:space="preserve">Step 3 — Launch Managed Kafka in BLR1</w:t>
      </w:r>
    </w:p>
    <w:p>
      <w:pPr>
        <w:pStyle w:val="ListParagraph"/>
        <w:numPr>
          <w:ilvl w:val="0"/>
          <w:numId w:val="2"/>
        </w:numPr>
        <w:spacing w:after="40" w:before="40"/>
      </w:pPr>
      <w:r>
        <w:rPr>
          <w:rFonts w:ascii="Arial" w:cs="Arial" w:eastAsia="Arial" w:hAnsi="Arial"/>
          <w:color w:val="2C3E50"/>
          <w:sz w:val="20"/>
          <w:szCs w:val="20"/>
        </w:rPr>
        <w:t xml:space="preserve">Create a 3-node DO Managed Kafka cluster in BLR1</w:t>
      </w:r>
    </w:p>
    <w:p>
      <w:pPr>
        <w:pStyle w:val="ListParagraph"/>
        <w:numPr>
          <w:ilvl w:val="0"/>
          <w:numId w:val="2"/>
        </w:numPr>
        <w:spacing w:after="40" w:before="40"/>
      </w:pPr>
      <w:r>
        <w:rPr>
          <w:rFonts w:ascii="Arial" w:cs="Arial" w:eastAsia="Arial" w:hAnsi="Arial"/>
          <w:color w:val="2C3E50"/>
          <w:sz w:val="20"/>
          <w:szCs w:val="20"/>
        </w:rPr>
        <w:t xml:space="preserve">Enable the Schema Registry add-on for Avro/Protobuf support</w:t>
      </w:r>
    </w:p>
    <w:p>
      <w:pPr>
        <w:pStyle w:val="ListParagraph"/>
        <w:numPr>
          <w:ilvl w:val="0"/>
          <w:numId w:val="2"/>
        </w:numPr>
        <w:spacing w:after="40" w:before="40"/>
      </w:pPr>
      <w:r>
        <w:rPr>
          <w:rFonts w:ascii="Arial" w:cs="Arial" w:eastAsia="Arial" w:hAnsi="Arial"/>
          <w:color w:val="2C3E50"/>
          <w:sz w:val="20"/>
          <w:szCs w:val="20"/>
        </w:rPr>
        <w:t xml:space="preserve">Recreate all topic configurations (partitions, retention, replication factor)</w:t>
      </w:r>
    </w:p>
    <w:p>
      <w:pPr>
        <w:pStyle w:val="ListParagraph"/>
        <w:numPr>
          <w:ilvl w:val="0"/>
          <w:numId w:val="2"/>
        </w:numPr>
        <w:spacing w:after="40" w:before="40"/>
      </w:pPr>
      <w:r>
        <w:rPr>
          <w:rFonts w:ascii="Arial" w:cs="Arial" w:eastAsia="Arial" w:hAnsi="Arial"/>
          <w:color w:val="2C3E50"/>
          <w:sz w:val="20"/>
          <w:szCs w:val="20"/>
        </w:rPr>
        <w:t xml:space="preserve">Update Spring Boot application.properties: change bootstrap.servers to DO Kafka endpoint</w:t>
      </w:r>
    </w:p>
    <w:p>
      <w:pPr>
        <w:pStyle w:val="ListParagraph"/>
        <w:numPr>
          <w:ilvl w:val="0"/>
          <w:numId w:val="2"/>
        </w:numPr>
        <w:spacing w:after="40" w:before="40"/>
      </w:pPr>
      <w:r>
        <w:rPr>
          <w:rFonts w:ascii="Arial" w:cs="Arial" w:eastAsia="Arial" w:hAnsi="Arial"/>
          <w:color w:val="2C3E50"/>
          <w:sz w:val="20"/>
          <w:szCs w:val="20"/>
        </w:rPr>
        <w:t xml:space="preserve">Verify producer and consumer connectivity before cutover</w:t>
      </w:r>
    </w:p>
    <w:p>
      <w:r>
        <w:rPr>
          <w:sz w:val="20"/>
          <w:szCs w:val="20"/>
        </w:rPr>
        <w:t xml:space="preserve"/>
      </w:r>
    </w:p>
    <w:p>
      <w:pPr>
        <w:spacing w:after="80" w:before="180"/>
      </w:pPr>
      <w:r>
        <w:rPr>
          <w:rFonts w:ascii="Arial" w:cs="Arial" w:eastAsia="Arial" w:hAnsi="Arial"/>
          <w:b/>
          <w:bCs/>
          <w:color w:val="0E6655"/>
          <w:sz w:val="22"/>
          <w:szCs w:val="22"/>
        </w:rPr>
        <w:t xml:space="preserve">Step 4 — Deploy Application to DO App Platform</w:t>
      </w:r>
    </w:p>
    <w:p>
      <w:pPr>
        <w:pStyle w:val="ListParagraph"/>
        <w:numPr>
          <w:ilvl w:val="0"/>
          <w:numId w:val="2"/>
        </w:numPr>
        <w:spacing w:after="40" w:before="40"/>
      </w:pPr>
      <w:r>
        <w:rPr>
          <w:rFonts w:ascii="Arial" w:cs="Arial" w:eastAsia="Arial" w:hAnsi="Arial"/>
          <w:color w:val="2C3E50"/>
          <w:sz w:val="20"/>
          <w:szCs w:val="20"/>
        </w:rPr>
        <w:t xml:space="preserve">Containerise the Spring Boot application (Dockerfile)</w:t>
      </w:r>
    </w:p>
    <w:p>
      <w:pPr>
        <w:pStyle w:val="ListParagraph"/>
        <w:numPr>
          <w:ilvl w:val="0"/>
          <w:numId w:val="2"/>
        </w:numPr>
        <w:spacing w:after="40" w:before="40"/>
      </w:pPr>
      <w:r>
        <w:rPr>
          <w:rFonts w:ascii="Arial" w:cs="Arial" w:eastAsia="Arial" w:hAnsi="Arial"/>
          <w:color w:val="2C3E50"/>
          <w:sz w:val="20"/>
          <w:szCs w:val="20"/>
        </w:rPr>
        <w:t xml:space="preserve">Push image to DO Container Registry</w:t>
      </w:r>
    </w:p>
    <w:p>
      <w:pPr>
        <w:pStyle w:val="ListParagraph"/>
        <w:numPr>
          <w:ilvl w:val="0"/>
          <w:numId w:val="2"/>
        </w:numPr>
        <w:spacing w:after="40" w:before="40"/>
      </w:pPr>
      <w:r>
        <w:rPr>
          <w:rFonts w:ascii="Arial" w:cs="Arial" w:eastAsia="Arial" w:hAnsi="Arial"/>
          <w:color w:val="2C3E50"/>
          <w:sz w:val="20"/>
          <w:szCs w:val="20"/>
        </w:rPr>
        <w:t xml:space="preserve">Create App Platform service pointing at the container image</w:t>
      </w:r>
    </w:p>
    <w:p>
      <w:pPr>
        <w:pStyle w:val="ListParagraph"/>
        <w:numPr>
          <w:ilvl w:val="0"/>
          <w:numId w:val="2"/>
        </w:numPr>
        <w:spacing w:after="40" w:before="40"/>
      </w:pPr>
      <w:r>
        <w:rPr>
          <w:rFonts w:ascii="Arial" w:cs="Arial" w:eastAsia="Arial" w:hAnsi="Arial"/>
          <w:color w:val="2C3E50"/>
          <w:sz w:val="20"/>
          <w:szCs w:val="20"/>
        </w:rPr>
        <w:t xml:space="preserve">Set environment variables: DB_URL (DO PostgreSQL), KAFKA_BOOTSTRAP (DO Kafka), SPACES_ENDPOINT</w:t>
      </w:r>
    </w:p>
    <w:p>
      <w:pPr>
        <w:pStyle w:val="ListParagraph"/>
        <w:numPr>
          <w:ilvl w:val="0"/>
          <w:numId w:val="2"/>
        </w:numPr>
        <w:spacing w:after="40" w:before="40"/>
      </w:pPr>
      <w:r>
        <w:rPr>
          <w:rFonts w:ascii="Arial" w:cs="Arial" w:eastAsia="Arial" w:hAnsi="Arial"/>
          <w:color w:val="2C3E50"/>
          <w:sz w:val="20"/>
          <w:szCs w:val="20"/>
        </w:rPr>
        <w:t xml:space="preserve">Configure health check endpoint (/actuator/health)</w:t>
      </w:r>
    </w:p>
    <w:p>
      <w:r>
        <w:rPr>
          <w:sz w:val="20"/>
          <w:szCs w:val="20"/>
        </w:rPr>
        <w:t xml:space="preserve"/>
      </w:r>
    </w:p>
    <w:p>
      <w:pPr>
        <w:spacing w:after="80" w:before="180"/>
      </w:pPr>
      <w:r>
        <w:rPr>
          <w:rFonts w:ascii="Arial" w:cs="Arial" w:eastAsia="Arial" w:hAnsi="Arial"/>
          <w:b/>
          <w:bCs/>
          <w:color w:val="0E6655"/>
          <w:sz w:val="22"/>
          <w:szCs w:val="22"/>
        </w:rPr>
        <w:t xml:space="preserve">Step 5 — DNS cutover and final validation</w:t>
      </w:r>
    </w:p>
    <w:p>
      <w:pPr>
        <w:pStyle w:val="ListParagraph"/>
        <w:numPr>
          <w:ilvl w:val="0"/>
          <w:numId w:val="2"/>
        </w:numPr>
        <w:spacing w:after="40" w:before="40"/>
      </w:pPr>
      <w:r>
        <w:rPr>
          <w:rFonts w:ascii="Arial" w:cs="Arial" w:eastAsia="Arial" w:hAnsi="Arial"/>
          <w:color w:val="2C3E50"/>
          <w:sz w:val="20"/>
          <w:szCs w:val="20"/>
        </w:rPr>
        <w:t xml:space="preserve">Run parallel validation: send test requests to both old (AWS EC2) and new (DO App Platform) simultaneously</w:t>
      </w:r>
    </w:p>
    <w:p>
      <w:pPr>
        <w:pStyle w:val="ListParagraph"/>
        <w:numPr>
          <w:ilvl w:val="0"/>
          <w:numId w:val="2"/>
        </w:numPr>
        <w:spacing w:after="40" w:before="40"/>
      </w:pPr>
      <w:r>
        <w:rPr>
          <w:rFonts w:ascii="Arial" w:cs="Arial" w:eastAsia="Arial" w:hAnsi="Arial"/>
          <w:color w:val="2C3E50"/>
          <w:sz w:val="20"/>
          <w:szCs w:val="20"/>
        </w:rPr>
        <w:t xml:space="preserve">Confirm API responses, database writes, and Kafka message flow are identical</w:t>
      </w:r>
    </w:p>
    <w:p>
      <w:pPr>
        <w:pStyle w:val="ListParagraph"/>
        <w:numPr>
          <w:ilvl w:val="0"/>
          <w:numId w:val="2"/>
        </w:numPr>
        <w:spacing w:after="40" w:before="40"/>
      </w:pPr>
      <w:r>
        <w:rPr>
          <w:rFonts w:ascii="Arial" w:cs="Arial" w:eastAsia="Arial" w:hAnsi="Arial"/>
          <w:color w:val="2C3E50"/>
          <w:sz w:val="20"/>
          <w:szCs w:val="20"/>
        </w:rPr>
        <w:t xml:space="preserve">Update DNS A record to point to DO App Platform IP</w:t>
      </w:r>
    </w:p>
    <w:p>
      <w:pPr>
        <w:pStyle w:val="ListParagraph"/>
        <w:numPr>
          <w:ilvl w:val="0"/>
          <w:numId w:val="2"/>
        </w:numPr>
        <w:spacing w:after="40" w:before="40"/>
      </w:pPr>
      <w:r>
        <w:rPr>
          <w:rFonts w:ascii="Arial" w:cs="Arial" w:eastAsia="Arial" w:hAnsi="Arial"/>
          <w:color w:val="2C3E50"/>
          <w:sz w:val="20"/>
          <w:szCs w:val="20"/>
        </w:rPr>
        <w:t xml:space="preserve">Monitor error rates and latency for 30 minutes post-cutover</w:t>
      </w:r>
    </w:p>
    <w:p>
      <w:pPr>
        <w:pStyle w:val="ListParagraph"/>
        <w:numPr>
          <w:ilvl w:val="0"/>
          <w:numId w:val="2"/>
        </w:numPr>
        <w:spacing w:after="40" w:before="40"/>
      </w:pPr>
      <w:r>
        <w:rPr>
          <w:rFonts w:ascii="Arial" w:cs="Arial" w:eastAsia="Arial" w:hAnsi="Arial"/>
          <w:color w:val="2C3E50"/>
          <w:sz w:val="20"/>
          <w:szCs w:val="20"/>
        </w:rPr>
        <w:t xml:space="preserve">Stop (do not terminate) the AWS EC2 instance — keep as fallback for 7 days</w:t>
      </w:r>
    </w:p>
    <w:p>
      <w:pPr>
        <w:pStyle w:val="ListParagraph"/>
        <w:numPr>
          <w:ilvl w:val="0"/>
          <w:numId w:val="2"/>
        </w:numPr>
        <w:spacing w:after="40" w:before="40"/>
      </w:pPr>
      <w:r>
        <w:rPr>
          <w:rFonts w:ascii="Arial" w:cs="Arial" w:eastAsia="Arial" w:hAnsi="Arial"/>
          <w:color w:val="2C3E50"/>
          <w:sz w:val="20"/>
          <w:szCs w:val="20"/>
        </w:rPr>
        <w:t xml:space="preserve">After 7 days with no issues: terminate EC2 instance and delete Neon project</w:t>
      </w:r>
    </w:p>
    <w:p>
      <w:r>
        <w:rPr>
          <w:sz w:val="20"/>
          <w:szCs w:val="20"/>
        </w:rPr>
        <w:t xml:space="preserve"/>
      </w:r>
    </w:p>
    <w:p>
      <w:r>
        <w:rPr>
          <w:sz w:val="20"/>
          <w:szCs w:val="20"/>
        </w:rPr>
        <w:t xml:space="preserve"/>
      </w:r>
    </w:p>
    <w:p>
      <w:pPr>
        <w:pStyle w:val="Heading1"/>
        <w:spacing w:after="160" w:before="320"/>
      </w:pPr>
      <w:r>
        <w:rPr>
          <w:rFonts w:ascii="Arial" w:cs="Arial" w:eastAsia="Arial" w:hAnsi="Arial"/>
          <w:b/>
          <w:bCs/>
          <w:color w:val="1A5276"/>
          <w:sz w:val="32"/>
          <w:szCs w:val="32"/>
        </w:rPr>
        <w:t xml:space="preserve">6. Accounts to Open — Action Checklist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1400"/>
        <w:gridCol w:w="2960"/>
      </w:tblGrid>
      <w:tr>
        <w:trPr>
          <w:tblHeader/>
        </w:trP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Provider</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When to open</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Used for</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Free tier?</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First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EC2 compute for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Yes (12 mo)</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Launch t3.micro, stop when idle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Neon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PostgreSQL dev database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Yes (always)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Create project, enable PostGIS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DigitalOcean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Spaces storage — then full prod stack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No ($5/mo min)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Create BLR1 Spaces bucket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Upstash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Kafka alt if DO Kafka too costly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Yes (free tier)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Evaluate latency vs DO Kafka</w:t>
            </w:r>
          </w:p>
        </w:tc>
      </w:tr>
    </w:tbl>
    <w:p>
      <w:r>
        <w:rPr>
          <w:sz w:val="20"/>
          <w:szCs w:val="20"/>
        </w:rPr>
        <w:t xml:space="preserve"/>
      </w:r>
    </w:p>
    <w:p>
      <w:r>
        <w:rPr>
          <w:sz w:val="20"/>
          <w:szCs w:val="20"/>
        </w:rPr>
        <w:t xml:space="preserve"/>
      </w:r>
    </w:p>
    <w:p>
      <w:pPr>
        <w:pStyle w:val="Heading1"/>
        <w:spacing w:after="160" w:before="320"/>
      </w:pPr>
      <w:r>
        <w:rPr>
          <w:rFonts w:ascii="Arial" w:cs="Arial" w:eastAsia="Arial" w:hAnsi="Arial"/>
          <w:b/>
          <w:bCs/>
          <w:color w:val="1A5276"/>
          <w:sz w:val="32"/>
          <w:szCs w:val="32"/>
        </w:rPr>
        <w:t xml:space="preserve">7. Billing Safety Rules</w:t>
      </w:r>
    </w:p>
    <w:p>
      <w:pPr>
        <w:spacing w:after="60" w:before="60"/>
        <w:jc w:val="left"/>
      </w:pPr>
      <w:r>
        <w:rPr>
          <w:rFonts w:ascii="Arial" w:cs="Arial" w:eastAsia="Arial" w:hAnsi="Arial"/>
          <w:b w:val="false"/>
          <w:bCs w:val="false"/>
          <w:i w:val="false"/>
          <w:iCs w:val="false"/>
          <w:color w:val="2C3E50"/>
          <w:sz w:val="20"/>
          <w:szCs w:val="20"/>
        </w:rPr>
        <w:t xml:space="preserve">Follow these rules to avoid surprise charges across all accounts: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b/>
                <w:bCs/>
                <w:color w:val="C0392B"/>
                <w:sz w:val="19"/>
                <w:szCs w:val="19"/>
              </w:rPr>
              <w:t xml:space="preserve">Never power off a DigitalOcean Droplet to save money. </w:t>
            </w:r>
            <w:r>
              <w:rPr>
                <w:rFonts w:ascii="Arial" w:cs="Arial" w:eastAsia="Arial" w:hAnsi="Arial"/>
                <w:color w:val="2C3E50"/>
                <w:sz w:val="19"/>
                <w:szCs w:val="19"/>
              </w:rPr>
              <w:t xml:space="preserve">Powering off does not stop billing. You must destroy the Droplet (or use DO App Platform which you control via deployments).</w:t>
            </w:r>
          </w:p>
        </w:tc>
      </w:tr>
      <w:tr>
        <w:tc>
          <w:tcPr>
            <w:tcW w:type="dxa" w:w="4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b/>
                <w:bCs/>
                <w:color w:val="2C3E50"/>
                <w:sz w:val="19"/>
                <w:szCs w:val="19"/>
              </w:rPr>
              <w:t xml:space="preserve">On AWS: Stop (not Terminate) the EC2 instance </w:t>
            </w:r>
            <w:r>
              <w:rPr>
                <w:rFonts w:ascii="Arial" w:cs="Arial" w:eastAsia="Arial" w:hAnsi="Arial"/>
                <w:color w:val="2C3E50"/>
                <w:sz w:val="19"/>
                <w:szCs w:val="19"/>
              </w:rPr>
              <w:t xml:space="preserve">between testing sessions. This stops compute billing while preserving data. Terminating destroys the disk.</w:t>
            </w:r>
          </w:p>
        </w:tc>
      </w:tr>
      <w:tr>
        <w:tc>
          <w:tcPr>
            <w:tcW w:type="dxa" w:w="4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b/>
                <w:bCs/>
                <w:color w:val="2C3E50"/>
                <w:sz w:val="19"/>
                <w:szCs w:val="19"/>
              </w:rPr>
              <w:t xml:space="preserve">Set billing alerts on every account. </w:t>
            </w:r>
            <w:r>
              <w:rPr>
                <w:rFonts w:ascii="Arial" w:cs="Arial" w:eastAsia="Arial" w:hAnsi="Arial"/>
                <w:color w:val="2C3E50"/>
                <w:sz w:val="19"/>
                <w:szCs w:val="19"/>
              </w:rPr>
              <w:t xml:space="preserve">AWS: set a $5 and $20 CloudWatch billing alert. DigitalOcean: set a $10 alert. Neon: free tier has automatic cap.</w:t>
            </w:r>
          </w:p>
        </w:tc>
      </w:tr>
      <w:tr>
        <w:tc>
          <w:tcPr>
            <w:tcW w:type="dxa" w:w="4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b/>
                <w:bCs/>
                <w:color w:val="C0392B"/>
                <w:sz w:val="19"/>
                <w:szCs w:val="19"/>
              </w:rPr>
              <w:t xml:space="preserve">DO Managed PostgreSQL and Kafka have no pause option. </w:t>
            </w:r>
            <w:r>
              <w:rPr>
                <w:rFonts w:ascii="Arial" w:cs="Arial" w:eastAsia="Arial" w:hAnsi="Arial"/>
                <w:color w:val="2C3E50"/>
                <w:sz w:val="19"/>
                <w:szCs w:val="19"/>
              </w:rPr>
              <w:t xml:space="preserve">Do not create these in DigitalOcean until you are ready for production. Use Neon + self-hosted Kafka during dev.</w:t>
            </w:r>
          </w:p>
        </w:tc>
      </w:tr>
      <w:tr>
        <w:tc>
          <w:tcPr>
            <w:tcW w:type="dxa" w:w="400"/>
            <w:tcBorders>
              <w:top w:val="single" w:color="CCCCCC" w:sz="1"/>
              <w:left w:val="single" w:color="CCCCCC" w:sz="1"/>
              <w:bottom w:val="single" w:color="CCCCCC" w:sz="1"/>
              <w:right w:val="single" w:color="CCCCCC" w:sz="1"/>
            </w:tcBorders>
            <w:shd w:fill="1A527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8960"/>
            <w:tcBorders>
              <w:top w:val="single" w:color="CCCCCC" w:sz="1"/>
              <w:left w:val="single" w:color="CCCCCC" w:sz="1"/>
              <w:bottom w:val="single" w:color="CCCCCC" w:sz="1"/>
              <w:right w:val="single" w:color="CCCCCC" w:sz="1"/>
            </w:tcBorders>
            <w:tcMar>
              <w:top w:type="dxa" w:w="80"/>
              <w:left w:type="dxa" w:w="140"/>
              <w:bottom w:type="dxa" w:w="80"/>
              <w:right w:type="dxa" w:w="80"/>
            </w:tcMar>
          </w:tcPr>
          <w:p>
            <w:r>
              <w:rPr>
                <w:rFonts w:ascii="Arial" w:cs="Arial" w:eastAsia="Arial" w:hAnsi="Arial"/>
                <w:b/>
                <w:bCs/>
                <w:color w:val="2C3E50"/>
                <w:sz w:val="19"/>
                <w:szCs w:val="19"/>
              </w:rPr>
              <w:t xml:space="preserve">AWS free tier expires after 12 months. </w:t>
            </w:r>
            <w:r>
              <w:rPr>
                <w:rFonts w:ascii="Arial" w:cs="Arial" w:eastAsia="Arial" w:hAnsi="Arial"/>
                <w:color w:val="2C3E50"/>
                <w:sz w:val="19"/>
                <w:szCs w:val="19"/>
              </w:rPr>
              <w:t xml:space="preserve">Set a calendar reminder at month 10. If still in dev/test at that point, evaluate whether to migrate compute to DO or continue with paid EC2 billing.</w:t>
            </w:r>
          </w:p>
        </w:tc>
      </w:tr>
    </w:tbl>
    <w:p>
      <w:r>
        <w:rPr>
          <w:sz w:val="20"/>
          <w:szCs w:val="20"/>
        </w:rPr>
        <w:t xml:space="preserve"/>
      </w:r>
    </w:p>
    <w:p>
      <w:r>
        <w:rPr>
          <w:sz w:val="20"/>
          <w:szCs w:val="20"/>
        </w:rPr>
        <w:t xml:space="preserve"/>
      </w:r>
    </w:p>
    <w:p>
      <w:pPr>
        <w:pStyle w:val="Heading1"/>
        <w:spacing w:after="160" w:before="320"/>
      </w:pPr>
      <w:r>
        <w:rPr>
          <w:rFonts w:ascii="Arial" w:cs="Arial" w:eastAsia="Arial" w:hAnsi="Arial"/>
          <w:b/>
          <w:bCs/>
          <w:color w:val="1A5276"/>
          <w:sz w:val="32"/>
          <w:szCs w:val="32"/>
        </w:rPr>
        <w:t xml:space="preserve">8. RBI / NBFC Compliance Considerations</w:t>
      </w:r>
    </w:p>
    <w:p>
      <w:pPr>
        <w:spacing w:after="60" w:before="60"/>
        <w:jc w:val="left"/>
      </w:pPr>
      <w:r>
        <w:rPr>
          <w:rFonts w:ascii="Arial" w:cs="Arial" w:eastAsia="Arial" w:hAnsi="Arial"/>
          <w:b w:val="false"/>
          <w:bCs w:val="false"/>
          <w:i w:val="false"/>
          <w:iCs w:val="false"/>
          <w:color w:val="2C3E50"/>
          <w:sz w:val="20"/>
          <w:szCs w:val="20"/>
        </w:rPr>
        <w:t xml:space="preserve">The following compliance requirements must be addressed before going live. This plan is architected to make meeting them as straightforward as possible.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addressed</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 localisation (RBI)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DO services in BLR1 (India). AWS EC2 should also be ap-south-1 (Mumbai).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Verify AWS region is ap-south-1 before testing with real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F2F3F4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undefined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Data sovereignty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Utho Cloud is an alternative if full Indian ownership is mandated. DO is US-headquartered.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Check with legal team whether US-HQ cloud is acceptable under RBI guidelines.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F2F3F4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undefined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Encryption at 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Managed DB and Kafka: AES-256 at rest. Spaces: encrypted at rest.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Enable encryption on EC2 EBS volume (checkbox at launch).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F2F3F4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undefined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Encryption in transit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DO services enforce TLS 1.2+. Neon: TLS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Ensure Spring Boot connects via SSL (sslmode=require in JDBC 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F2F3F4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undefined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Audit logging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 Managed DB supports query logs. Kafka has audit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Enable and forward logs to a SIEM before go-live.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F2F3F4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undefined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DPDP Act 2023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stored in India (BLR1). Subject to Indian law.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Implement consent management and data deletion flows in application layer.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F2F3F4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undefined</w:t>
            </w:r>
          </w:p>
        </w:tc>
      </w:tr>
    </w:tbl>
    <w:p>
      <w:r>
        <w:rPr>
          <w:sz w:val="20"/>
          <w:szCs w:val="20"/>
        </w:rPr>
        <w:t xml:space="preserve"/>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8"/>
              <w:left w:val="single" w:color="1A5276" w:sz="8"/>
              <w:bottom w:val="single" w:color="1A5276" w:sz="8"/>
              <w:right w:val="single" w:color="1A5276" w:sz="8"/>
            </w:tcBorders>
            <w:shd w:fill="D6EAF8" w:val="clear"/>
            <w:tcMar>
              <w:top w:type="dxa" w:w="160"/>
              <w:left w:type="dxa" w:w="200"/>
              <w:bottom w:type="dxa" w:w="160"/>
              <w:right w:type="dxa" w:w="200"/>
            </w:tcMar>
          </w:tcPr>
          <w:p>
            <w:pPr>
              <w:spacing w:after="100"/>
            </w:pPr>
            <w:r>
              <w:rPr>
                <w:rFonts w:ascii="Arial" w:cs="Arial" w:eastAsia="Arial" w:hAnsi="Arial"/>
                <w:b/>
                <w:bCs/>
                <w:color w:val="1A5276"/>
                <w:sz w:val="22"/>
                <w:szCs w:val="22"/>
              </w:rPr>
              <w:t xml:space="preserve">Recommended immediate next steps</w:t>
            </w:r>
          </w:p>
          <w:p>
            <w:pPr>
              <w:spacing w:after="40"/>
            </w:pPr>
            <w:r>
              <w:rPr>
                <w:rFonts w:ascii="Arial" w:cs="Arial" w:eastAsia="Arial" w:hAnsi="Arial"/>
                <w:color w:val="1A3A5C"/>
                <w:sz w:val="19"/>
                <w:szCs w:val="19"/>
              </w:rPr>
              <w:t xml:space="preserve">1.  Open AWS account → launch t3.micro in ap-south-1 (Mumbai) → install Spring Boot, Kafka, run tests → Stop when done</w:t>
            </w:r>
          </w:p>
          <w:p>
            <w:pPr>
              <w:spacing w:after="40"/>
            </w:pPr>
            <w:r>
              <w:rPr>
                <w:rFonts w:ascii="Arial" w:cs="Arial" w:eastAsia="Arial" w:hAnsi="Arial"/>
                <w:color w:val="1A3A5C"/>
                <w:sz w:val="19"/>
                <w:szCs w:val="19"/>
              </w:rPr>
              <w:t xml:space="preserve">2.  Open Neon account → create project → enable PostGIS → connect from Spring Boot application</w:t>
            </w:r>
          </w:p>
          <w:p>
            <w:pPr>
              <w:spacing w:after="40"/>
            </w:pPr>
            <w:r>
              <w:rPr>
                <w:rFonts w:ascii="Arial" w:cs="Arial" w:eastAsia="Arial" w:hAnsi="Arial"/>
                <w:color w:val="1A3A5C"/>
                <w:sz w:val="19"/>
                <w:szCs w:val="19"/>
              </w:rPr>
              <w:t xml:space="preserve">3.  Open DigitalOcean account → create Spaces bucket in BLR1 → configure S3-compatible SDK endpoint</w:t>
            </w:r>
          </w:p>
          <w:p>
            <w:pPr>
              <w:spacing w:after="0"/>
            </w:pPr>
            <w:r>
              <w:rPr>
                <w:rFonts w:ascii="Arial" w:cs="Arial" w:eastAsia="Arial" w:hAnsi="Arial"/>
                <w:color w:val="1A3A5C"/>
                <w:sz w:val="19"/>
                <w:szCs w:val="19"/>
              </w:rPr>
              <w:t xml:space="preserve">4.  Set billing alerts on all three accounts → begin testing at &lt; ₹700/month total cost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tabs>
        <w:tab w:val="right" w:pos="9026"/>
      </w:tabs>
    </w:pPr>
    <w:r>
      <w:rPr>
        <w:rFonts w:ascii="Arial" w:cs="Arial" w:eastAsia="Arial" w:hAnsi="Arial"/>
        <w:color w:val="7F8C8D"/>
        <w:sz w:val="16"/>
        <w:szCs w:val="16"/>
      </w:rPr>
      <w:t xml:space="preserve">Confidential — Internal Use Only</w:t>
    </w:r>
    <w:r>
      <w:rPr>
        <w:rFonts w:ascii="Arial" w:cs="Arial" w:eastAsia="Arial" w:hAnsi="Arial"/>
        <w:color w:val="7F8C8D"/>
        <w:sz w:val="16"/>
        <w:szCs w:val="16"/>
      </w:rPr>
      <w:t xml:space="preserve">	 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jc w:val="right"/>
    </w:pPr>
    <w:r>
      <w:rPr>
        <w:rFonts w:ascii="Arial" w:cs="Arial" w:eastAsia="Arial" w:hAnsi="Arial"/>
        <w:color w:val="7F8C8D"/>
        <w:sz w:val="18"/>
        <w:szCs w:val="18"/>
      </w:rPr>
      <w:t xml:space="preserve">Oolshik Fintech — Cloud Cost Optimisation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2026-04-05T14:57:57.593Z</dcterms:created>
  <dcterms:modified xsi:type="dcterms:W3CDTF">2026-04-05T14:57:57.593Z</dcterms:modified>
</cp:coreProperties>
</file>

<file path=docProps/custom.xml><?xml version="1.0" encoding="utf-8"?>
<Properties xmlns="http://schemas.openxmlformats.org/officeDocument/2006/custom-properties" xmlns:vt="http://schemas.openxmlformats.org/officeDocument/2006/docPropsVTypes"/>
</file>