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2E4F7A"/>
          <w:sz w:val="36"/>
          <w:szCs w:val="36"/>
        </w:rPr>
        <w:t xml:space="preserve">Framing the Multi-Front War: A Computational Analysis of Israeli Political Discourse on X/Twitter (2024–2026)</w:t>
      </w:r>
    </w:p>
    <w:p>
      <w:pPr>
        <w:spacing w:after="120" w:before="0"/>
        <w:jc w:val="center"/>
      </w:pPr>
      <w:r>
        <w:rPr>
          <w:rFonts w:ascii="Arial" w:cs="Arial" w:eastAsia="Arial" w:hAnsi="Arial"/>
          <w:i/>
          <w:iCs/>
          <w:color w:val="555555"/>
          <w:sz w:val="24"/>
          <w:szCs w:val="24"/>
        </w:rPr>
        <w:t xml:space="preserve">Personal Research Project</w:t>
      </w:r>
    </w:p>
    <w:p>
      <w:pPr>
        <w:spacing w:after="120" w:before="0"/>
        <w:jc w:val="center"/>
      </w:pPr>
      <w:r>
        <w:rPr>
          <w:rFonts w:ascii="Arial" w:cs="Arial" w:eastAsia="Arial" w:hAnsi="Arial"/>
          <w:color w:val="555555"/>
          <w:sz w:val="22"/>
          <w:szCs w:val="22"/>
        </w:rPr>
        <w:t xml:space="preserve">Tweet data: March 2024 – April 2026  ·  Conflict data: October 7, 2023 – April 2026</w:t>
      </w:r>
    </w:p>
    <w:p>
      <w:pPr>
        <w:spacing w:after="240" w:before="0"/>
        <w:jc w:val="center"/>
      </w:pPr>
      <w:r>
        <w:rPr>
          <w:rFonts w:ascii="Arial" w:cs="Arial" w:eastAsia="Arial" w:hAnsi="Arial"/>
          <w:color w:val="555555"/>
          <w:sz w:val="22"/>
          <w:szCs w:val="22"/>
        </w:rPr>
        <w:t xml:space="preserve">2026</w:t>
      </w:r>
    </w:p>
    <w:p>
      <w:pPr>
        <w:spacing w:after="480" w:before="0"/>
        <w:jc w:val="center"/>
      </w:pPr>
      <w:r>
        <w:rPr>
          <w:rFonts w:ascii="Arial" w:cs="Arial" w:eastAsia="Arial" w:hAnsi="Arial"/>
          <w:i/>
          <w:iCs/>
          <w:color w:val="888888"/>
          <w:sz w:val="20"/>
          <w:szCs w:val="20"/>
        </w:rPr>
        <w:t xml:space="preserve">⚠️ Disclaimer: This is a personal research project focused purely on computational analysis of public political communication. The findings reflect statistical patterns in data and do not represent the author’s personal political views or any judgment about the conflict. All data is sourced from public X/Twitter posts and the ACLED open dataset.</w:t>
      </w:r>
    </w:p>
    <w:p>
      <w:pPr>
        <w:pStyle w:val="Heading1"/>
        <w:spacing w:after="160" w:before="320"/>
      </w:pPr>
      <w:r>
        <w:rPr>
          <w:rFonts w:ascii="Arial" w:cs="Arial" w:eastAsia="Arial" w:hAnsi="Arial"/>
          <w:b/>
          <w:bCs/>
          <w:color w:val="2E4F7A"/>
          <w:sz w:val="28"/>
          <w:szCs w:val="28"/>
        </w:rPr>
        <w:t xml:space="preserve">Abstract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This paper presents a computational pipeline for analyzing political discourse on X/Twitter (formerly Twitter) during the multi-front war initiated on October 7, 2023. We collect 3,489 original tweets from five Israeli politicians spanning the political spectrum — Benjamin Netanyahu, Yair Lapid, Benny Gantz, Bezalel Smotrich, and Itamar Ben Gvir — covering the period March 2024 to April 2026 (tweet corpus), integrated with ACLED conflict event data spanning October 7, 2023 to April 2026 (conflict data). Using GPT-4o as an expert annotator, we label each tweet for stance toward the war (support, oppose, neutral) and narrative frame (blame, hero, threat, hope, victim, other), achieving substantial inter-annotator agreement for stance (κ=0.762) and moderate agreement for frame (κ=0.525). We apply BERTopic dynamic topic modeling, PCA-based ideology embedding, and temporal framing analysis to characterize each politician’s discursive trajectory. We then integrate real-world conflict event data from ACLED across six war fronts (Gaza, Lebanon, Syria, Yemen, Iran, and Israel) and apply Pearson correlation and Granger causality tests to examine the relationship between conflict intensity and political framing. Our key finding is a predominantly unidirectional causal relationship: conflict events predict subsequent framing shifts, with opposition politicians responding within 1–2 weeks and the Prime Minister on a 4-week lag. Notably, we identify a bidirectional relationship on the Iran front, where far-right political framing — particularly from Ben Gvir and Smotrich — Granger-causes subsequent conflict escalation, suggesting that extremist political discourse may serve as a leading indicator of military escalation.</w:t>
      </w:r>
    </w:p>
    <w:p>
      <w:pPr>
        <w:spacing w:after="0" w:before="120"/>
      </w:pPr>
      <w:r>
        <w:t xml:space="preserve"/>
      </w:r>
    </w:p>
    <w:p>
      <w:pPr>
        <w:spacing w:after="160" w:before="0" w:line="276"/>
        <w:jc w:val="both"/>
      </w:pPr>
      <w:r>
        <w:rPr>
          <w:rFonts w:ascii="Times New Roman" w:cs="Times New Roman" w:eastAsia="Times New Roman" w:hAnsi="Times New Roman"/>
          <w:b w:val="false"/>
          <w:bCs w:val="false"/>
          <w:i/>
          <w:iCs/>
          <w:color w:val="000000"/>
          <w:sz w:val="24"/>
          <w:szCs w:val="24"/>
        </w:rPr>
        <w:t xml:space="preserve">Keywords: political discourse analysis, computational linguistics, LLM annotation, narrative framing, Granger causality, Israel-Gaza war, X/Twitter</w:t>
      </w:r>
    </w:p>
    <w:p>
      <w:pPr>
        <w:spacing w:after="0" w:before="240"/>
      </w:pPr>
      <w:r>
        <w:t xml:space="preserve"/>
      </w:r>
    </w:p>
    <w:p>
      <w:pPr>
        <w:pStyle w:val="Heading1"/>
        <w:spacing w:after="160" w:before="320"/>
      </w:pPr>
      <w:r>
        <w:rPr>
          <w:rFonts w:ascii="Arial" w:cs="Arial" w:eastAsia="Arial" w:hAnsi="Arial"/>
          <w:b/>
          <w:bCs/>
          <w:color w:val="2E4F7A"/>
          <w:sz w:val="28"/>
          <w:szCs w:val="28"/>
        </w:rPr>
        <w:t xml:space="preserve">1. Introduction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outbreak of multi-front conflict following the Hamas attack on October 7, 2023, transformed Israeli political discourse in unprecedented ways. Politicians across the spectrum were compelled to communicate rapidly and publicly about an evolving, multi-dimensional military situation involving simultaneous fronts in Gaza, Lebanon, Syria, Yemen, and Iran. X/Twitter (hereafter X) served as the primary platform for this political communication, enabling real-time messaging to both domestic and international audiences.</w:t>
      </w:r>
    </w:p>
    <w:p>
      <w:pPr>
        <w:spacing w:after="0" w:before="8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Understanding how politicians frame conflict is a longstanding question in political communication research. Framing theory — rooted in the work of Goffman (1974) and Entman (1993) — holds that the selection and emphasis of particular aspects of reality shapes how audiences perceive and evaluate political situations. In the context of a live, multi-front war, framing choices carry direct implications for public support, coalition stability, and international relations.</w:t>
      </w:r>
    </w:p>
    <w:p>
      <w:pPr>
        <w:spacing w:after="0" w:before="8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This paper makes four primary contributions:</w:t>
      </w:r>
    </w:p>
    <w:p>
      <w:pPr>
        <w:pStyle w:val="ListParagraph"/>
        <w:numPr>
          <w:ilvl w:val="0"/>
          <w:numId w:val="2"/>
        </w:numPr>
        <w:spacing w:after="40" w:before="40" w:line="276"/>
      </w:pPr>
      <w:r>
        <w:rPr>
          <w:rFonts w:ascii="Times New Roman" w:cs="Times New Roman" w:eastAsia="Times New Roman" w:hAnsi="Times New Roman"/>
          <w:sz w:val="24"/>
          <w:szCs w:val="24"/>
        </w:rPr>
        <w:t xml:space="preserve">A novel annotated dataset of 3,489 tweets from five Israeli politicians covering a 25-month window of the multi-front war, labeled for stance and narrative frame using GPT-4o.</w:t>
      </w:r>
    </w:p>
    <w:p>
      <w:pPr>
        <w:pStyle w:val="ListParagraph"/>
        <w:numPr>
          <w:ilvl w:val="0"/>
          <w:numId w:val="2"/>
        </w:numPr>
        <w:spacing w:after="40" w:before="40" w:line="276"/>
      </w:pPr>
      <w:r>
        <w:rPr>
          <w:rFonts w:ascii="Times New Roman" w:cs="Times New Roman" w:eastAsia="Times New Roman" w:hAnsi="Times New Roman"/>
          <w:sz w:val="24"/>
          <w:szCs w:val="24"/>
        </w:rPr>
        <w:t xml:space="preserve">A temporal analysis of framing evolution, demonstrating how each politician’s dominant narrative frame shifts in response to political events and military developments.</w:t>
      </w:r>
    </w:p>
    <w:p>
      <w:pPr>
        <w:pStyle w:val="ListParagraph"/>
        <w:numPr>
          <w:ilvl w:val="0"/>
          <w:numId w:val="2"/>
        </w:numPr>
        <w:spacing w:after="40" w:before="40" w:line="276"/>
      </w:pPr>
      <w:r>
        <w:rPr>
          <w:rFonts w:ascii="Times New Roman" w:cs="Times New Roman" w:eastAsia="Times New Roman" w:hAnsi="Times New Roman"/>
          <w:sz w:val="24"/>
          <w:szCs w:val="24"/>
        </w:rPr>
        <w:t xml:space="preserve">The first integration of per-front ACLED conflict event data with Israeli political Twitter discourse, enabling front-specific correlation and causality analysis.</w:t>
      </w:r>
    </w:p>
    <w:p>
      <w:pPr>
        <w:pStyle w:val="ListParagraph"/>
        <w:numPr>
          <w:ilvl w:val="0"/>
          <w:numId w:val="2"/>
        </w:numPr>
        <w:spacing w:after="40" w:before="40" w:line="276"/>
      </w:pPr>
      <w:r>
        <w:rPr>
          <w:rFonts w:ascii="Times New Roman" w:cs="Times New Roman" w:eastAsia="Times New Roman" w:hAnsi="Times New Roman"/>
          <w:sz w:val="24"/>
          <w:szCs w:val="24"/>
        </w:rPr>
        <w:t xml:space="preserve">Evidence of bidirectional Granger causality on the Iran front, suggesting that far-right political framing may serve as a leading indicator of military escalation.</w:t>
      </w:r>
    </w:p>
    <w:p>
      <w:pPr>
        <w:spacing w:after="0" w:before="240"/>
      </w:pPr>
      <w:r>
        <w:t xml:space="preserve"/>
      </w:r>
    </w:p>
    <w:p>
      <w:pPr>
        <w:pStyle w:val="Heading1"/>
        <w:spacing w:after="160" w:before="320"/>
      </w:pPr>
      <w:r>
        <w:rPr>
          <w:rFonts w:ascii="Arial" w:cs="Arial" w:eastAsia="Arial" w:hAnsi="Arial"/>
          <w:b/>
          <w:bCs/>
          <w:color w:val="2E4F7A"/>
          <w:sz w:val="28"/>
          <w:szCs w:val="28"/>
        </w:rPr>
        <w:t xml:space="preserve">2. Related Work</w:t>
      </w:r>
    </w:p>
    <w:p>
      <w:pPr>
        <w:pStyle w:val="Heading2"/>
        <w:spacing w:after="120" w:before="240"/>
      </w:pPr>
      <w:r>
        <w:rPr>
          <w:rFonts w:ascii="Arial" w:cs="Arial" w:eastAsia="Arial" w:hAnsi="Arial"/>
          <w:b/>
          <w:bCs/>
          <w:color w:val="2E4F7A"/>
          <w:sz w:val="26"/>
          <w:szCs w:val="26"/>
        </w:rPr>
        <w:t xml:space="preserve">2.1 Computational Political Discourse Analysis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Computational approaches to political discourse analysis have evolved substantially in the past decade. Early work focused on sentiment classification of political tweets using lexicon-based tools such as VADER (Hutto &amp; Gilbert, 2014). More recent work leverages transformer-based models, with BERTweet (Nguyen et al., 2020) offering tweet-specific pretraining and DeBERTa-v3 providing strong zero-shot NLI performance for stance detection.</w:t>
      </w:r>
    </w:p>
    <w:p>
      <w:pPr>
        <w:spacing w:after="0" w:before="8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advent of large language models has introduced a new paradigm: LLM-as-annotator. Gilardi et al. (2023) demonstrated that GPT-4 achieves higher accuracy and reliability than human crowd workers for political tweet annotation, including party affiliation and stance classification. This finding underpins our use of GPT-4o as the primary annotation engine.</w:t>
      </w:r>
    </w:p>
    <w:p>
      <w:pPr>
        <w:spacing w:after="0" w:before="80"/>
      </w:pPr>
      <w:r>
        <w:t xml:space="preserve"/>
      </w:r>
    </w:p>
    <w:p>
      <w:pPr>
        <w:pStyle w:val="Heading2"/>
        <w:spacing w:after="120" w:before="240"/>
      </w:pPr>
      <w:r>
        <w:rPr>
          <w:rFonts w:ascii="Arial" w:cs="Arial" w:eastAsia="Arial" w:hAnsi="Arial"/>
          <w:b/>
          <w:bCs/>
          <w:color w:val="2E4F7A"/>
          <w:sz w:val="26"/>
          <w:szCs w:val="26"/>
        </w:rPr>
        <w:t xml:space="preserve">2.2 Narrative Framing in Political Communication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Narrative framing analysis in computational settings has been formalized as a classification task, with recent benchmarks comparing GPT-4o, Mixtral, Llama, and Claude Sonnet on frame prediction tasks. Our annotation schema — blame, hero, threat, hope, victim, other — draws on established typologies in political communication research, adapted to the specific context of wartime Israeli political discourse.</w:t>
      </w:r>
    </w:p>
    <w:p>
      <w:pPr>
        <w:spacing w:after="0" w:before="80"/>
      </w:pPr>
      <w:r>
        <w:t xml:space="preserve"/>
      </w:r>
    </w:p>
    <w:p>
      <w:pPr>
        <w:pStyle w:val="Heading2"/>
        <w:spacing w:after="120" w:before="240"/>
      </w:pPr>
      <w:r>
        <w:rPr>
          <w:rFonts w:ascii="Arial" w:cs="Arial" w:eastAsia="Arial" w:hAnsi="Arial"/>
          <w:b/>
          <w:bCs/>
          <w:color w:val="2E4F7A"/>
          <w:sz w:val="26"/>
          <w:szCs w:val="26"/>
        </w:rPr>
        <w:t xml:space="preserve">2.3 Conflict Data Integration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integration of conflict event data with social media analysis remains relatively rare in the literature. ACLED (Armed Conflict Location and Event Data) provides weekly-updated, geocoded conflict event data and has been used extensively in conflict studies. To our knowledge, no prior work has combined per-front ACLED data with politician-level Twitter framing analysis in a Granger causality framework.</w:t>
      </w:r>
    </w:p>
    <w:p>
      <w:pPr>
        <w:spacing w:after="0" w:before="240"/>
      </w:pPr>
      <w:r>
        <w:t xml:space="preserve"/>
      </w:r>
    </w:p>
    <w:p>
      <w:pPr>
        <w:pStyle w:val="Heading1"/>
        <w:spacing w:after="160" w:before="320"/>
      </w:pPr>
      <w:r>
        <w:rPr>
          <w:rFonts w:ascii="Arial" w:cs="Arial" w:eastAsia="Arial" w:hAnsi="Arial"/>
          <w:b/>
          <w:bCs/>
          <w:color w:val="2E4F7A"/>
          <w:sz w:val="28"/>
          <w:szCs w:val="28"/>
        </w:rPr>
        <w:t xml:space="preserve">3. Data</w:t>
      </w:r>
    </w:p>
    <w:p>
      <w:pPr>
        <w:pStyle w:val="Heading2"/>
        <w:spacing w:after="120" w:before="240"/>
      </w:pPr>
      <w:r>
        <w:rPr>
          <w:rFonts w:ascii="Arial" w:cs="Arial" w:eastAsia="Arial" w:hAnsi="Arial"/>
          <w:b/>
          <w:bCs/>
          <w:color w:val="2E4F7A"/>
          <w:sz w:val="26"/>
          <w:szCs w:val="26"/>
        </w:rPr>
        <w:t xml:space="preserve">3.1 Tweet Corpus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We collected original tweets (excluding retweets and replies) from five Israeli politicians using the X API v2 via Tweepy, covering March 4, 2024 to April 19, 2026. The date range reflects API availability constraints; the collection window captures the consolidation phase of the war including the Lebanon front escalation, the Iranian missile exchanges, and the Twelve-Day War ceasefire of June 2025.</w:t>
      </w:r>
    </w:p>
    <w:p>
      <w:pPr>
        <w:spacing w:after="0" w:before="80"/>
      </w:pPr>
      <w:r>
        <w:t xml:space="preserve"/>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860"/>
      </w:tblGrid>
      <w:tr>
        <w:trPr>
          <w:tblHeader/>
        </w:trPr>
        <w:tc>
          <w:tcPr>
            <w:tcW w:type="dxa" w:w="250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Politician</w:t>
            </w:r>
          </w:p>
        </w:tc>
        <w:tc>
          <w:tcPr>
            <w:tcW w:type="dxa" w:w="200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Party</w:t>
            </w:r>
          </w:p>
        </w:tc>
        <w:tc>
          <w:tcPr>
            <w:tcW w:type="dxa" w:w="250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Position</w:t>
            </w:r>
          </w:p>
        </w:tc>
        <w:tc>
          <w:tcPr>
            <w:tcW w:type="dxa" w:w="86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Tweets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Benjamin Netanyahu</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Likud</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Prime Minister</w:t>
            </w:r>
          </w:p>
        </w:tc>
        <w:tc>
          <w:tcPr>
            <w:tcW w:type="dxa" w:w="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722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Yair Lapid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Yesh Atid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Opposition Leader</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619</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Benny Gantz</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National Unity</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Opposition (former War Cabinet)</w:t>
            </w:r>
          </w:p>
        </w:tc>
        <w:tc>
          <w:tcPr>
            <w:tcW w:type="dxa" w:w="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740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Bezalel Smotrich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Religious Zionism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Finance Minister</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765</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Itamar Ben Gvir</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Otzma Yehudit</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National Security Minister</w:t>
            </w:r>
          </w:p>
        </w:tc>
        <w:tc>
          <w:tcPr>
            <w:tcW w:type="dxa" w:w="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643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3,489</w:t>
            </w:r>
          </w:p>
        </w:tc>
      </w:tr>
    </w:tbl>
    <w:p>
      <w:pPr>
        <w:spacing w:after="0" w:before="120"/>
      </w:pPr>
      <w:r>
        <w:t xml:space="preserve"/>
      </w:r>
    </w:p>
    <w:p>
      <w:pPr>
        <w:spacing w:after="160" w:before="0" w:line="276"/>
        <w:jc w:val="center"/>
      </w:pPr>
      <w:r>
        <w:rPr>
          <w:rFonts w:ascii="Times New Roman" w:cs="Times New Roman" w:eastAsia="Times New Roman" w:hAnsi="Times New Roman"/>
          <w:b w:val="false"/>
          <w:bCs w:val="false"/>
          <w:i/>
          <w:iCs/>
          <w:color w:val="000000"/>
          <w:sz w:val="24"/>
          <w:szCs w:val="24"/>
        </w:rPr>
        <w:t xml:space="preserve">Table 1: Tweet corpus composition by politician.</w:t>
      </w:r>
    </w:p>
    <w:p>
      <w:pPr>
        <w:spacing w:after="0" w:before="8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Tweets were collected in all languages (Hebrew and English) and cleaned by removing URLs, @mentions, and collapsing whitespace. 106 tweets with fewer than 20 characters after cleaning were retained as they were found to carry meaningful content upon manual inspection.</w:t>
      </w:r>
    </w:p>
    <w:p>
      <w:pPr>
        <w:spacing w:after="0" w:before="80"/>
      </w:pPr>
      <w:r>
        <w:t xml:space="preserve"/>
      </w:r>
    </w:p>
    <w:p>
      <w:pPr>
        <w:pStyle w:val="Heading2"/>
        <w:spacing w:after="120" w:before="240"/>
      </w:pPr>
      <w:r>
        <w:rPr>
          <w:rFonts w:ascii="Arial" w:cs="Arial" w:eastAsia="Arial" w:hAnsi="Arial"/>
          <w:b/>
          <w:bCs/>
          <w:color w:val="2E4F7A"/>
          <w:sz w:val="26"/>
          <w:szCs w:val="26"/>
        </w:rPr>
        <w:t xml:space="preserve">3.2 Conflict Event Data</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We obtained the ACLED Middle East aggregated dataset (updated through May 2, 2026), containing 147,190 rows of weekly conflict event counts, fatality counts, and population exposure metrics. We filtered to conflict-relevant event types (Explosions/Remote violence, Battles, Violence against civilians, Strategic developments) and extracted separate weekly timeseries for six fronts:</w:t>
      </w:r>
    </w:p>
    <w:p>
      <w:pPr>
        <w:pStyle w:val="ListParagraph"/>
        <w:numPr>
          <w:ilvl w:val="0"/>
          <w:numId w:val="2"/>
        </w:numPr>
        <w:spacing w:after="40" w:before="40" w:line="276"/>
      </w:pPr>
      <w:r>
        <w:rPr>
          <w:rFonts w:ascii="Times New Roman" w:cs="Times New Roman" w:eastAsia="Times New Roman" w:hAnsi="Times New Roman"/>
          <w:sz w:val="24"/>
          <w:szCs w:val="24"/>
        </w:rPr>
        <w:t xml:space="preserve">Gaza/Palestine — Hamas-Israel ground and air operations</w:t>
      </w:r>
    </w:p>
    <w:p>
      <w:pPr>
        <w:pStyle w:val="ListParagraph"/>
        <w:numPr>
          <w:ilvl w:val="0"/>
          <w:numId w:val="2"/>
        </w:numPr>
        <w:spacing w:after="40" w:before="40" w:line="276"/>
      </w:pPr>
      <w:r>
        <w:rPr>
          <w:rFonts w:ascii="Times New Roman" w:cs="Times New Roman" w:eastAsia="Times New Roman" w:hAnsi="Times New Roman"/>
          <w:sz w:val="24"/>
          <w:szCs w:val="24"/>
        </w:rPr>
        <w:t xml:space="preserve">Lebanon — Hezbollah-Israel exchanges</w:t>
      </w:r>
    </w:p>
    <w:p>
      <w:pPr>
        <w:pStyle w:val="ListParagraph"/>
        <w:numPr>
          <w:ilvl w:val="0"/>
          <w:numId w:val="2"/>
        </w:numPr>
        <w:spacing w:after="40" w:before="40" w:line="276"/>
      </w:pPr>
      <w:r>
        <w:rPr>
          <w:rFonts w:ascii="Times New Roman" w:cs="Times New Roman" w:eastAsia="Times New Roman" w:hAnsi="Times New Roman"/>
          <w:sz w:val="24"/>
          <w:szCs w:val="24"/>
        </w:rPr>
        <w:t xml:space="preserve">Syria — Israeli airstrikes on Iranian-backed proxies</w:t>
      </w:r>
    </w:p>
    <w:p>
      <w:pPr>
        <w:pStyle w:val="ListParagraph"/>
        <w:numPr>
          <w:ilvl w:val="0"/>
          <w:numId w:val="2"/>
        </w:numPr>
        <w:spacing w:after="40" w:before="40" w:line="276"/>
      </w:pPr>
      <w:r>
        <w:rPr>
          <w:rFonts w:ascii="Times New Roman" w:cs="Times New Roman" w:eastAsia="Times New Roman" w:hAnsi="Times New Roman"/>
          <w:sz w:val="24"/>
          <w:szCs w:val="24"/>
        </w:rPr>
        <w:t xml:space="preserve">Yemen — Houthi missile and drone attacks toward Israel</w:t>
      </w:r>
    </w:p>
    <w:p>
      <w:pPr>
        <w:pStyle w:val="ListParagraph"/>
        <w:numPr>
          <w:ilvl w:val="0"/>
          <w:numId w:val="2"/>
        </w:numPr>
        <w:spacing w:after="40" w:before="40" w:line="276"/>
      </w:pPr>
      <w:r>
        <w:rPr>
          <w:rFonts w:ascii="Times New Roman" w:cs="Times New Roman" w:eastAsia="Times New Roman" w:hAnsi="Times New Roman"/>
          <w:sz w:val="24"/>
          <w:szCs w:val="24"/>
        </w:rPr>
        <w:t xml:space="preserve">Iran — Direct missile exchanges (April 2024, October 2024, June 2025)</w:t>
      </w:r>
    </w:p>
    <w:p>
      <w:pPr>
        <w:pStyle w:val="ListParagraph"/>
        <w:numPr>
          <w:ilvl w:val="0"/>
          <w:numId w:val="2"/>
        </w:numPr>
        <w:spacing w:after="40" w:before="40" w:line="276"/>
      </w:pPr>
      <w:r>
        <w:rPr>
          <w:rFonts w:ascii="Times New Roman" w:cs="Times New Roman" w:eastAsia="Times New Roman" w:hAnsi="Times New Roman"/>
          <w:sz w:val="24"/>
          <w:szCs w:val="24"/>
        </w:rPr>
        <w:t xml:space="preserve">Israel — All incoming attacks on Israeli territory</w:t>
      </w:r>
    </w:p>
    <w:p>
      <w:pPr>
        <w:spacing w:after="0" w:before="240"/>
      </w:pPr>
      <w:r>
        <w:t xml:space="preserve"/>
      </w:r>
    </w:p>
    <w:p>
      <w:pPr>
        <w:pStyle w:val="Heading1"/>
        <w:spacing w:after="160" w:before="320"/>
      </w:pPr>
      <w:r>
        <w:rPr>
          <w:rFonts w:ascii="Arial" w:cs="Arial" w:eastAsia="Arial" w:hAnsi="Arial"/>
          <w:b/>
          <w:bCs/>
          <w:color w:val="2E4F7A"/>
          <w:sz w:val="28"/>
          <w:szCs w:val="28"/>
        </w:rPr>
        <w:t xml:space="preserve">4. Methodology</w:t>
      </w:r>
    </w:p>
    <w:p>
      <w:pPr>
        <w:pStyle w:val="Heading2"/>
        <w:spacing w:after="120" w:before="240"/>
      </w:pPr>
      <w:r>
        <w:rPr>
          <w:rFonts w:ascii="Arial" w:cs="Arial" w:eastAsia="Arial" w:hAnsi="Arial"/>
          <w:b/>
          <w:bCs/>
          <w:color w:val="2E4F7A"/>
          <w:sz w:val="26"/>
          <w:szCs w:val="26"/>
        </w:rPr>
        <w:t xml:space="preserve">4.1 LLM Annotation (Module 2)</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We used GPT-4o as an expert annotator to label each tweet for two dimensions. First, stance toward the war: support (endorsing or justifying the military operation), oppose (criticizing the war effort or government handling), or neutral (informational, ceremonial, or unrelated). Second, narrative frame: blame (assigning responsibility), hero (portraying actors as brave or righteous), threat (framing existential danger), hope (expressing positive future outcomes), victim (highlighting civilian or hostage suffering), or other.</w:t>
      </w:r>
    </w:p>
    <w:p>
      <w:pPr>
        <w:spacing w:after="0" w:before="8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We used zero-shot chain-of-thought prompting with a detailed system prompt specifying the multi-front context. Temperature was set to 0 for deterministic output. The annotation achieved a 0.1% error rate across 3,489 tweets. We validated annotation quality against a human expert annotator on a stratified sample of 50 English tweets, achieving Cohen's κ=0.762 for stance (substantial agreement) and κ=0.525 for frame (moderate agreement). For comparison, a VADER sentiment baseline achieved κ=-0.108 and 24% accuracy, confirming the inadequacy of dictionary-based tools for political discourse analysis.</w:t>
      </w:r>
    </w:p>
    <w:p>
      <w:pPr>
        <w:spacing w:after="0" w:before="80"/>
      </w:pPr>
      <w:r>
        <w:t xml:space="preserve"/>
      </w:r>
    </w:p>
    <w:p>
      <w:pPr>
        <w:pStyle w:val="Heading2"/>
        <w:spacing w:after="120" w:before="240"/>
      </w:pPr>
      <w:r>
        <w:rPr>
          <w:rFonts w:ascii="Arial" w:cs="Arial" w:eastAsia="Arial" w:hAnsi="Arial"/>
          <w:b/>
          <w:bCs/>
          <w:color w:val="2E4F7A"/>
          <w:sz w:val="26"/>
          <w:szCs w:val="26"/>
        </w:rPr>
        <w:t xml:space="preserve">4.2 Topic Modeling (Module 3)</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We applied BERTopic with a multilingual sentence transformer (paraphrase-multilingual-MiniLM-L12-v2) to identify latent topics in the corpus. The model was configured with min_topic_size=5 and nr_topics=10. Topics were labeled using GPT-4o on representative documents. Dynamic topic modeling tracked topic frequency over 20 time bins, revealing temporal shifts in political agenda.</w:t>
      </w:r>
    </w:p>
    <w:p>
      <w:pPr>
        <w:spacing w:after="0" w:before="80"/>
      </w:pPr>
      <w:r>
        <w:t xml:space="preserve"/>
      </w:r>
    </w:p>
    <w:p>
      <w:pPr>
        <w:pStyle w:val="Heading2"/>
        <w:spacing w:after="120" w:before="240"/>
      </w:pPr>
      <w:r>
        <w:rPr>
          <w:rFonts w:ascii="Arial" w:cs="Arial" w:eastAsia="Arial" w:hAnsi="Arial"/>
          <w:b/>
          <w:bCs/>
          <w:color w:val="2E4F7A"/>
          <w:sz w:val="26"/>
          <w:szCs w:val="26"/>
        </w:rPr>
        <w:t xml:space="preserve">4.3 Ideology Embedding (Module 3)</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We computed sentence embeddings for all tweets using the multilingual MiniLM model and averaged embeddings monthly per politician to produce a monthly ideology vector. PCA reduced these to 2D coordinates (PC1: 22.3% variance explained; PC2: 15.8%), enabling visualization of each politician’s discursive trajectory over time.</w:t>
      </w:r>
    </w:p>
    <w:p>
      <w:pPr>
        <w:spacing w:after="0" w:before="80"/>
      </w:pPr>
      <w:r>
        <w:t xml:space="preserve"/>
      </w:r>
    </w:p>
    <w:p>
      <w:pPr>
        <w:pStyle w:val="Heading2"/>
        <w:spacing w:after="120" w:before="240"/>
      </w:pPr>
      <w:r>
        <w:rPr>
          <w:rFonts w:ascii="Arial" w:cs="Arial" w:eastAsia="Arial" w:hAnsi="Arial"/>
          <w:b/>
          <w:bCs/>
          <w:color w:val="2E4F7A"/>
          <w:sz w:val="26"/>
          <w:szCs w:val="26"/>
        </w:rPr>
        <w:t xml:space="preserve">4.4 Correlation and Granger Causality (Modules 6–7)</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We constructed a master weekly dataframe merging politician framing percentages with per-front conflict event counts and fatalities. Pearson correlations were computed between all conflict variables and framing variables. For Granger causality testing, we first applied Augmented Dickey-Fuller tests to assess stationarity; non-stationary series were first-differenced. Granger causality tests were run bidirectionally (conflict → framing and framing → conflict) with maximum lag of 4 weeks, using the SSR F-test statistic.</w:t>
      </w:r>
    </w:p>
    <w:p>
      <w:pPr>
        <w:spacing w:after="0" w:before="240"/>
      </w:pPr>
      <w:r>
        <w:t xml:space="preserve"/>
      </w:r>
    </w:p>
    <w:p>
      <w:pPr>
        <w:pStyle w:val="Heading1"/>
        <w:spacing w:after="160" w:before="320"/>
      </w:pPr>
      <w:r>
        <w:rPr>
          <w:rFonts w:ascii="Arial" w:cs="Arial" w:eastAsia="Arial" w:hAnsi="Arial"/>
          <w:b/>
          <w:bCs/>
          <w:color w:val="2E4F7A"/>
          <w:sz w:val="28"/>
          <w:szCs w:val="28"/>
        </w:rPr>
        <w:t xml:space="preserve">5. Results</w:t>
      </w:r>
    </w:p>
    <w:p>
      <w:pPr>
        <w:pStyle w:val="Heading2"/>
        <w:spacing w:after="120" w:before="240"/>
      </w:pPr>
      <w:r>
        <w:rPr>
          <w:rFonts w:ascii="Arial" w:cs="Arial" w:eastAsia="Arial" w:hAnsi="Arial"/>
          <w:b/>
          <w:bCs/>
          <w:color w:val="2E4F7A"/>
          <w:sz w:val="26"/>
          <w:szCs w:val="26"/>
        </w:rPr>
        <w:t xml:space="preserve">5.1 Framing Patterns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Blame (32%) was the dominant narrative frame across the full corpus, followed by other (32%), hero (19%), threat (7%), hope (6%), and victim (4%). At the politician level, framing patterns diverge sharply along government-opposition lines.</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360"/>
      </w:tblGrid>
      <w:tr>
        <w:trPr>
          <w:tblHeader/>
        </w:trPr>
        <w:tc>
          <w:tcPr>
            <w:tcW w:type="dxa" w:w="200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Politician</w:t>
            </w:r>
          </w:p>
        </w:tc>
        <w:tc>
          <w:tcPr>
            <w:tcW w:type="dxa" w:w="140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Blame %</w:t>
            </w:r>
          </w:p>
        </w:tc>
        <w:tc>
          <w:tcPr>
            <w:tcW w:type="dxa" w:w="140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Hero %</w:t>
            </w:r>
          </w:p>
        </w:tc>
        <w:tc>
          <w:tcPr>
            <w:tcW w:type="dxa" w:w="140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Threat %</w:t>
            </w:r>
          </w:p>
        </w:tc>
        <w:tc>
          <w:tcPr>
            <w:tcW w:type="dxa" w:w="140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Hope %</w:t>
            </w:r>
          </w:p>
        </w:tc>
        <w:tc>
          <w:tcPr>
            <w:tcW w:type="dxa" w:w="136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Victim %</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Netanyahu</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11.8</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29.1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7.9</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7.1</w:t>
            </w:r>
          </w:p>
        </w:tc>
        <w:tc>
          <w:tcPr>
            <w:tcW w:type="dxa" w:w="1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3.7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Lapid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5.2</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Gantz</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42.4</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15.5</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9.6</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3.9</w:t>
            </w:r>
          </w:p>
        </w:tc>
        <w:tc>
          <w:tcPr>
            <w:tcW w:type="dxa" w:w="1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6.5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Smotrich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14.4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9.8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1.8</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Ben Gvir</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42.5</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21.0</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7.9</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2.5</w:t>
            </w:r>
          </w:p>
        </w:tc>
        <w:tc>
          <w:tcPr>
            <w:tcW w:type="dxa" w:w="1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4.2</w:t>
            </w:r>
          </w:p>
        </w:tc>
      </w:tr>
    </w:tbl>
    <w:p>
      <w:pPr>
        <w:spacing w:after="0" w:before="120"/>
      </w:pPr>
      <w:r>
        <w:t xml:space="preserve"/>
      </w:r>
    </w:p>
    <w:p>
      <w:pPr>
        <w:spacing w:after="160" w:before="0" w:line="276"/>
        <w:jc w:val="center"/>
      </w:pPr>
      <w:r>
        <w:rPr>
          <w:rFonts w:ascii="Times New Roman" w:cs="Times New Roman" w:eastAsia="Times New Roman" w:hAnsi="Times New Roman"/>
          <w:b w:val="false"/>
          <w:bCs w:val="false"/>
          <w:i/>
          <w:iCs/>
          <w:color w:val="000000"/>
          <w:sz w:val="24"/>
          <w:szCs w:val="24"/>
        </w:rPr>
        <w:t xml:space="preserve">Table 2: Frame distribution per politician (percentage of tweets, excluding 'other' frame).</w:t>
      </w:r>
    </w:p>
    <w:p>
      <w:pPr>
        <w:spacing w:after="0" w:before="8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Netanyahu’s dominant frame is hero (29.1%), consistent with a Prime Ministerial communication strategy emphasizing the righteousness and strength of the military response. Lapid, as opposition leader, employs blame framing at a strikingly high rate (55.3%), the highest in the corpus. Gantz and Ben Gvir share comparable blame rates (42.4% and 42.5% respectively), though for structurally different reasons: Gantz blames the government’s strategic failures, while Ben Gvir blames perceived insufficiency of military action.</w:t>
      </w:r>
    </w:p>
    <w:p>
      <w:pPr>
        <w:spacing w:after="0" w:before="80"/>
      </w:pPr>
      <w:r>
        <w:t xml:space="preserve"/>
      </w:r>
    </w:p>
    <w:p>
      <w:pPr>
        <w:pStyle w:val="Heading2"/>
        <w:spacing w:after="120" w:before="240"/>
      </w:pPr>
      <w:r>
        <w:rPr>
          <w:rFonts w:ascii="Arial" w:cs="Arial" w:eastAsia="Arial" w:hAnsi="Arial"/>
          <w:b/>
          <w:bCs/>
          <w:color w:val="2E4F7A"/>
          <w:sz w:val="26"/>
          <w:szCs w:val="26"/>
        </w:rPr>
        <w:t xml:space="preserve">5.2 Ideology Trajectories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PCA of monthly ideology embeddings reveals distinct discursive clusters. Ben Gvir occupies a consistently isolated region in negative PC2 space, confirming his unique discursive position relative to all other politicians. Netanyahu drifts significantly rightward on PC1 between 2024 and 2026, suggesting ideological convergence with coalition partners over time. Lapid’s trajectory is the tightest and most stable, reflecting disciplined opposition messaging. Gantz shows the widest and most volatile trajectory, consistent with his dramatic political movements including joining and leaving the war cabinet.</w:t>
      </w:r>
    </w:p>
    <w:p>
      <w:pPr>
        <w:spacing w:after="0" w:before="80"/>
      </w:pPr>
      <w:r>
        <w:t xml:space="preserve"/>
      </w:r>
    </w:p>
    <w:p>
      <w:pPr>
        <w:pStyle w:val="Heading2"/>
        <w:spacing w:after="120" w:before="240"/>
      </w:pPr>
      <w:r>
        <w:rPr>
          <w:rFonts w:ascii="Arial" w:cs="Arial" w:eastAsia="Arial" w:hAnsi="Arial"/>
          <w:b/>
          <w:bCs/>
          <w:color w:val="2E4F7A"/>
          <w:sz w:val="26"/>
          <w:szCs w:val="26"/>
        </w:rPr>
        <w:t xml:space="preserve">5.3 Correlation Analysis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Pearson correlations between per-front conflict variables and politician framing reveal several notable patterns. Lapid’s blame framing shows strong negative correlation with both Gaza fatalities (r=-0.69) and Gaza events (r=-0.66), suggesting that opposition politicians moderate attack framing during peak humanitarian crises. Ben Gvir’s blame framing is negatively correlated with Israel events (r=-0.51), indicating a shift away from blame toward other frames during high-intensity domestic conflict. Iran events show positive correlations with Netanyahu hero framing (r=0.42) and Lapid threat framing (r=0.46), while Ben Gvir hero framing correlates positively with Iran events (r=0.46).</w:t>
      </w:r>
    </w:p>
    <w:p>
      <w:pPr>
        <w:spacing w:after="0" w:before="80"/>
      </w:pPr>
      <w:r>
        <w:t xml:space="preserve"/>
      </w:r>
    </w:p>
    <w:p>
      <w:pPr>
        <w:pStyle w:val="Heading2"/>
        <w:spacing w:after="120" w:before="240"/>
      </w:pPr>
      <w:r>
        <w:rPr>
          <w:rFonts w:ascii="Arial" w:cs="Arial" w:eastAsia="Arial" w:hAnsi="Arial"/>
          <w:b/>
          <w:bCs/>
          <w:color w:val="2E4F7A"/>
          <w:sz w:val="26"/>
          <w:szCs w:val="26"/>
        </w:rPr>
        <w:t xml:space="preserve">5.4 Granger Causality</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Granger causality tests identified 44 significant relationships (p&lt;0.05) across all front-framing pairs. The dominant pattern is unidirectional: conflict events predict subsequent framing shifts. The Iran front is the primary driver of framing changes across all politicians.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200"/>
        <w:gridCol w:w="2960"/>
      </w:tblGrid>
      <w:tr>
        <w:trPr>
          <w:tblHeader/>
        </w:trPr>
        <w:tc>
          <w:tcPr>
            <w:tcW w:type="dxa" w:w="220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Conflict Variable</w:t>
            </w:r>
          </w:p>
        </w:tc>
        <w:tc>
          <w:tcPr>
            <w:tcW w:type="dxa" w:w="180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Framing Variable</w:t>
            </w:r>
          </w:p>
        </w:tc>
        <w:tc>
          <w:tcPr>
            <w:tcW w:type="dxa" w:w="120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p-value</w:t>
            </w:r>
          </w:p>
        </w:tc>
        <w:tc>
          <w:tcPr>
            <w:tcW w:type="dxa" w:w="120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Lag</w:t>
            </w:r>
          </w:p>
        </w:tc>
        <w:tc>
          <w:tcPr>
            <w:tcW w:type="dxa" w:w="2960"/>
            <w:tcBorders>
              <w:top w:val="single" w:color="2E4F7A" w:sz="4"/>
              <w:left w:val="single" w:color="2E4F7A" w:sz="4"/>
              <w:bottom w:val="single" w:color="2E4F7A" w:sz="4"/>
              <w:right w:val="single" w:color="2E4F7A" w:sz="4"/>
            </w:tcBorders>
            <w:shd w:fill="2E4F7A" w:val="clear"/>
            <w:tcMar>
              <w:top w:type="dxa" w:w="80"/>
              <w:left w:type="dxa" w:w="120"/>
              <w:bottom w:type="dxa" w:w="80"/>
              <w:right w:type="dxa" w:w="120"/>
            </w:tcMar>
          </w:tcPr>
          <w:p>
            <w:r>
              <w:rPr>
                <w:rFonts w:ascii="Arial" w:cs="Arial" w:eastAsia="Arial" w:hAnsi="Arial"/>
                <w:b/>
                <w:bCs/>
                <w:color w:val="FFFFFF"/>
                <w:sz w:val="22"/>
                <w:szCs w:val="22"/>
              </w:rPr>
              <w:t xml:space="preserve">Direction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Israel events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Gantz threat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0.000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2 weeks</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Conflict → Framing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Lebanon 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Gantz threat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 weeks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Conflict → Framing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Iran events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Netanyahu hero</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0.000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4 weeks</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Conflict → Framing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Iran 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Lapid threat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 weeks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Conflict → Framing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Iran fatalities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Lapid threat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0.000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2 weeks</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Conflict → Framing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BenGvir blame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Iran fatalities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0.011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 week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Framing → Conflict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Smotrich hero</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Iran events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0.001</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4 weeks</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Framing → Conflict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Lapid blame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Iran fatalities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0.022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 week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Framing → Conflict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Gantz threat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Syria fatalities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0.041</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1 week</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Times New Roman" w:cs="Times New Roman" w:eastAsia="Times New Roman" w:hAnsi="Times New Roman"/>
                <w:sz w:val="22"/>
                <w:szCs w:val="22"/>
              </w:rPr>
              <w:t xml:space="preserve">Framing → Conflict</w:t>
            </w:r>
          </w:p>
        </w:tc>
      </w:tr>
    </w:tbl>
    <w:p>
      <w:pPr>
        <w:spacing w:after="0" w:before="120"/>
      </w:pPr>
      <w:r>
        <w:t xml:space="preserve"/>
      </w:r>
    </w:p>
    <w:p>
      <w:pPr>
        <w:spacing w:after="160" w:before="0" w:line="276"/>
        <w:jc w:val="center"/>
      </w:pPr>
      <w:r>
        <w:rPr>
          <w:rFonts w:ascii="Times New Roman" w:cs="Times New Roman" w:eastAsia="Times New Roman" w:hAnsi="Times New Roman"/>
          <w:b w:val="false"/>
          <w:bCs w:val="false"/>
          <w:i/>
          <w:iCs/>
          <w:color w:val="000000"/>
          <w:sz w:val="24"/>
          <w:szCs w:val="24"/>
        </w:rPr>
        <w:t xml:space="preserve">Table 3: Selected significant Granger causality results (p&lt;0.05).</w:t>
      </w:r>
    </w:p>
    <w:p>
      <w:pPr>
        <w:spacing w:after="0" w:before="8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Opposition politicians (Gantz, Lapid) respond to conflict events within 1–2 weeks, while Netanyahu’s hero framing responds on a 4-week lag, suggesting a more deliberate, strategic communication rhythm for the governing Prime Minister. The fastest responder is Gantz, whose threat framing reacts to Israel and Lebanon events within 2 weeks consistently.</w:t>
      </w:r>
    </w:p>
    <w:p>
      <w:pPr>
        <w:spacing w:after="0" w:before="8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Most strikingly, we identify a bidirectional relationship on the Iran front. Ben Gvir’s blame framing (p=0.011, lag 1w), Smotrich’s hero framing (p=0.001, lag 4w), and Lapid’s blame framing (p=0.022, lag 1w) all Granger-cause subsequent Iran conflict events. This suggests that political discourse — particularly from far-right politicians — may serve as a leading indicator of Iran-front escalation.</w:t>
      </w:r>
    </w:p>
    <w:p>
      <w:pPr>
        <w:spacing w:after="0" w:before="240"/>
      </w:pPr>
      <w:r>
        <w:t xml:space="preserve"/>
      </w:r>
    </w:p>
    <w:p>
      <w:pPr>
        <w:pStyle w:val="Heading1"/>
        <w:spacing w:after="160" w:before="320"/>
      </w:pPr>
      <w:r>
        <w:rPr>
          <w:rFonts w:ascii="Arial" w:cs="Arial" w:eastAsia="Arial" w:hAnsi="Arial"/>
          <w:b/>
          <w:bCs/>
          <w:color w:val="2E4F7A"/>
          <w:sz w:val="28"/>
          <w:szCs w:val="28"/>
        </w:rPr>
        <w:t xml:space="preserve">6. Discussion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Our findings reveal a coherent picture of how Israeli politicians adapt their narrative framing in response to a live multi-front war. The dominant unidirectional Granger causality (conflict → framing) confirms that politicians are primarily reactive communicators: conflict events drive discourse shifts rather than politicians shaping conflict through their messaging. This is consistent with prior findings on political agenda-setting during crises.</w:t>
      </w:r>
    </w:p>
    <w:p>
      <w:pPr>
        <w:spacing w:after="0" w:before="8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government-opposition framing divide is sharp and consistent. Netanyahu’s hero framing and Lapid’s blame framing represent opposing communication strategies that remain stable across the entire 25-month window, with the exception of the Iran front where both shift toward threat framing. This suggests that the Iran front — unlike Gaza or Lebanon — temporarily collapsed the government-opposition framing divide, producing convergent threat discourse.</w:t>
      </w:r>
    </w:p>
    <w:p>
      <w:pPr>
        <w:spacing w:after="0" w:before="8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bidirectional Granger causality on the Iran front is the most theoretically significant finding. The fact that Ben Gvir and Smotrich’s framing predicts subsequent Iran conflict events warrants careful interpretation. Three possible explanations exist: (1) far-right politicians have informational access to impending military operations and adjust framing in anticipation; (2) far-right political pressure on the government influences decision-making that leads to escalation; or (3) the relationship is spurious, driven by a shared underlying variable such as intelligence assessments that drive both political rhetoric and military action simultaneously. Disentangling these explanations requires data beyond the scope of this study.</w:t>
      </w:r>
    </w:p>
    <w:p>
      <w:pPr>
        <w:spacing w:after="0" w:before="8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Lapid’s negative correlation with Gaza fatalities (r=-0.69) is also noteworthy. Rather than escalating blame framing when casualties are highest, Lapid moderates it. This may reflect a political calculation to avoid appearing opportunistic during humanitarian crises, or a genuine rhetorical shift toward victim framing during peak suffering.</w:t>
      </w:r>
    </w:p>
    <w:p>
      <w:pPr>
        <w:spacing w:after="0" w:before="80"/>
      </w:pPr>
      <w:r>
        <w:t xml:space="preserve"/>
      </w:r>
    </w:p>
    <w:p>
      <w:pPr>
        <w:pStyle w:val="Heading2"/>
        <w:spacing w:after="120" w:before="240"/>
      </w:pPr>
      <w:r>
        <w:rPr>
          <w:rFonts w:ascii="Arial" w:cs="Arial" w:eastAsia="Arial" w:hAnsi="Arial"/>
          <w:b/>
          <w:bCs/>
          <w:color w:val="2E4F7A"/>
          <w:sz w:val="26"/>
          <w:szCs w:val="26"/>
        </w:rPr>
        <w:t xml:space="preserve">6.1 Limitations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Several limitations warrant acknowledgment. First, the tweet corpus begins in March 2024 rather than October 7, 2023, due to X API availability constraints at time of collection, missing the initial and arguably most volatile months of the conflict. Future work should supplement with archived datasets covering the October 2023 – March 2024 period. Second, ACLED conflict variables are aggregated at the country level within each front and do not distinguish between sub-types of events (e.g., airstrikes vs. ground battles). Third, frame inter-annotator agreement is moderate (κ=0.525), reflecting inherent ambiguity in frame boundary definitions, particularly between hero and threat frames. Fourth, Granger causality establishes predictive precedence but not structural causation; the bidirectional Iran findings should be treated as hypothesis-generating rather than confirmatory.</w:t>
      </w:r>
    </w:p>
    <w:p>
      <w:pPr>
        <w:spacing w:after="0" w:before="240"/>
      </w:pPr>
      <w:r>
        <w:t xml:space="preserve"/>
      </w:r>
    </w:p>
    <w:p>
      <w:pPr>
        <w:pStyle w:val="Heading1"/>
        <w:spacing w:after="160" w:before="320"/>
      </w:pPr>
      <w:r>
        <w:rPr>
          <w:rFonts w:ascii="Arial" w:cs="Arial" w:eastAsia="Arial" w:hAnsi="Arial"/>
          <w:b/>
          <w:bCs/>
          <w:color w:val="2E4F7A"/>
          <w:sz w:val="28"/>
          <w:szCs w:val="28"/>
        </w:rPr>
        <w:t xml:space="preserve">7. Conclusion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This paper presents the first computational study integrating Israeli politician Twitter framing with per-front conflict event data across the multi-front war initiated on October 7, 2023. Our pipeline — combining GPT-4o annotation, BERTopic dynamic topic modeling, PCA ideology embedding, Pearson correlation, and Granger causality testing — yields a rich characterization of how political discourse and military conflict interact.</w:t>
      </w:r>
    </w:p>
    <w:p>
      <w:pPr>
        <w:spacing w:after="0" w:before="8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central finding is that conflict drives framing, not the reverse — with the notable exception of the Iran front, where far-right political discourse appears to precede escalation. Opposition politicians respond within 1–2 weeks; the Prime Minister on a 4-week lag. The blame frame dominates opposition discourse; the hero frame dominates governing discourse. Ben Gvir occupies a unique and isolated discursive space from all other politicians throughout the study period.</w:t>
      </w:r>
    </w:p>
    <w:p>
      <w:pPr>
        <w:spacing w:after="0" w:before="8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Future work should extend the corpus to October 2023 using alternative data sources, disaggregate ACLED conflict data by event subtype, and apply front-specific framing models to examine whether different fronts elicit qualitatively distinct rhetorical strategies. The bidirectional Iran causality finding in particular merits replication and deeper causal investigation.</w:t>
      </w:r>
    </w:p>
    <w:p>
      <w:pPr>
        <w:spacing w:after="0" w:before="240"/>
      </w:pPr>
      <w:r>
        <w:t xml:space="preserve"/>
      </w:r>
    </w:p>
    <w:p>
      <w:pPr>
        <w:pStyle w:val="Heading1"/>
        <w:spacing w:after="160" w:before="320"/>
      </w:pPr>
      <w:r>
        <w:rPr>
          <w:rFonts w:ascii="Arial" w:cs="Arial" w:eastAsia="Arial" w:hAnsi="Arial"/>
          <w:b/>
          <w:bCs/>
          <w:color w:val="2E4F7A"/>
          <w:sz w:val="28"/>
          <w:szCs w:val="28"/>
        </w:rPr>
        <w:t xml:space="preserve">References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ACLED. (2026). Armed Conflict Location and Event Data: Middle East Dataset. acleddata.com</w:t>
      </w:r>
    </w:p>
    <w:p>
      <w:pPr>
        <w:spacing w:after="0" w:before="4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Entman, R. M. (1993). Framing: Toward clarification of a fractured paradigm. Journal of Communication, 43(4), 51–58.</w:t>
      </w:r>
    </w:p>
    <w:p>
      <w:pPr>
        <w:spacing w:after="0" w:before="4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Gilardi, F., Abe, M., &amp; Kubli, M. (2023). ChatGPT outperforms crowd workers for text-annotation tasks. Proceedings of the National Academy of Sciences, 120(30).</w:t>
      </w:r>
    </w:p>
    <w:p>
      <w:pPr>
        <w:spacing w:after="0" w:before="4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Goffman, E. (1974). Frame analysis: An essay on the organization of experience. Harvard University Press.</w:t>
      </w:r>
    </w:p>
    <w:p>
      <w:pPr>
        <w:spacing w:after="0" w:before="4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Grootendorst, M. (2022). BERTopic: Neural topic modeling with a class-based TF-IDF procedure. arXiv preprint arXiv:2203.05794.</w:t>
      </w:r>
    </w:p>
    <w:p>
      <w:pPr>
        <w:spacing w:after="0" w:before="4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Hutto, C. J., &amp; Gilbert, E. (2014). VADER: A parsimonious rule-based model for sentiment analysis of social media text. ICWSM, 8(1), 216–225.</w:t>
      </w:r>
    </w:p>
    <w:p>
      <w:pPr>
        <w:spacing w:after="0" w:before="4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Nguyen, D. Q., Vu, T., &amp; Nguyen, A. T. (2020). BERTweet: A pre-trained language model for English tweets. EMNLP 2020.</w:t>
      </w:r>
    </w:p>
    <w:p>
      <w:pPr>
        <w:spacing w:after="0" w:before="4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OpenAI. (2024). GPT-4o technical report. openai.com</w:t>
      </w:r>
    </w:p>
    <w:p>
      <w:pPr>
        <w:spacing w:after="0" w:before="40"/>
      </w:pPr>
      <w:r>
        <w:t xml:space="preserve"/>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Reimers, N., &amp; Gurevych, I. (2019). Sentence-BERT: Sentence embeddings using Siamese BERT-networks. EMNLP 2019.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0"/>
        <w:szCs w:val="20"/>
      </w:rPr>
      <w:t xml:space="preserve">Page </w:t>
    </w:r>
    <w:r>
      <w:rPr>
        <w:rFonts w:ascii="Arial" w:cs="Arial" w:eastAsia="Arial" w:hAnsi="Arial"/>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F7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F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2026-05-19T18:34:06.781Z</dcterms:created>
  <dcterms:modified xsi:type="dcterms:W3CDTF">2026-05-19T18:34:06.796Z</dcterms:modified>
</cp:coreProperties>
</file>

<file path=docProps/custom.xml><?xml version="1.0" encoding="utf-8"?>
<Properties xmlns="http://schemas.openxmlformats.org/officeDocument/2006/custom-properties" xmlns:vt="http://schemas.openxmlformats.org/officeDocument/2006/docPropsVTypes"/>
</file>