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center"/>
      </w:pPr>
      <w:r>
        <w:rPr>
          <w:rFonts w:ascii="Calibri" w:hAnsi="Calibri" w:eastAsia="黑体"/>
          <w:b/>
          <w:color w:val="0B2545"/>
          <w:sz w:val="40"/>
        </w:rPr>
        <w:t>方法与实验部分</w:t>
      </w:r>
    </w:p>
    <w:p>
      <w:pPr>
        <w:spacing w:after="360"/>
        <w:jc w:val="center"/>
      </w:pPr>
      <w:r>
        <w:rPr>
          <w:rFonts w:ascii="Calibri" w:hAnsi="Calibri" w:eastAsia="宋体"/>
          <w:color w:val="6B7280"/>
          <w:sz w:val="20"/>
        </w:rPr>
        <w:t>大型多线换乘站整体应急疏散</w:t>
      </w:r>
    </w:p>
    <w:p>
      <w:pPr>
        <w:pStyle w:val="Heading1"/>
        <w:keepNext/>
      </w:pPr>
      <w:r>
        <w:rPr>
          <w:rFonts w:ascii="Calibri" w:hAnsi="Calibri" w:eastAsia="黑体"/>
          <w:b/>
          <w:color w:val="2E74B5"/>
          <w:sz w:val="32"/>
        </w:rPr>
        <w:t>提出的模型</w:t>
      </w:r>
    </w:p>
    <w:p>
      <w:pPr>
        <w:pStyle w:val="Heading2"/>
        <w:keepNext/>
      </w:pPr>
      <w:r>
        <w:rPr>
          <w:rFonts w:ascii="Calibri" w:hAnsi="Calibri" w:eastAsia="黑体"/>
          <w:b/>
          <w:color w:val="2E74B5"/>
          <w:sz w:val="26"/>
        </w:rPr>
        <w:t>站内疏散网络与共享设施容量耦合模型</w:t>
      </w:r>
    </w:p>
    <w:p>
      <w:pPr>
        <w:pStyle w:val="Heading3"/>
        <w:keepNext/>
      </w:pPr>
      <w:r>
        <w:rPr>
          <w:rFonts w:ascii="Calibri" w:hAnsi="Calibri" w:eastAsia="黑体"/>
          <w:b/>
          <w:color w:val="1F4D78"/>
          <w:sz w:val="24"/>
        </w:rPr>
        <w:t>问题定义</w:t>
      </w:r>
    </w:p>
    <w:p>
      <w:pPr>
        <w:ind w:firstLine="432"/>
        <w:jc w:val="both"/>
      </w:pPr>
      <w:r>
        <w:rPr>
          <w:rFonts w:ascii="Calibri" w:hAnsi="Calibri" w:eastAsia="宋体"/>
          <w:sz w:val="22"/>
        </w:rPr>
        <w:t>本文研究大型多线换乘站中的整体应急疏散问题。与只根据空间距离为乘客分配出口的静态路径组织不同，本文将乘客的移动路径和楼梯、扶梯、换乘通道、闸机及出入口等有限通行设施的服务过程放在同一个疏散模型中描述。</w:t>
      </w:r>
    </w:p>
    <w:p>
      <w:pPr>
        <w:ind w:firstLine="432"/>
        <w:jc w:val="both"/>
      </w:pPr>
      <w:r>
        <w:rPr>
          <w:rFonts w:ascii="Calibri" w:hAnsi="Calibri" w:eastAsia="宋体"/>
          <w:sz w:val="22"/>
        </w:rPr>
        <w:t>在五线换乘站内，来自不同线路站台、站厅和换乘方向的客流可能先后或同时进入同一设施。某条路线在几何上能够到达出口，并不意味着该路线上的乘客能够在预计时刻获得设施服务并进入下游空间。因此，模型需要解决的不是单独的最短路径问题，而是：在多源客流持续进入的情况下，如何根据客流到达设施时的服务负荷组织可执行路径，并在实际容量约束下完成整体疏散。</w:t>
      </w:r>
    </w:p>
    <w:p>
      <w:pPr>
        <w:pStyle w:val="Heading3"/>
        <w:keepNext/>
      </w:pPr>
      <w:r>
        <w:rPr>
          <w:rFonts w:ascii="Calibri" w:hAnsi="Calibri" w:eastAsia="黑体"/>
          <w:b/>
          <w:color w:val="1F4D78"/>
          <w:sz w:val="24"/>
        </w:rPr>
        <w:t>站内网络表示</w:t>
      </w:r>
    </w:p>
    <w:p>
      <w:pPr>
        <w:ind w:firstLine="432"/>
        <w:jc w:val="both"/>
      </w:pPr>
      <w:r>
        <w:rPr>
          <w:rFonts w:ascii="Calibri" w:hAnsi="Calibri" w:eastAsia="宋体"/>
          <w:sz w:val="22"/>
        </w:rPr>
        <w:t>将龙阳路站的站台、站厅、换乘连接、垂向设施、闸机、出口前区域和出入口抽象为有向图</w:t>
      </w:r>
    </w:p>
    <w:p>
      <w:pPr>
        <w:pStyle w:val="Equation"/>
        <w:keepLines/>
        <w:jc w:val="center"/>
      </w:pPr>
      <w:r>
        <w:rPr>
          <w:rFonts w:ascii="Cambria Math" w:hAnsi="Cambria Math" w:eastAsia="宋体"/>
          <w:sz w:val="22"/>
        </w:rPr>
        <w:t>G=(V,E),</w:t>
      </w:r>
    </w:p>
    <w:p>
      <w:pPr>
        <w:ind w:firstLine="432"/>
        <w:jc w:val="both"/>
      </w:pPr>
      <w:r>
        <w:rPr>
          <w:rFonts w:ascii="Calibri" w:hAnsi="Calibri" w:eastAsia="宋体"/>
          <w:sz w:val="22"/>
        </w:rPr>
        <w:t>其中，节点集合 V 表示站台等待区、列车门区、站厅、换乘连接节点、楼梯或扶梯入口、闸机、出口前连接区及出入口；边集合 E 表示相邻空间或设施之间的有向移动关系。每条边 e∈ E 包含长度 l_e、宽度或等效宽度 w_e、边类型、行进方向、所属区域和物理资源标识等属性。</w:t>
      </w:r>
    </w:p>
    <w:p>
      <w:pPr>
        <w:ind w:firstLine="432"/>
        <w:jc w:val="both"/>
      </w:pPr>
      <w:r>
        <w:rPr>
          <w:rFonts w:ascii="Calibri" w:hAnsi="Calibri" w:eastAsia="宋体"/>
          <w:sz w:val="22"/>
        </w:rPr>
        <w:t>对于具有独立通行能力的设施，建立边到共享资源的映射</w:t>
      </w:r>
    </w:p>
    <w:p>
      <w:pPr>
        <w:pStyle w:val="Equation"/>
        <w:keepLines/>
        <w:jc w:val="center"/>
      </w:pPr>
      <w:r>
        <w:rPr>
          <w:rFonts w:ascii="Cambria Math" w:hAnsi="Cambria Math" w:eastAsia="宋体"/>
          <w:sz w:val="22"/>
        </w:rPr>
        <w:t>ρ:E→ R,</w:t>
      </w:r>
    </w:p>
    <w:p>
      <w:pPr>
        <w:ind w:firstLine="432"/>
        <w:jc w:val="both"/>
      </w:pPr>
      <w:r>
        <w:rPr>
          <w:rFonts w:ascii="Calibri" w:hAnsi="Calibri" w:eastAsia="宋体"/>
          <w:sz w:val="22"/>
        </w:rPr>
        <w:t>其中 R 为有限通行设施资源集合。映射到同一资源 r∈ R 的多条上游边共同使用该资源的服务能力。例如，多个上游节点连接到同一楼梯入口时，不能分别为每条边计算一份独立楼梯容量，而应在资源层面对进入请求进行统一分配。该处理使站台客流、站厅客流和跨线换乘客流在共享设施上的竞争能够被显式记录。</w:t>
      </w:r>
    </w:p>
    <w:p>
      <w:pPr>
        <w:pStyle w:val="Heading3"/>
        <w:keepNext/>
      </w:pPr>
      <w:r>
        <w:rPr>
          <w:rFonts w:ascii="Calibri" w:hAnsi="Calibri" w:eastAsia="黑体"/>
          <w:b/>
          <w:color w:val="1F4D78"/>
          <w:sz w:val="24"/>
        </w:rPr>
        <w:t>设施服务容量与下游接收约束</w:t>
      </w:r>
    </w:p>
    <w:p>
      <w:pPr>
        <w:ind w:firstLine="432"/>
        <w:jc w:val="both"/>
      </w:pPr>
      <w:r>
        <w:rPr>
          <w:rFonts w:ascii="Calibri" w:hAnsi="Calibri" w:eastAsia="宋体"/>
          <w:sz w:val="22"/>
        </w:rPr>
        <w:t>设资源 r 的服务率为 μ_r，仿真时间步长为 Δ t，上一时间步未使用的容量余量为 ξ_r(t)，则时间步 t 内资源能够释放的整数容量表示为</w:t>
      </w:r>
    </w:p>
    <w:p>
      <w:pPr>
        <w:pStyle w:val="Equation"/>
        <w:keepLines/>
        <w:jc w:val="center"/>
      </w:pPr>
      <w:r>
        <w:rPr>
          <w:rFonts w:ascii="Cambria Math" w:hAnsi="Cambria Math" w:eastAsia="宋体"/>
          <w:sz w:val="22"/>
        </w:rPr>
        <w:t>C_r(t)=⌊ μ_rΔ t+ξ_r(t)⌋ .</w:t>
      </w:r>
    </w:p>
    <w:p>
      <w:pPr>
        <w:ind w:firstLine="432"/>
        <w:jc w:val="both"/>
      </w:pPr>
      <w:r>
        <w:rPr>
          <w:rFonts w:ascii="Calibri" w:hAnsi="Calibri" w:eastAsia="宋体"/>
          <w:sz w:val="22"/>
        </w:rPr>
        <w:t>释放容量扣除后保留新的余量。若多个上游节点同时向资源 r 发送移动请求，所有请求先汇总到资源层，再按照整数容量进行分配。未被接受的请求不能被路径搜索结果直接视为已经通过，而应继续留在上游等待状态或资源队列中。</w:t>
      </w:r>
    </w:p>
    <w:p>
      <w:pPr>
        <w:ind w:firstLine="432"/>
        <w:jc w:val="both"/>
      </w:pPr>
      <w:r>
        <w:rPr>
          <w:rFonts w:ascii="Calibri" w:hAnsi="Calibri" w:eastAsia="宋体"/>
          <w:sz w:val="22"/>
        </w:rPr>
        <w:t>设施服务能力还受到下游空间接收条件的约束。设节点 v 的当前占用人数为 N_v(t)，在当前时间步被允许进入该节点的人数为 y_v(t)，节点接收上限为 N̄_v，则需要满足</w:t>
      </w:r>
    </w:p>
    <w:p>
      <w:pPr>
        <w:pStyle w:val="Equation"/>
        <w:keepLines/>
        <w:jc w:val="center"/>
      </w:pPr>
      <w:r>
        <w:rPr>
          <w:rFonts w:ascii="Cambria Math" w:hAnsi="Cambria Math" w:eastAsia="宋体"/>
          <w:sz w:val="22"/>
        </w:rPr>
        <w:t>N_v(t)+y_v(t)≤ N̄_v.</w:t>
      </w:r>
    </w:p>
    <w:p>
      <w:pPr>
        <w:ind w:firstLine="432"/>
        <w:jc w:val="both"/>
      </w:pPr>
      <w:r>
        <w:rPr>
          <w:rFonts w:ascii="Calibri" w:hAnsi="Calibri" w:eastAsia="宋体"/>
          <w:sz w:val="22"/>
        </w:rPr>
        <w:t>因此，路径层产生的是“希望进入某条边或某项设施”的移动请求，执行层还要根据资源剩余容量、目标节点占用和边内空间状态决定实际接受人数。路径可达性与实际通行量由此被区分开来。</w:t>
      </w:r>
    </w:p>
    <w:p>
      <w:pPr>
        <w:pStyle w:val="Heading3"/>
        <w:keepNext/>
      </w:pPr>
      <w:r>
        <w:rPr>
          <w:rFonts w:ascii="Calibri" w:hAnsi="Calibri" w:eastAsia="黑体"/>
          <w:b/>
          <w:color w:val="1F4D78"/>
          <w:sz w:val="24"/>
        </w:rPr>
        <w:t>物理移动时间与速度—密度关系</w:t>
      </w:r>
    </w:p>
    <w:p>
      <w:pPr>
        <w:ind w:firstLine="432"/>
        <w:jc w:val="both"/>
      </w:pPr>
      <w:r>
        <w:rPr>
          <w:rFonts w:ascii="Calibri" w:hAnsi="Calibri" w:eastAsia="宋体"/>
          <w:sz w:val="22"/>
        </w:rPr>
        <w:t>对于具有实际空间长度的移动边，根据边内客流密度计算物理行走速度。本文采用分段速度—密度关系：</w:t>
      </w:r>
    </w:p>
    <w:p>
      <w:pPr>
        <w:pStyle w:val="Equation"/>
        <w:keepLines/>
        <w:jc w:val="center"/>
      </w:pPr>
      <w:r>
        <w:rPr>
          <w:rFonts w:ascii="Cambria Math" w:hAnsi="Cambria Math" w:eastAsia="宋体"/>
          <w:sz w:val="22"/>
        </w:rPr>
        <w:t>v(k)= v_f, k≤ k_f; max(v_f-ak,0), k_f&lt;k&lt;k_j; 0, k≥ k_j</w:t>
      </w:r>
    </w:p>
    <w:p>
      <w:pPr>
        <w:ind w:firstLine="432"/>
        <w:jc w:val="both"/>
      </w:pPr>
      <w:r>
        <w:rPr>
          <w:rFonts w:ascii="Calibri" w:hAnsi="Calibri" w:eastAsia="宋体"/>
          <w:sz w:val="22"/>
        </w:rPr>
        <w:t>其中，k 为边内客流密度，v_f 为自由流速度，k_f 为自由流密度阈值，a 为速度下降斜率，k_j 为拥挤密度上限。边 e 在时刻 t 的物理行走时间为</w:t>
      </w:r>
    </w:p>
    <w:p>
      <w:pPr>
        <w:pStyle w:val="Equation"/>
        <w:keepLines/>
        <w:jc w:val="center"/>
      </w:pPr>
      <w:r>
        <w:rPr>
          <w:rFonts w:ascii="Cambria Math" w:hAnsi="Cambria Math" w:eastAsia="宋体"/>
          <w:sz w:val="22"/>
        </w:rPr>
        <w:t>τ_e(t)=(l_e)/(v(k_e(t))).</w:t>
      </w:r>
    </w:p>
    <w:p>
      <w:pPr>
        <w:ind w:firstLine="432"/>
        <w:jc w:val="both"/>
      </w:pPr>
      <w:r>
        <w:rPr>
          <w:rFonts w:ascii="Calibri" w:hAnsi="Calibri" w:eastAsia="宋体"/>
          <w:sz w:val="22"/>
        </w:rPr>
        <w:t>模型采用 v_f=1.427 m/s、k_f=0.2 p/m²、a=0.3549 m²/(p· s)、k_j=4.0 p/m²，以及 3.0 p/m² 的高密度判定阈值。上述参数分别属于速度—密度关系的复现参数或模型判定参数，不作为龙阳路站实测值使用。楼梯、扶梯等设施的速度上限属于模型设定，除非有正式测量或运营资料支撑，不将其表述为车站官方数据。</w:t>
      </w:r>
    </w:p>
    <w:p>
      <w:pPr>
        <w:ind w:firstLine="432"/>
        <w:jc w:val="both"/>
      </w:pPr>
      <w:r>
        <w:rPr>
          <w:rFonts w:ascii="Calibri" w:hAnsi="Calibri" w:eastAsia="宋体"/>
          <w:sz w:val="22"/>
        </w:rPr>
        <w:t>需要特别区分的是，设施排队人数、边内占用人数和空间密度不是同一个状态变量。排队人数用于描述服务尚未释放的需求，边内占用和节点占用用于描述空间接收状态。将排队人数直接折算成下游密度会重复计算拥堵，因此本文在执行层分别记录资源队列和空间阻塞。</w:t>
      </w:r>
    </w:p>
    <w:p>
      <w:pPr>
        <w:pStyle w:val="Heading2"/>
        <w:keepNext/>
      </w:pPr>
      <w:r>
        <w:rPr>
          <w:rFonts w:ascii="Calibri" w:hAnsi="Calibri" w:eastAsia="黑体"/>
          <w:b/>
          <w:color w:val="2E74B5"/>
          <w:sz w:val="26"/>
        </w:rPr>
        <w:t>面向设施到达时刻的队列预测与动态路径组织模型</w:t>
      </w:r>
    </w:p>
    <w:p>
      <w:pPr>
        <w:ind w:firstLine="432"/>
        <w:jc w:val="both"/>
      </w:pPr>
      <w:r>
        <w:rPr>
          <w:rFonts w:ascii="Calibri" w:hAnsi="Calibri" w:eastAsia="宋体"/>
          <w:sz w:val="22"/>
        </w:rPr>
        <w:t>为使路径评价能够反映客流到达设施时的实际服务负荷，本文根据客流批次的预计到达时刻和已确定的设施服务事件，构造确定性的设施到达状态预测。该模块将客流当前可观测的设施状态转换为其预计到达设施时可能面对的服务状态。</w:t>
      </w:r>
    </w:p>
    <w:p>
      <w:pPr>
        <w:pStyle w:val="Heading3"/>
        <w:keepNext/>
      </w:pPr>
      <w:r>
        <w:rPr>
          <w:rFonts w:ascii="Calibri" w:hAnsi="Calibri" w:eastAsia="黑体"/>
          <w:b/>
          <w:color w:val="1F4D78"/>
          <w:sz w:val="24"/>
        </w:rPr>
        <w:t>多源客流与自然到达批次</w:t>
      </w:r>
    </w:p>
    <w:p>
      <w:pPr>
        <w:ind w:firstLine="432"/>
        <w:jc w:val="both"/>
      </w:pPr>
      <w:r>
        <w:rPr>
          <w:rFonts w:ascii="Calibri" w:hAnsi="Calibri" w:eastAsia="宋体"/>
          <w:sz w:val="22"/>
        </w:rPr>
        <w:t>客流不被简化为同一时刻从同一起点出发的总人数，而是由来源组和自然到达批次共同表示。一个批次记为</w:t>
      </w:r>
    </w:p>
    <w:p>
      <w:pPr>
        <w:pStyle w:val="Equation"/>
        <w:keepLines/>
        <w:jc w:val="center"/>
      </w:pPr>
      <w:r>
        <w:rPr>
          <w:rFonts w:ascii="Cambria Math" w:hAnsi="Cambria Math" w:eastAsia="宋体"/>
          <w:sz w:val="22"/>
        </w:rPr>
        <w:t>b=(g,n,x,t_0,P,r,t_q),</w:t>
      </w:r>
    </w:p>
    <w:p>
      <w:pPr>
        <w:ind w:firstLine="432"/>
        <w:jc w:val="both"/>
      </w:pPr>
      <w:r>
        <w:rPr>
          <w:rFonts w:ascii="Calibri" w:hAnsi="Calibri" w:eastAsia="宋体"/>
          <w:sz w:val="22"/>
        </w:rPr>
        <w:t>其中，g 为来源组，n 为批次人数，x 为当前节点，t_0 为该批次可以进行路径决策的时间，P 为当前路径，r 为已选择的共享设施资源，t_q 为进入资源队列的时间。来源组用于区分不同线路站台客流、站厅客流、列车到达客流和跨线换乘客流，并保留换乘方向及其在站内网络中的起点。</w:t>
      </w:r>
    </w:p>
    <w:p>
      <w:pPr>
        <w:ind w:firstLine="432"/>
        <w:jc w:val="both"/>
      </w:pPr>
      <w:r>
        <w:rPr>
          <w:rFonts w:ascii="Calibri" w:hAnsi="Calibri" w:eastAsia="宋体"/>
          <w:sz w:val="22"/>
        </w:rPr>
        <w:t>在同一仿真时间步内，批次按照预计到达时间、来源组、当前节点和批次编号的确定性顺序处理。批次完成路径选择后，其整数人数和预计到达时间立即登记为资源到达事件，使后续批次能够看到本轮已经作出的设施使用承诺。尚未形成明确路径的需求、浮点预留人数和未被接受的移动请求不进入确定性预测队列，避免对同一客流重复计数。</w:t>
      </w:r>
    </w:p>
    <w:p>
      <w:pPr>
        <w:pStyle w:val="Heading3"/>
        <w:keepNext/>
      </w:pPr>
      <w:r>
        <w:rPr>
          <w:rFonts w:ascii="Calibri" w:hAnsi="Calibri" w:eastAsia="黑体"/>
          <w:b/>
          <w:color w:val="1F4D78"/>
          <w:sz w:val="24"/>
        </w:rPr>
        <w:t>设施到达时的队列预测</w:t>
      </w:r>
    </w:p>
    <w:p>
      <w:pPr>
        <w:ind w:firstLine="432"/>
        <w:jc w:val="both"/>
      </w:pPr>
      <w:r>
        <w:rPr>
          <w:rFonts w:ascii="Calibri" w:hAnsi="Calibri" w:eastAsia="宋体"/>
          <w:sz w:val="22"/>
        </w:rPr>
        <w:t>设资源 r 的当前实际队列为 Q_r(t)，候选批次预计在时刻 η 进入该资源。预测队列由当前实际队列、尚未消耗资源入口容量的在途到达事件，以及本轮此前已经完成路径分配的整数批次共同构成。用队列演化算子表示为</w:t>
      </w:r>
    </w:p>
    <w:p>
      <w:pPr>
        <w:pStyle w:val="Equation"/>
        <w:keepLines/>
        <w:jc w:val="center"/>
      </w:pPr>
      <w:r>
        <w:rPr>
          <w:rFonts w:ascii="Cambria Math" w:hAnsi="Cambria Math" w:eastAsia="宋体"/>
          <w:sz w:val="22"/>
        </w:rPr>
        <w:t>Q̂_r(η)=Q(Q_r(t),(η_j,n_j)| η_j≤η,μ_r),</w:t>
      </w:r>
    </w:p>
    <w:p>
      <w:pPr>
        <w:ind w:firstLine="432"/>
        <w:jc w:val="both"/>
      </w:pPr>
      <w:r>
        <w:rPr>
          <w:rFonts w:ascii="Calibri" w:hAnsi="Calibri" w:eastAsia="宋体"/>
          <w:sz w:val="22"/>
        </w:rPr>
        <w:t>其中，Q(·) 按时间推进资源服务、扣减已释放容量，并在相应到达事件发生时加入批次人数。</w:t>
      </w:r>
    </w:p>
    <w:p>
      <w:pPr>
        <w:ind w:firstLine="432"/>
        <w:jc w:val="both"/>
      </w:pPr>
      <w:r>
        <w:rPr>
          <w:rFonts w:ascii="Calibri" w:hAnsi="Calibri" w:eastAsia="宋体"/>
          <w:sz w:val="22"/>
        </w:rPr>
        <w:t>若 μ_r&gt;0，候选批次到达资源 r 时因已有需求产生的预计等待时间为</w:t>
      </w:r>
    </w:p>
    <w:p>
      <w:pPr>
        <w:pStyle w:val="Equation"/>
        <w:keepLines/>
        <w:jc w:val="center"/>
      </w:pPr>
      <w:r>
        <w:rPr>
          <w:rFonts w:ascii="Cambria Math" w:hAnsi="Cambria Math" w:eastAsia="宋体"/>
          <w:sz w:val="22"/>
        </w:rPr>
        <w:t>W_r(η)=(Q̂_r(η))/(μ_r).</w:t>
      </w:r>
    </w:p>
    <w:p>
      <w:pPr>
        <w:ind w:firstLine="432"/>
        <w:jc w:val="both"/>
      </w:pPr>
      <w:r>
        <w:rPr>
          <w:rFonts w:ascii="Calibri" w:hAnsi="Calibri" w:eastAsia="宋体"/>
          <w:sz w:val="22"/>
        </w:rPr>
        <w:t>该等待时间不是当前时刻队列长度的静态换算，而是面向候选批次未来到达时刻的队列状态估计。它使路径前段的行走时间、前序设施等待和后续共享设施服务负荷能够连续传递到后续决策。</w:t>
      </w:r>
    </w:p>
    <w:p>
      <w:pPr>
        <w:pStyle w:val="Heading3"/>
        <w:keepNext/>
      </w:pPr>
      <w:r>
        <w:rPr>
          <w:rFonts w:ascii="Calibri" w:hAnsi="Calibri" w:eastAsia="黑体"/>
          <w:b/>
          <w:color w:val="1F4D78"/>
          <w:sz w:val="24"/>
        </w:rPr>
        <w:t>时间依赖路径评价</w:t>
      </w:r>
    </w:p>
    <w:p>
      <w:pPr>
        <w:ind w:firstLine="432"/>
        <w:jc w:val="both"/>
      </w:pPr>
      <w:r>
        <w:rPr>
          <w:rFonts w:ascii="Calibri" w:hAnsi="Calibri" w:eastAsia="宋体"/>
          <w:sz w:val="22"/>
        </w:rPr>
        <w:t>对于批次 b 的候选路径 P=(e_1,e_2,...,e_m)，设其在第 i 条边或设施上的预计进入时间为 η_i，则路径评价函数写为</w:t>
      </w:r>
    </w:p>
    <w:p>
      <w:pPr>
        <w:pStyle w:val="Equation"/>
        <w:keepLines/>
        <w:jc w:val="center"/>
      </w:pPr>
      <w:r>
        <w:rPr>
          <w:rFonts w:ascii="Cambria Math" w:hAnsi="Cambria Math" w:eastAsia="宋体"/>
          <w:sz w:val="22"/>
        </w:rPr>
        <w:t>J(P| b)=Σ [τ_e_i(η_i)+W_r_i(η_i)+S_r_i(n_b)+W^sp_e_i(η_i)],</w:t>
      </w:r>
    </w:p>
    <w:p>
      <w:pPr>
        <w:ind w:firstLine="432"/>
        <w:jc w:val="both"/>
      </w:pPr>
      <w:r>
        <w:rPr>
          <w:rFonts w:ascii="Calibri" w:hAnsi="Calibri" w:eastAsia="宋体"/>
          <w:sz w:val="22"/>
        </w:rPr>
        <w:t>其中，τ_e_i 为物理行走时间，W_r_i 为批次到达资源时的预计队列等待，S_r_i(n_b) 为当前批次占用资源的服务时间，W^sp_e_i 为目标节点存储或下游空间接收不足造成的预计等待。本文将批次服务时间表示为</w:t>
      </w:r>
    </w:p>
    <w:p>
      <w:pPr>
        <w:pStyle w:val="Equation"/>
        <w:keepLines/>
        <w:jc w:val="center"/>
      </w:pPr>
      <w:r>
        <w:rPr>
          <w:rFonts w:ascii="Cambria Math" w:hAnsi="Cambria Math" w:eastAsia="宋体"/>
          <w:sz w:val="22"/>
        </w:rPr>
        <w:t>S_r_i(n_b)=(n_b)/(2μ_r_i).</w:t>
      </w:r>
    </w:p>
    <w:p>
      <w:pPr>
        <w:ind w:firstLine="432"/>
        <w:jc w:val="both"/>
      </w:pPr>
      <w:r>
        <w:rPr>
          <w:rFonts w:ascii="Calibri" w:hAnsi="Calibri" w:eastAsia="宋体"/>
          <w:sz w:val="22"/>
        </w:rPr>
        <w:t>每一段的行走时间和等待时间都会更新后续边的预计进入时刻，因此路径评价的是整条路径上的累计到达状态，而不是分别比较每条边在当前时刻的局部代价。</w:t>
      </w:r>
    </w:p>
    <w:p>
      <w:pPr>
        <w:pStyle w:val="Heading3"/>
        <w:keepNext/>
      </w:pPr>
      <w:r>
        <w:rPr>
          <w:rFonts w:ascii="Calibri" w:hAnsi="Calibri" w:eastAsia="黑体"/>
          <w:b/>
          <w:color w:val="1F4D78"/>
          <w:sz w:val="24"/>
        </w:rPr>
        <w:t>动态改路条件</w:t>
      </w:r>
    </w:p>
    <w:p>
      <w:pPr>
        <w:ind w:firstLine="432"/>
        <w:jc w:val="both"/>
      </w:pPr>
      <w:r>
        <w:rPr>
          <w:rFonts w:ascii="Calibri" w:hAnsi="Calibri" w:eastAsia="宋体"/>
          <w:sz w:val="22"/>
        </w:rPr>
        <w:t>动态组织并不意味着乘客在移动过程中可以随时改变方向。本文只对仍处于明确决策阶段、尚未进入在途执行队列的批次重新评估路径；已经进入在途执行的批次继续完成已经承诺的边。</w:t>
      </w:r>
    </w:p>
    <w:p>
      <w:pPr>
        <w:ind w:firstLine="432"/>
        <w:jc w:val="both"/>
      </w:pPr>
      <w:r>
        <w:rPr>
          <w:rFonts w:ascii="Calibri" w:hAnsi="Calibri" w:eastAsia="宋体"/>
          <w:sz w:val="22"/>
        </w:rPr>
        <w:t>对于允许重评估的批次，设保留原路径的剩余成本为 C_stay，候选路径的成本为 C_switch，相对收益为</w:t>
      </w:r>
    </w:p>
    <w:p>
      <w:pPr>
        <w:pStyle w:val="Equation"/>
        <w:keepLines/>
        <w:jc w:val="center"/>
      </w:pPr>
      <w:r>
        <w:rPr>
          <w:rFonts w:ascii="Cambria Math" w:hAnsi="Cambria Math" w:eastAsia="宋体"/>
          <w:sz w:val="22"/>
        </w:rPr>
        <w:t>R=(C_stay-C_switch)/(C_stay).</w:t>
      </w:r>
    </w:p>
    <w:p>
      <w:pPr>
        <w:ind w:firstLine="432"/>
        <w:jc w:val="both"/>
      </w:pPr>
      <w:r>
        <w:rPr>
          <w:rFonts w:ascii="Calibri" w:hAnsi="Calibri" w:eastAsia="宋体"/>
          <w:sz w:val="22"/>
        </w:rPr>
        <w:t>只有在候选路径有效、下一跳确实发生变化、批次仍处于允许决策阶段、C_switch&lt;C_stay，并且 R&gt;g_min 时才接受改路。当前 Mode 4 使用的 g_min=0.20 是本项目的场景防摆动设定，不将其表述为外部校准得到的通用参数。</w:t>
      </w:r>
    </w:p>
    <w:p>
      <w:pPr>
        <w:pStyle w:val="Heading2"/>
        <w:keepNext/>
      </w:pPr>
      <w:r>
        <w:rPr>
          <w:rFonts w:ascii="Calibri" w:hAnsi="Calibri" w:eastAsia="黑体"/>
          <w:b/>
          <w:color w:val="2E74B5"/>
          <w:sz w:val="26"/>
        </w:rPr>
        <w:t>车站疏散效果综合评价方法</w:t>
      </w:r>
    </w:p>
    <w:p>
      <w:pPr>
        <w:ind w:firstLine="432"/>
        <w:jc w:val="both"/>
      </w:pPr>
      <w:r>
        <w:rPr>
          <w:rFonts w:ascii="Calibri" w:hAnsi="Calibri" w:eastAsia="宋体"/>
          <w:sz w:val="22"/>
        </w:rPr>
        <w:t>为全面评价路径组织对整体疏散过程的影响，本文按照“整体疏散效率—共享设施瓶颈—来源组组织效果—跨尺度一致性”建立评价体系，不预先假定某一个出口均衡指标一定改善。</w:t>
      </w:r>
    </w:p>
    <w:p>
      <w:pPr>
        <w:pStyle w:val="Heading3"/>
        <w:keepNext/>
      </w:pPr>
      <w:r>
        <w:rPr>
          <w:rFonts w:ascii="Calibri" w:hAnsi="Calibri" w:eastAsia="黑体"/>
          <w:b/>
          <w:color w:val="1F4D78"/>
          <w:sz w:val="24"/>
        </w:rPr>
        <w:t>整体疏散效率</w:t>
      </w:r>
    </w:p>
    <w:p>
      <w:pPr>
        <w:ind w:firstLine="432"/>
        <w:jc w:val="both"/>
      </w:pPr>
      <w:r>
        <w:rPr>
          <w:rFonts w:ascii="Calibri" w:hAnsi="Calibri" w:eastAsia="宋体"/>
          <w:sz w:val="22"/>
        </w:rPr>
        <w:t>采用达到指定疏散比例的时间描述整体清空过程，包括 T_95、T_99 和 T_100。其中，T_100 为最后一名目标乘客完成疏散的时间，T_95 和 T_99 用于识别尾部客流的清空延误。</w:t>
      </w:r>
    </w:p>
    <w:p>
      <w:pPr>
        <w:ind w:firstLine="432"/>
        <w:jc w:val="both"/>
      </w:pPr>
      <w:r>
        <w:rPr>
          <w:rFonts w:ascii="Calibri" w:hAnsi="Calibri" w:eastAsia="宋体"/>
          <w:sz w:val="22"/>
        </w:rPr>
        <w:t>累计停滞人秒定义为</w:t>
      </w:r>
    </w:p>
    <w:p>
      <w:pPr>
        <w:pStyle w:val="Equation"/>
        <w:keepLines/>
        <w:jc w:val="center"/>
      </w:pPr>
      <w:r>
        <w:rPr>
          <w:rFonts w:ascii="Cambria Math" w:hAnsi="Cambria Math" w:eastAsia="宋体"/>
          <w:sz w:val="22"/>
        </w:rPr>
        <w:t>I_stat=∫_0^T_100N_stat(t) dt,</w:t>
      </w:r>
    </w:p>
    <w:p>
      <w:pPr>
        <w:ind w:firstLine="432"/>
        <w:jc w:val="both"/>
      </w:pPr>
      <w:r>
        <w:rPr>
          <w:rFonts w:ascii="Calibri" w:hAnsi="Calibri" w:eastAsia="宋体"/>
          <w:sz w:val="22"/>
        </w:rPr>
        <w:t>其中 N_stat(t) 表示时刻 t 处于停滞或等待状态的乘客数。结果同时报告人均停滞时间、平均移动时间、平均总疏散时间和总移动距离。资源队列人秒作为设施诊断指标单独报告，不与整体停滞人秒重复相加。</w:t>
      </w:r>
    </w:p>
    <w:p>
      <w:pPr>
        <w:pStyle w:val="Heading3"/>
        <w:keepNext/>
      </w:pPr>
      <w:r>
        <w:rPr>
          <w:rFonts w:ascii="Calibri" w:hAnsi="Calibri" w:eastAsia="黑体"/>
          <w:b/>
          <w:color w:val="1F4D78"/>
          <w:sz w:val="24"/>
        </w:rPr>
        <w:t>关键设施拥堵和负荷分配</w:t>
      </w:r>
    </w:p>
    <w:p>
      <w:pPr>
        <w:ind w:firstLine="432"/>
        <w:jc w:val="both"/>
      </w:pPr>
      <w:r>
        <w:rPr>
          <w:rFonts w:ascii="Calibri" w:hAnsi="Calibri" w:eastAsia="宋体"/>
          <w:sz w:val="22"/>
        </w:rPr>
        <w:t>对每个有限服务资源报告累计通过人数、峰值队列、队列人秒、首次排队时间、最后排队时间、利用率和最大预计等待。对关键楼梯、换乘通道和闸机的负荷分布采用 Jain 指数：</w:t>
      </w:r>
    </w:p>
    <w:p>
      <w:pPr>
        <w:pStyle w:val="Equation"/>
        <w:keepLines/>
        <w:jc w:val="center"/>
      </w:pPr>
      <w:r>
        <w:rPr>
          <w:rFonts w:ascii="Cambria Math" w:hAnsi="Cambria Math" w:eastAsia="宋体"/>
          <w:sz w:val="22"/>
        </w:rPr>
        <w:t>J(x)=((Σx_i)²)/(nΣx_i²).</w:t>
      </w:r>
    </w:p>
    <w:p>
      <w:pPr>
        <w:ind w:firstLine="432"/>
        <w:jc w:val="both"/>
      </w:pPr>
      <w:r>
        <w:rPr>
          <w:rFonts w:ascii="Calibri" w:hAnsi="Calibri" w:eastAsia="宋体"/>
          <w:sz w:val="22"/>
        </w:rPr>
        <w:t>关键设施 Jain 指数用于判断客流是否过度集中于少数共享设施；出口 Jain 指数仅作为辅助诊断，不将其改善预设为路径组织方法必然产生的效果。设施负荷是否改善，必须与队列人秒、峰值队列和整体尾部时间共同解释。</w:t>
      </w:r>
    </w:p>
    <w:p>
      <w:pPr>
        <w:pStyle w:val="Heading3"/>
        <w:keepNext/>
      </w:pPr>
      <w:r>
        <w:rPr>
          <w:rFonts w:ascii="Calibri" w:hAnsi="Calibri" w:eastAsia="黑体"/>
          <w:b/>
          <w:color w:val="1F4D78"/>
          <w:sz w:val="24"/>
        </w:rPr>
        <w:t>线路、客流来源与换乘客流指标</w:t>
      </w:r>
    </w:p>
    <w:p>
      <w:pPr>
        <w:ind w:firstLine="432"/>
        <w:jc w:val="both"/>
      </w:pPr>
      <w:r>
        <w:rPr>
          <w:rFonts w:ascii="Calibri" w:hAnsi="Calibri" w:eastAsia="宋体"/>
          <w:sz w:val="22"/>
        </w:rPr>
        <w:t>本文仍以全站整体疏散指标作为主要评价对象，同时按线路、站台、站厅和换乘来源报告 T_95、清空时间、设施通过量、出口分配和路径分配。换乘客流不是另一个独立的疏散问题，而是大型换乘站中解释共享设施竞争的重要客流来源。来源组结果用于回答：换乘客流与其他线路客流在哪些设施上汇聚，路径组织改变是否改变了这些客流的到达时段和等待分布。</w:t>
      </w:r>
    </w:p>
    <w:p>
      <w:pPr>
        <w:pStyle w:val="Heading1"/>
        <w:keepNext/>
      </w:pPr>
      <w:r>
        <w:rPr>
          <w:rFonts w:ascii="Calibri" w:hAnsi="Calibri" w:eastAsia="黑体"/>
          <w:b/>
          <w:color w:val="2E74B5"/>
          <w:sz w:val="32"/>
        </w:rPr>
        <w:t>动态路径组织模型的求解方法</w:t>
      </w:r>
    </w:p>
    <w:p>
      <w:pPr>
        <w:pStyle w:val="Heading2"/>
        <w:keepNext/>
      </w:pPr>
      <w:r>
        <w:rPr>
          <w:rFonts w:ascii="Calibri" w:hAnsi="Calibri" w:eastAsia="黑体"/>
          <w:b/>
          <w:color w:val="2E74B5"/>
          <w:sz w:val="26"/>
        </w:rPr>
        <w:t>时间依赖路径模型的可执行化转换</w:t>
      </w:r>
    </w:p>
    <w:p>
      <w:pPr>
        <w:ind w:firstLine="432"/>
        <w:jc w:val="both"/>
      </w:pPr>
      <w:r>
        <w:rPr>
          <w:rFonts w:ascii="Calibri" w:hAnsi="Calibri" w:eastAsia="宋体"/>
          <w:sz w:val="22"/>
        </w:rPr>
        <w:t>本文不存在需要进行鲁棒对偶化的半无限规划模型，因此将设施到达状态预测转换为可执行的时间依赖路径决策，并进一步说明其搜索状态、标签筛选和执行约束。</w:t>
      </w:r>
    </w:p>
    <w:p>
      <w:pPr>
        <w:pStyle w:val="Heading3"/>
        <w:keepNext/>
      </w:pPr>
      <w:r>
        <w:rPr>
          <w:rFonts w:ascii="Calibri" w:hAnsi="Calibri" w:eastAsia="黑体"/>
          <w:b/>
          <w:color w:val="1F4D78"/>
          <w:sz w:val="24"/>
        </w:rPr>
        <w:t>时间依赖搜索状态</w:t>
      </w:r>
    </w:p>
    <w:p>
      <w:pPr>
        <w:ind w:firstLine="432"/>
        <w:jc w:val="both"/>
      </w:pPr>
      <w:r>
        <w:rPr>
          <w:rFonts w:ascii="Calibri" w:hAnsi="Calibri" w:eastAsia="宋体"/>
          <w:sz w:val="22"/>
        </w:rPr>
        <w:t>对批次 b，路径搜索标签至少包含当前节点 v、累计到达时间 η、累计路径代价 g、预计资源状态、已使用路径节点和前驱信息，表示为</w:t>
      </w:r>
    </w:p>
    <w:p>
      <w:pPr>
        <w:pStyle w:val="Equation"/>
        <w:keepLines/>
        <w:jc w:val="center"/>
      </w:pPr>
      <w:r>
        <w:rPr>
          <w:rFonts w:ascii="Cambria Math" w:hAnsi="Cambria Math" w:eastAsia="宋体"/>
          <w:sz w:val="22"/>
        </w:rPr>
        <w:t>L=(v,η,g,Q,P,π).</w:t>
      </w:r>
    </w:p>
    <w:p>
      <w:pPr>
        <w:ind w:firstLine="432"/>
        <w:jc w:val="both"/>
      </w:pPr>
      <w:r>
        <w:rPr>
          <w:rFonts w:ascii="Calibri" w:hAnsi="Calibri" w:eastAsia="宋体"/>
          <w:sz w:val="22"/>
        </w:rPr>
        <w:t>当标签从节点 u 沿边 e=(u,v) 转移时，先根据边内密度计算物理行走时间，再查询资源 r=ρ(e) 在预计进入时刻的队列状态，得到新的到达时刻</w:t>
      </w:r>
    </w:p>
    <w:p>
      <w:pPr>
        <w:pStyle w:val="Equation"/>
        <w:keepLines/>
        <w:jc w:val="center"/>
      </w:pPr>
      <w:r>
        <w:rPr>
          <w:rFonts w:ascii="Cambria Math" w:hAnsi="Cambria Math" w:eastAsia="宋体"/>
          <w:sz w:val="22"/>
        </w:rPr>
        <w:t>η'=η+τ_e(η)+W_r(η)+S_r(n_b)+W^sp_e(η),</w:t>
      </w:r>
    </w:p>
    <w:p>
      <w:pPr>
        <w:ind w:firstLine="432"/>
        <w:jc w:val="both"/>
      </w:pPr>
      <w:r>
        <w:rPr>
          <w:rFonts w:ascii="Calibri" w:hAnsi="Calibri" w:eastAsia="宋体"/>
          <w:sz w:val="22"/>
        </w:rPr>
        <w:t>并将相应代价累加到 g。静态自由流距离只用于构造搜索下界，不能替代资源到达时刻的动态队列评价。</w:t>
      </w:r>
    </w:p>
    <w:p>
      <w:pPr>
        <w:pStyle w:val="Heading3"/>
        <w:keepNext/>
      </w:pPr>
      <w:r>
        <w:rPr>
          <w:rFonts w:ascii="Calibri" w:hAnsi="Calibri" w:eastAsia="黑体"/>
          <w:b/>
          <w:color w:val="1F4D78"/>
          <w:sz w:val="24"/>
        </w:rPr>
        <w:t>标签筛选和可行性约束</w:t>
      </w:r>
    </w:p>
    <w:p>
      <w:pPr>
        <w:ind w:firstLine="432"/>
        <w:jc w:val="both"/>
      </w:pPr>
      <w:r>
        <w:rPr>
          <w:rFonts w:ascii="Calibri" w:hAnsi="Calibri" w:eastAsia="宋体"/>
          <w:sz w:val="22"/>
        </w:rPr>
        <w:t>若两个标签到达同一节点，其中一个标签在累计时间、累计代价、资源等待和路径可行性方面均不优于另一个标签，则将其删除。对存在不同到达时刻或不同资源使用历史的标签予以保留，以避免把未来队列状态不同的路径错误合并为一个静态节点状态。</w:t>
      </w:r>
    </w:p>
    <w:p>
      <w:pPr>
        <w:ind w:firstLine="432"/>
        <w:jc w:val="both"/>
      </w:pPr>
      <w:r>
        <w:rPr>
          <w:rFonts w:ascii="Calibri" w:hAnsi="Calibri" w:eastAsia="宋体"/>
          <w:sz w:val="22"/>
        </w:rPr>
        <w:t>搜索过程中同时检查路径回环、目标节点接收能力、设施方向和资源服务条件。搜索得到的路径只是批次的候选移动组织方案，不能绕过后续执行层直接产生实际通行人数。</w:t>
      </w:r>
    </w:p>
    <w:p>
      <w:pPr>
        <w:pStyle w:val="Heading3"/>
        <w:keepNext/>
      </w:pPr>
      <w:r>
        <w:rPr>
          <w:rFonts w:ascii="Calibri" w:hAnsi="Calibri" w:eastAsia="黑体"/>
          <w:b/>
          <w:color w:val="1F4D78"/>
          <w:sz w:val="24"/>
        </w:rPr>
        <w:t>对照方法与正式方法</w:t>
      </w:r>
    </w:p>
    <w:p>
      <w:pPr>
        <w:ind w:firstLine="432"/>
        <w:jc w:val="both"/>
      </w:pPr>
      <w:r>
        <w:rPr>
          <w:rFonts w:ascii="Calibri" w:hAnsi="Calibri" w:eastAsia="宋体"/>
          <w:sz w:val="22"/>
        </w:rPr>
        <w:t>ImprovedAStar 使用当前正式代码中的路径代价和速度—密度关系，在给定网络状态下计算客流到出口的路径，不使用 AA 的未来资源到达事件索引、批次级预计队列和动态改路机制。它是计算对照方法，不是龙阳路站现实中已经存在的官方疏散方案。</w:t>
      </w:r>
    </w:p>
    <w:p>
      <w:pPr>
        <w:ind w:firstLine="432"/>
        <w:jc w:val="both"/>
      </w:pPr>
      <w:r>
        <w:rPr>
          <w:rFonts w:ascii="Calibri" w:hAnsi="Calibri" w:eastAsia="宋体"/>
          <w:sz w:val="22"/>
        </w:rPr>
        <w:t>AdaptiveQueueAwareAStar（以下简称 AA）使用上述时间依赖搜索，根据批次预计到达共享设施时的队列和空间接收状态评价候选路径，并在满足改路条件时更新尚未进入在途执行的批次。两种方法的差异限定在路径评价、未来队列使用和路径更新机制，不改变同一客流输入下的设施容量与物理执行规则。</w:t>
      </w:r>
    </w:p>
    <w:p>
      <w:pPr>
        <w:pStyle w:val="Heading2"/>
        <w:keepNext/>
      </w:pPr>
      <w:r>
        <w:rPr>
          <w:rFonts w:ascii="Calibri" w:hAnsi="Calibri" w:eastAsia="黑体"/>
          <w:b/>
          <w:color w:val="2E74B5"/>
          <w:sz w:val="26"/>
        </w:rPr>
        <w:t>模型求解与疏散执行流程</w:t>
      </w:r>
    </w:p>
    <w:p>
      <w:pPr>
        <w:ind w:firstLine="432"/>
        <w:jc w:val="both"/>
      </w:pPr>
      <w:r>
        <w:rPr>
          <w:rFonts w:ascii="Calibri" w:hAnsi="Calibri" w:eastAsia="宋体"/>
          <w:sz w:val="22"/>
        </w:rPr>
        <w:t>每个仿真时间步按照“状态释放—批次决策—容量执行—状态更新”的顺序推进：</w:t>
      </w:r>
    </w:p>
    <w:p>
      <w:pPr>
        <w:pStyle w:val="ListNumber"/>
        <w:jc w:val="both"/>
      </w:pPr>
      <w:r>
        <w:rPr>
          <w:rFonts w:ascii="Calibri" w:hAnsi="Calibri" w:eastAsia="宋体"/>
          <w:sz w:val="22"/>
        </w:rPr>
        <w:t>释放已经到达的在途客流，更新节点占用、边内人数和实际资源队列；</w:t>
      </w:r>
    </w:p>
    <w:p>
      <w:pPr>
        <w:pStyle w:val="ListNumber"/>
        <w:jc w:val="both"/>
      </w:pPr>
      <w:r>
        <w:rPr>
          <w:rFonts w:ascii="Calibri" w:hAnsi="Calibri" w:eastAsia="宋体"/>
          <w:sz w:val="22"/>
        </w:rPr>
        <w:t>根据自然到达时刻生成客流批次，并按预计到达时间、来源组和批次编号确定处理顺序；</w:t>
      </w:r>
    </w:p>
    <w:p>
      <w:pPr>
        <w:pStyle w:val="ListNumber"/>
        <w:jc w:val="both"/>
      </w:pPr>
      <w:r>
        <w:rPr>
          <w:rFonts w:ascii="Calibri" w:hAnsi="Calibri" w:eastAsia="宋体"/>
          <w:sz w:val="22"/>
        </w:rPr>
        <w:t>对每个可决策批次调用相应路径方法，计算候选路径的累计预计到达时间和资源队列等待；</w:t>
      </w:r>
    </w:p>
    <w:p>
      <w:pPr>
        <w:pStyle w:val="ListNumber"/>
        <w:jc w:val="both"/>
      </w:pPr>
      <w:r>
        <w:rPr>
          <w:rFonts w:ascii="Calibri" w:hAnsi="Calibri" w:eastAsia="宋体"/>
          <w:sz w:val="22"/>
        </w:rPr>
        <w:t>将本轮已经完成路径分配的整数批次登记为确定的资源到达事件，使后续批次使用更新后的未来队列；</w:t>
      </w:r>
    </w:p>
    <w:p>
      <w:pPr>
        <w:pStyle w:val="ListNumber"/>
        <w:jc w:val="both"/>
      </w:pPr>
      <w:r>
        <w:rPr>
          <w:rFonts w:ascii="Calibri" w:hAnsi="Calibri" w:eastAsia="宋体"/>
          <w:sz w:val="22"/>
        </w:rPr>
        <w:t>汇总不同上游节点对同一共享资源的移动请求，按照统一的整数容量分配规则接受或拒绝请求；</w:t>
      </w:r>
    </w:p>
    <w:p>
      <w:pPr>
        <w:pStyle w:val="ListNumber"/>
        <w:jc w:val="both"/>
      </w:pPr>
      <w:r>
        <w:rPr>
          <w:rFonts w:ascii="Calibri" w:hAnsi="Calibri" w:eastAsia="宋体"/>
          <w:sz w:val="22"/>
        </w:rPr>
        <w:t>对目标节点存储、边内密度和空间回溢条件进行二次检查，将未接受人数保留在上游等待状态；</w:t>
      </w:r>
    </w:p>
    <w:p>
      <w:pPr>
        <w:pStyle w:val="ListNumber"/>
        <w:jc w:val="both"/>
      </w:pPr>
      <w:r>
        <w:rPr>
          <w:rFonts w:ascii="Calibri" w:hAnsi="Calibri" w:eastAsia="宋体"/>
          <w:sz w:val="22"/>
        </w:rPr>
        <w:t>记录整体疏散、资源队列、设施负荷、来源组流量和路径变更事件；</w:t>
      </w:r>
    </w:p>
    <w:p>
      <w:pPr>
        <w:pStyle w:val="ListNumber"/>
        <w:jc w:val="both"/>
      </w:pPr>
      <w:r>
        <w:rPr>
          <w:rFonts w:ascii="Calibri" w:hAnsi="Calibri" w:eastAsia="宋体"/>
          <w:sz w:val="22"/>
        </w:rPr>
        <w:t>对仍处于允许决策阶段的批次进入下一轮重评估。</w:t>
      </w:r>
    </w:p>
    <w:p>
      <w:pPr>
        <w:ind w:firstLine="432"/>
        <w:jc w:val="both"/>
      </w:pPr>
      <w:r>
        <w:rPr>
          <w:rFonts w:ascii="Calibri" w:hAnsi="Calibri" w:eastAsia="宋体"/>
          <w:sz w:val="22"/>
        </w:rPr>
        <w:t>ImprovedAStar 和 AA 完全共用这一执行流程。路径搜索不直接释放楼梯、扶梯、闸机或出口容量，只有执行层接受的移动请求才计入实际疏散过程。该设置保证两种方法之间的比较反映路径组织差异，而不是不同的物理执行条件。</w:t>
      </w:r>
    </w:p>
    <w:p>
      <w:pPr>
        <w:pStyle w:val="Heading1"/>
        <w:keepNext/>
      </w:pPr>
      <w:r>
        <w:rPr>
          <w:rFonts w:ascii="Calibri" w:hAnsi="Calibri" w:eastAsia="黑体"/>
          <w:b/>
          <w:color w:val="2E74B5"/>
          <w:sz w:val="32"/>
        </w:rPr>
        <w:t>案例研究</w:t>
      </w:r>
    </w:p>
    <w:p>
      <w:pPr>
        <w:pStyle w:val="Heading2"/>
        <w:keepNext/>
      </w:pPr>
      <w:r>
        <w:rPr>
          <w:rFonts w:ascii="Calibri" w:hAnsi="Calibri" w:eastAsia="黑体"/>
          <w:b/>
          <w:color w:val="2E74B5"/>
          <w:sz w:val="26"/>
        </w:rPr>
        <w:t>关键设施到达负荷预测结果分析</w:t>
      </w:r>
    </w:p>
    <w:p>
      <w:pPr>
        <w:pStyle w:val="Heading3"/>
        <w:keepNext/>
      </w:pPr>
      <w:r>
        <w:rPr>
          <w:rFonts w:ascii="Calibri" w:hAnsi="Calibri" w:eastAsia="黑体"/>
          <w:b/>
          <w:color w:val="1F4D78"/>
          <w:sz w:val="24"/>
        </w:rPr>
        <w:t>案例站点与网络构建</w:t>
      </w:r>
    </w:p>
    <w:p>
      <w:pPr>
        <w:ind w:firstLine="432"/>
        <w:jc w:val="both"/>
      </w:pPr>
      <w:r>
        <w:rPr>
          <w:rFonts w:ascii="Calibri" w:hAnsi="Calibri" w:eastAsia="宋体"/>
          <w:sz w:val="22"/>
        </w:rPr>
        <w:t>本文以龙阳路站为案例对象，模型网络包含 L2、L7、L16、L18 和 Maglev 五类线路及其站台、站厅、换乘连接、垂向设施、闸机和出入口。案例建模的重点不是仅复刻车站平面几何，而是识别不同来源客流共同使用的设施资源，并保证同一资源在路径层和执行层使用同一容量口径。</w:t>
      </w:r>
    </w:p>
    <w:p>
      <w:pPr>
        <w:ind w:firstLine="432"/>
        <w:jc w:val="both"/>
      </w:pPr>
      <w:r>
        <w:rPr>
          <w:rFonts w:ascii="Calibri" w:hAnsi="Calibri" w:eastAsia="宋体"/>
          <w:sz w:val="22"/>
        </w:rPr>
        <w:t>站点背景、线路关系和设施信息应由运营方或政府公开资料支撑。模型参数按照来源分为三类：</w:t>
      </w:r>
    </w:p>
    <w:p>
      <w:pPr>
        <w:spacing w:before="80" w:after="80"/>
        <w:jc w:val="center"/>
      </w:pPr>
      <w:r>
        <w:rPr>
          <w:rFonts w:ascii="Calibri" w:hAnsi="Calibri" w:eastAsia="宋体"/>
          <w:b/>
          <w:sz w:val="20"/>
        </w:rPr>
        <w:t>模型参数的来源分类</w:t>
      </w:r>
    </w:p>
    <w:tbl>
      <w:tblPr>
        <w:tblStyle w:val="TableGrid"/>
        <w:tblW w:type="dxa" w:w="9360"/>
        <w:jc w:val="left"/>
        <w:tblLayout w:type="fixed"/>
        <w:tblLook w:firstColumn="1" w:firstRow="1" w:lastColumn="0" w:lastRow="0" w:noHBand="0" w:noVBand="1" w:val="04A0"/>
        <w:tblInd w:w="120" w:type="dxa"/>
        <w:tblBorders>
          <w:top w:val="single" w:sz="4" w:space="0" w:color="B7C4D2"/>
          <w:left w:val="single" w:sz="4" w:space="0" w:color="B7C4D2"/>
          <w:bottom w:val="single" w:sz="4" w:space="0" w:color="B7C4D2"/>
          <w:right w:val="single" w:sz="4" w:space="0" w:color="B7C4D2"/>
          <w:insideH w:val="single" w:sz="4" w:space="0" w:color="B7C4D2"/>
          <w:insideV w:val="single" w:sz="4" w:space="0" w:color="B7C4D2"/>
        </w:tblBorders>
      </w:tblPr>
      <w:tblGrid>
        <w:gridCol w:w="2100"/>
        <w:gridCol w:w="3200"/>
        <w:gridCol w:w="4060"/>
      </w:tblGrid>
      <w:tr>
        <w:trPr>
          <w:tblHeader w:val="true"/>
        </w:trPr>
        <w:tc>
          <w:tcPr>
            <w:tcW w:type="dxa" w:w="2100"/>
            <w:tcMar>
              <w:top w:w="80" w:type="dxa"/>
              <w:start w:w="120" w:type="dxa"/>
              <w:bottom w:w="80" w:type="dxa"/>
              <w:end w:w="120" w:type="dxa"/>
            </w:tcMar>
            <w:vAlign w:val="center"/>
            <w:shd w:fill="F4F6F9"/>
          </w:tcPr>
          <w:p>
            <w:pPr>
              <w:spacing w:after="0" w:line="252" w:lineRule="auto"/>
              <w:jc w:val="center"/>
            </w:pPr>
            <w:r>
              <w:rPr>
                <w:rFonts w:ascii="Calibri" w:hAnsi="Calibri" w:eastAsia="宋体"/>
                <w:b/>
                <w:sz w:val="18"/>
              </w:rPr>
              <w:t>参数类别</w:t>
            </w:r>
          </w:p>
        </w:tc>
        <w:tc>
          <w:tcPr>
            <w:tcW w:type="dxa" w:w="3200"/>
            <w:tcMar>
              <w:top w:w="80" w:type="dxa"/>
              <w:start w:w="120" w:type="dxa"/>
              <w:bottom w:w="80" w:type="dxa"/>
              <w:end w:w="120" w:type="dxa"/>
            </w:tcMar>
            <w:vAlign w:val="center"/>
            <w:shd w:fill="F4F6F9"/>
          </w:tcPr>
          <w:p>
            <w:pPr>
              <w:spacing w:after="0" w:line="252" w:lineRule="auto"/>
              <w:jc w:val="center"/>
            </w:pPr>
            <w:r>
              <w:rPr>
                <w:rFonts w:ascii="Calibri" w:hAnsi="Calibri" w:eastAsia="宋体"/>
                <w:b/>
                <w:sz w:val="18"/>
              </w:rPr>
              <w:t>当前用途</w:t>
            </w:r>
          </w:p>
        </w:tc>
        <w:tc>
          <w:tcPr>
            <w:tcW w:type="dxa" w:w="4060"/>
            <w:tcMar>
              <w:top w:w="80" w:type="dxa"/>
              <w:start w:w="120" w:type="dxa"/>
              <w:bottom w:w="80" w:type="dxa"/>
              <w:end w:w="120" w:type="dxa"/>
            </w:tcMar>
            <w:vAlign w:val="center"/>
            <w:shd w:fill="F4F6F9"/>
          </w:tcPr>
          <w:p>
            <w:pPr>
              <w:spacing w:after="0" w:line="252" w:lineRule="auto"/>
              <w:jc w:val="center"/>
            </w:pPr>
            <w:r>
              <w:rPr>
                <w:rFonts w:ascii="Calibri" w:hAnsi="Calibri" w:eastAsia="宋体"/>
                <w:b/>
                <w:sz w:val="18"/>
              </w:rPr>
              <w:t>本文处理方式</w:t>
            </w:r>
          </w:p>
        </w:tc>
      </w:tr>
      <w:tr>
        <w:tc>
          <w:tcPr>
            <w:tcW w:type="dxa" w:w="2100"/>
            <w:tcMar>
              <w:top w:w="80" w:type="dxa"/>
              <w:start w:w="120" w:type="dxa"/>
              <w:bottom w:w="80" w:type="dxa"/>
              <w:end w:w="120" w:type="dxa"/>
            </w:tcMar>
            <w:vAlign w:val="center"/>
          </w:tcPr>
          <w:p>
            <w:pPr>
              <w:spacing w:after="0" w:line="252" w:lineRule="auto"/>
              <w:jc w:val="left"/>
            </w:pPr>
            <w:r>
              <w:rPr>
                <w:rFonts w:ascii="Calibri" w:hAnsi="Calibri" w:eastAsia="宋体"/>
                <w:b w:val="0"/>
                <w:sz w:val="18"/>
              </w:rPr>
              <w:t>文献复现参数</w:t>
            </w:r>
          </w:p>
        </w:tc>
        <w:tc>
          <w:tcPr>
            <w:tcW w:type="dxa" w:w="3200"/>
            <w:tcMar>
              <w:top w:w="80" w:type="dxa"/>
              <w:start w:w="120" w:type="dxa"/>
              <w:bottom w:w="80" w:type="dxa"/>
              <w:end w:w="120" w:type="dxa"/>
            </w:tcMar>
            <w:vAlign w:val="center"/>
          </w:tcPr>
          <w:p>
            <w:pPr>
              <w:spacing w:after="0" w:line="252" w:lineRule="auto"/>
              <w:jc w:val="left"/>
            </w:pPr>
            <w:r>
              <w:rPr>
                <w:rFonts w:ascii="Calibri" w:hAnsi="Calibri" w:eastAsia="宋体"/>
                <w:b w:val="0"/>
                <w:sz w:val="18"/>
              </w:rPr>
              <w:t>速度—密度关系及其基础阈值</w:t>
            </w:r>
          </w:p>
        </w:tc>
        <w:tc>
          <w:tcPr>
            <w:tcW w:type="dxa" w:w="4060"/>
            <w:tcMar>
              <w:top w:w="80" w:type="dxa"/>
              <w:start w:w="120" w:type="dxa"/>
              <w:bottom w:w="80" w:type="dxa"/>
              <w:end w:w="120" w:type="dxa"/>
            </w:tcMar>
            <w:vAlign w:val="center"/>
          </w:tcPr>
          <w:p>
            <w:pPr>
              <w:spacing w:after="0" w:line="252" w:lineRule="auto"/>
              <w:jc w:val="center"/>
            </w:pPr>
            <w:r>
              <w:rPr>
                <w:rFonts w:ascii="Calibri" w:hAnsi="Calibri" w:eastAsia="宋体"/>
                <w:b w:val="0"/>
                <w:sz w:val="18"/>
              </w:rPr>
              <w:t>引用原始文献，不称为龙阳路站实测值</w:t>
            </w:r>
          </w:p>
        </w:tc>
      </w:tr>
      <w:tr>
        <w:tc>
          <w:tcPr>
            <w:tcW w:type="dxa" w:w="2100"/>
            <w:tcMar>
              <w:top w:w="80" w:type="dxa"/>
              <w:start w:w="120" w:type="dxa"/>
              <w:bottom w:w="80" w:type="dxa"/>
              <w:end w:w="120" w:type="dxa"/>
            </w:tcMar>
            <w:vAlign w:val="center"/>
          </w:tcPr>
          <w:p>
            <w:pPr>
              <w:spacing w:after="0" w:line="252" w:lineRule="auto"/>
              <w:jc w:val="left"/>
            </w:pPr>
            <w:r>
              <w:rPr>
                <w:rFonts w:ascii="Calibri" w:hAnsi="Calibri" w:eastAsia="宋体"/>
                <w:b w:val="0"/>
                <w:sz w:val="18"/>
              </w:rPr>
              <w:t>模型设定参数</w:t>
            </w:r>
          </w:p>
        </w:tc>
        <w:tc>
          <w:tcPr>
            <w:tcW w:type="dxa" w:w="3200"/>
            <w:tcMar>
              <w:top w:w="80" w:type="dxa"/>
              <w:start w:w="120" w:type="dxa"/>
              <w:bottom w:w="80" w:type="dxa"/>
              <w:end w:w="120" w:type="dxa"/>
            </w:tcMar>
            <w:vAlign w:val="center"/>
          </w:tcPr>
          <w:p>
            <w:pPr>
              <w:spacing w:after="0" w:line="252" w:lineRule="auto"/>
              <w:jc w:val="left"/>
            </w:pPr>
            <w:r>
              <w:rPr>
                <w:rFonts w:ascii="Calibri" w:hAnsi="Calibri" w:eastAsia="宋体"/>
                <w:b w:val="0"/>
                <w:sz w:val="18"/>
              </w:rPr>
              <w:t>设施速度上限、仿真时间步、部分容量表达和搜索阈值</w:t>
            </w:r>
          </w:p>
        </w:tc>
        <w:tc>
          <w:tcPr>
            <w:tcW w:type="dxa" w:w="4060"/>
            <w:tcMar>
              <w:top w:w="80" w:type="dxa"/>
              <w:start w:w="120" w:type="dxa"/>
              <w:bottom w:w="80" w:type="dxa"/>
              <w:end w:w="120" w:type="dxa"/>
            </w:tcMar>
            <w:vAlign w:val="center"/>
          </w:tcPr>
          <w:p>
            <w:pPr>
              <w:spacing w:after="0" w:line="252" w:lineRule="auto"/>
              <w:jc w:val="center"/>
            </w:pPr>
            <w:r>
              <w:rPr>
                <w:rFonts w:ascii="Calibri" w:hAnsi="Calibri" w:eastAsia="宋体"/>
                <w:b w:val="0"/>
                <w:sz w:val="18"/>
              </w:rPr>
              <w:t>明确写为本文模型设定</w:t>
            </w:r>
          </w:p>
        </w:tc>
      </w:tr>
      <w:tr>
        <w:tc>
          <w:tcPr>
            <w:tcW w:type="dxa" w:w="2100"/>
            <w:tcMar>
              <w:top w:w="80" w:type="dxa"/>
              <w:start w:w="120" w:type="dxa"/>
              <w:bottom w:w="80" w:type="dxa"/>
              <w:end w:w="120" w:type="dxa"/>
            </w:tcMar>
            <w:vAlign w:val="center"/>
          </w:tcPr>
          <w:p>
            <w:pPr>
              <w:spacing w:after="0" w:line="252" w:lineRule="auto"/>
              <w:jc w:val="left"/>
            </w:pPr>
            <w:r>
              <w:rPr>
                <w:rFonts w:ascii="Calibri" w:hAnsi="Calibri" w:eastAsia="宋体"/>
                <w:b w:val="0"/>
                <w:sz w:val="18"/>
              </w:rPr>
              <w:t>场景假设参数</w:t>
            </w:r>
          </w:p>
        </w:tc>
        <w:tc>
          <w:tcPr>
            <w:tcW w:type="dxa" w:w="3200"/>
            <w:tcMar>
              <w:top w:w="80" w:type="dxa"/>
              <w:start w:w="120" w:type="dxa"/>
              <w:bottom w:w="80" w:type="dxa"/>
              <w:end w:w="120" w:type="dxa"/>
            </w:tcMar>
            <w:vAlign w:val="center"/>
          </w:tcPr>
          <w:p>
            <w:pPr>
              <w:spacing w:after="0" w:line="252" w:lineRule="auto"/>
              <w:jc w:val="left"/>
            </w:pPr>
            <w:r>
              <w:rPr>
                <w:rFonts w:ascii="Calibri" w:hAnsi="Calibri" w:eastAsia="宋体"/>
                <w:b w:val="0"/>
                <w:sz w:val="18"/>
              </w:rPr>
              <w:t>队列存储面积、缺少实测资料的局部宽度或容量</w:t>
            </w:r>
          </w:p>
        </w:tc>
        <w:tc>
          <w:tcPr>
            <w:tcW w:type="dxa" w:w="4060"/>
            <w:tcMar>
              <w:top w:w="80" w:type="dxa"/>
              <w:start w:w="120" w:type="dxa"/>
              <w:bottom w:w="80" w:type="dxa"/>
              <w:end w:w="120" w:type="dxa"/>
            </w:tcMar>
            <w:vAlign w:val="center"/>
          </w:tcPr>
          <w:p>
            <w:pPr>
              <w:spacing w:after="0" w:line="252" w:lineRule="auto"/>
              <w:jc w:val="center"/>
            </w:pPr>
            <w:r>
              <w:rPr>
                <w:rFonts w:ascii="Calibri" w:hAnsi="Calibri" w:eastAsia="宋体"/>
                <w:b w:val="0"/>
                <w:sz w:val="18"/>
              </w:rPr>
              <w:t>明确写为假设，并通过敏感性分析检验</w:t>
            </w:r>
          </w:p>
        </w:tc>
      </w:tr>
    </w:tbl>
    <w:p>
      <w:pPr>
        <w:spacing w:after="40"/>
      </w:pPr>
    </w:p>
    <w:p>
      <w:pPr>
        <w:ind w:firstLine="432"/>
        <w:jc w:val="both"/>
      </w:pPr>
      <w:r>
        <w:rPr>
          <w:rFonts w:ascii="Calibri" w:hAnsi="Calibri" w:eastAsia="宋体"/>
          <w:sz w:val="22"/>
        </w:rPr>
        <w:t>Δ t=1 s 为离散仿真步长；速度—密度参数、设施速度上限和 g_min=0.20 等数值分别按照文献复现参数、模型设定参数或场景假设参数处理。默认面积、回退宽度和容量不作为官方实测值使用。</w:t>
      </w:r>
    </w:p>
    <w:p>
      <w:pPr>
        <w:pStyle w:val="Heading3"/>
        <w:keepNext/>
      </w:pPr>
      <w:r>
        <w:rPr>
          <w:rFonts w:ascii="Calibri" w:hAnsi="Calibri" w:eastAsia="黑体"/>
          <w:b/>
          <w:color w:val="1F4D78"/>
          <w:sz w:val="24"/>
        </w:rPr>
        <w:t>队列预测和路径组织机制验证</w:t>
      </w:r>
    </w:p>
    <w:p>
      <w:pPr>
        <w:ind w:firstLine="432"/>
        <w:jc w:val="both"/>
      </w:pPr>
      <w:r>
        <w:rPr>
          <w:rFonts w:ascii="Calibri" w:hAnsi="Calibri" w:eastAsia="宋体"/>
          <w:sz w:val="22"/>
        </w:rPr>
        <w:t>本节验证确定性设施到达状态预测和动态路径组织机制。实验围绕以下问题展开：客流批次真正到达共享设施时，模型是否已经把前序批次的承诺到达和服务消耗纳入队列判断；队列预测是否改变了路径评价；路径改变是否能够由设施负荷变化解释。</w:t>
      </w:r>
    </w:p>
    <w:p>
      <w:pPr>
        <w:ind w:firstLine="432"/>
        <w:jc w:val="both"/>
      </w:pPr>
      <w:r>
        <w:rPr>
          <w:rFonts w:ascii="Calibri" w:hAnsi="Calibri" w:eastAsia="宋体"/>
          <w:sz w:val="22"/>
        </w:rPr>
        <w:t>具体分析包括：</w:t>
      </w:r>
    </w:p>
    <w:p>
      <w:pPr>
        <w:pStyle w:val="ListNumber"/>
        <w:jc w:val="both"/>
      </w:pPr>
      <w:r>
        <w:rPr>
          <w:rFonts w:ascii="Calibri" w:hAnsi="Calibri" w:eastAsia="宋体"/>
          <w:sz w:val="22"/>
        </w:rPr>
        <w:t>对关键楼梯、换乘通道和闸机，绘制实际队列、在途确定到达、本轮已分配到达和预测队列的时间演化；</w:t>
      </w:r>
    </w:p>
    <w:p>
      <w:pPr>
        <w:pStyle w:val="ListNumber"/>
        <w:jc w:val="both"/>
      </w:pPr>
      <w:r>
        <w:rPr>
          <w:rFonts w:ascii="Calibri" w:hAnsi="Calibri" w:eastAsia="宋体"/>
          <w:sz w:val="22"/>
        </w:rPr>
        <w:t>对同一来源组在不同到达时刻的候选路径，分解物理行走时间、资源队列等待、当前批次服务时间和下游空间接收等待；</w:t>
      </w:r>
    </w:p>
    <w:p>
      <w:pPr>
        <w:pStyle w:val="ListNumber"/>
        <w:jc w:val="both"/>
      </w:pPr>
      <w:r>
        <w:rPr>
          <w:rFonts w:ascii="Calibri" w:hAnsi="Calibri" w:eastAsia="宋体"/>
          <w:sz w:val="22"/>
        </w:rPr>
        <w:t>统计 AA 的路径重评估、满足改路条件的事件、实际获得移动容量的改路事件和无可行替代路径事件；</w:t>
      </w:r>
    </w:p>
    <w:p>
      <w:pPr>
        <w:pStyle w:val="ListNumber"/>
        <w:jc w:val="both"/>
      </w:pPr>
      <w:r>
        <w:rPr>
          <w:rFonts w:ascii="Calibri" w:hAnsi="Calibri" w:eastAsia="宋体"/>
          <w:sz w:val="22"/>
        </w:rPr>
        <w:t>检查改路是否只发生在允许的决策阶段，是否存在重复计数、在途瞬时改路、路径回环或容量超发；</w:t>
      </w:r>
    </w:p>
    <w:p>
      <w:pPr>
        <w:pStyle w:val="ListNumber"/>
        <w:jc w:val="both"/>
      </w:pPr>
      <w:r>
        <w:rPr>
          <w:rFonts w:ascii="Calibri" w:hAnsi="Calibri" w:eastAsia="宋体"/>
          <w:sz w:val="22"/>
        </w:rPr>
        <w:t>对比相同来源组和相同批次在 ImprovedAStar 与 AA 下的关键设施选择、到达时段和出口分配。</w:t>
      </w:r>
    </w:p>
    <w:p>
      <w:pPr>
        <w:ind w:firstLine="432"/>
        <w:jc w:val="both"/>
      </w:pPr>
      <w:r>
        <w:rPr>
          <w:rFonts w:ascii="Calibri" w:hAnsi="Calibri" w:eastAsia="宋体"/>
          <w:sz w:val="22"/>
        </w:rPr>
        <w:t>本节的判断标准不是 AA 调用了多少次 A*，而是预测队列是否改变了批次对共享设施通行条件的判断，并且这种判断是否在执行层表现为可解释的设施负荷变化。</w:t>
      </w:r>
    </w:p>
    <w:p>
      <w:pPr>
        <w:pStyle w:val="Heading2"/>
        <w:keepNext/>
      </w:pPr>
      <w:r>
        <w:rPr>
          <w:rFonts w:ascii="Calibri" w:hAnsi="Calibri" w:eastAsia="黑体"/>
          <w:b/>
          <w:color w:val="2E74B5"/>
          <w:sz w:val="26"/>
        </w:rPr>
        <w:t>模型方案性能分析</w:t>
      </w:r>
    </w:p>
    <w:p>
      <w:pPr>
        <w:pStyle w:val="Heading3"/>
        <w:keepNext/>
      </w:pPr>
      <w:r>
        <w:rPr>
          <w:rFonts w:ascii="Calibri" w:hAnsi="Calibri" w:eastAsia="黑体"/>
          <w:b/>
          <w:color w:val="1F4D78"/>
          <w:sz w:val="24"/>
        </w:rPr>
        <w:t>实验分组与共同条件</w:t>
      </w:r>
    </w:p>
    <w:p>
      <w:pPr>
        <w:ind w:firstLine="432"/>
        <w:jc w:val="both"/>
      </w:pPr>
      <w:r>
        <w:rPr>
          <w:rFonts w:ascii="Calibri" w:hAnsi="Calibri" w:eastAsia="宋体"/>
          <w:sz w:val="22"/>
        </w:rPr>
        <w:t>本文在 Mode 1 和 Mode 4 两种负荷条件下分别运行 ImprovedAStar 与 AA。四组实验使用同一站内网络、同一来源组客流定义、同一速度—密度关系、同一设施服务率、同一下游接收约束和同一仿真时间步。除路径评价和路径更新机制外，不改变物理执行条件。</w:t>
      </w:r>
    </w:p>
    <w:p>
      <w:pPr>
        <w:ind w:firstLine="432"/>
        <w:jc w:val="both"/>
      </w:pPr>
      <w:r>
        <w:rPr>
          <w:rFonts w:ascii="Calibri" w:hAnsi="Calibri" w:eastAsia="宋体"/>
          <w:sz w:val="22"/>
        </w:rPr>
        <w:t>Mode 1 表示低负荷场景，采用各线路站台等待、站厅和换乘基础客流，不加入满载列车客流，场景输入总人数为 2,187 人。该场景用于检验方法在设施竞争较弱时的组织表现，并观察动态组织是否引入额外绕行或扰动。</w:t>
      </w:r>
    </w:p>
    <w:p>
      <w:pPr>
        <w:ind w:firstLine="432"/>
        <w:jc w:val="both"/>
      </w:pPr>
      <w:r>
        <w:rPr>
          <w:rFonts w:ascii="Calibri" w:hAnsi="Calibri" w:eastAsia="宋体"/>
          <w:sz w:val="22"/>
        </w:rPr>
        <w:t>Mode 4 表示高负荷场景，在基础站内客流上叠加双向满载列车客流，场景输入总人数为 17,905 人，并启用 L2 列车来源按区域划分的客流表示。该场景用于放大多线路客流在楼梯、换乘通道、闸机和出入口前的竞争，检验设施到达负荷预测对整体尾部疏散和关键设施负荷的影响。</w:t>
      </w:r>
    </w:p>
    <w:p>
      <w:pPr>
        <w:ind w:firstLine="432"/>
        <w:jc w:val="both"/>
      </w:pPr>
      <w:r>
        <w:rPr>
          <w:rFonts w:ascii="Calibri" w:hAnsi="Calibri" w:eastAsia="宋体"/>
          <w:sz w:val="22"/>
        </w:rPr>
        <w:t>2,187 人和 17,905 人为场景输入，不是实测客流结果；其生成规则和场景含义在参数表中说明。低负荷和高负荷不是两个不同的研究问题，而是同一整体疏散问题的两种负荷条件。</w:t>
      </w:r>
    </w:p>
    <w:p>
      <w:pPr>
        <w:pStyle w:val="Heading3"/>
        <w:keepNext/>
      </w:pPr>
      <w:r>
        <w:rPr>
          <w:rFonts w:ascii="Calibri" w:hAnsi="Calibri" w:eastAsia="黑体"/>
          <w:b/>
          <w:color w:val="1F4D78"/>
          <w:sz w:val="24"/>
        </w:rPr>
        <w:t>整体疏散效率比较</w:t>
      </w:r>
    </w:p>
    <w:p>
      <w:pPr>
        <w:ind w:firstLine="432"/>
        <w:jc w:val="both"/>
      </w:pPr>
      <w:r>
        <w:rPr>
          <w:rFonts w:ascii="Calibri" w:hAnsi="Calibri" w:eastAsia="宋体"/>
          <w:sz w:val="22"/>
        </w:rPr>
        <w:t>首先比较 T_95、T_99、T_100、累计停滞人秒、人均停滞时间、平均移动时间、平均总疏散时间和总移动距离。该组实验回答的是：在相同设施容量和客流输入下，面向设施到达时刻的路径组织是否改变了整体疏散过程，尤其是高负荷场景中的尾部清空和停滞等待。</w:t>
      </w:r>
    </w:p>
    <w:p>
      <w:pPr>
        <w:ind w:firstLine="432"/>
        <w:jc w:val="both"/>
      </w:pPr>
      <w:r>
        <w:rPr>
          <w:rFonts w:ascii="Calibri" w:hAnsi="Calibri" w:eastAsia="宋体"/>
          <w:sz w:val="22"/>
        </w:rPr>
        <w:t>整体疏散性能的比较指标和结果记录格式如表所示：</w:t>
      </w:r>
    </w:p>
    <w:p>
      <w:pPr>
        <w:spacing w:before="80" w:after="80"/>
        <w:jc w:val="center"/>
      </w:pPr>
      <w:r>
        <w:rPr>
          <w:rFonts w:ascii="Calibri" w:hAnsi="Calibri" w:eastAsia="宋体"/>
          <w:b/>
          <w:sz w:val="20"/>
        </w:rPr>
        <w:t>两种负荷场景下的整体疏散性能比较</w:t>
      </w:r>
    </w:p>
    <w:tbl>
      <w:tblPr>
        <w:tblStyle w:val="TableGrid"/>
        <w:tblW w:type="dxa" w:w="9360"/>
        <w:jc w:val="left"/>
        <w:tblLayout w:type="fixed"/>
        <w:tblLook w:firstColumn="1" w:firstRow="1" w:lastColumn="0" w:lastRow="0" w:noHBand="0" w:noVBand="1" w:val="04A0"/>
        <w:tblInd w:w="120" w:type="dxa"/>
        <w:tblBorders>
          <w:top w:val="single" w:sz="4" w:space="0" w:color="B7C4D2"/>
          <w:left w:val="single" w:sz="4" w:space="0" w:color="B7C4D2"/>
          <w:bottom w:val="single" w:sz="4" w:space="0" w:color="B7C4D2"/>
          <w:right w:val="single" w:sz="4" w:space="0" w:color="B7C4D2"/>
          <w:insideH w:val="single" w:sz="4" w:space="0" w:color="B7C4D2"/>
          <w:insideV w:val="single" w:sz="4" w:space="0" w:color="B7C4D2"/>
        </w:tblBorders>
      </w:tblPr>
      <w:tblGrid>
        <w:gridCol w:w="780"/>
        <w:gridCol w:w="1450"/>
        <w:gridCol w:w="620"/>
        <w:gridCol w:w="760"/>
        <w:gridCol w:w="760"/>
        <w:gridCol w:w="760"/>
        <w:gridCol w:w="1000"/>
        <w:gridCol w:w="1100"/>
        <w:gridCol w:w="2130"/>
      </w:tblGrid>
      <w:tr>
        <w:trPr>
          <w:tblHeader w:val="true"/>
        </w:trPr>
        <w:tc>
          <w:tcPr>
            <w:tcW w:type="dxa" w:w="780"/>
            <w:tcMar>
              <w:top w:w="80" w:type="dxa"/>
              <w:start w:w="120" w:type="dxa"/>
              <w:bottom w:w="80" w:type="dxa"/>
              <w:end w:w="120" w:type="dxa"/>
            </w:tcMar>
            <w:vAlign w:val="center"/>
            <w:shd w:fill="F4F6F9"/>
          </w:tcPr>
          <w:p>
            <w:pPr>
              <w:spacing w:after="0" w:line="252" w:lineRule="auto"/>
              <w:jc w:val="center"/>
            </w:pPr>
            <w:r>
              <w:rPr>
                <w:rFonts w:ascii="Calibri" w:hAnsi="Calibri" w:eastAsia="宋体"/>
                <w:b/>
                <w:sz w:val="17"/>
              </w:rPr>
              <w:t>场景</w:t>
            </w:r>
          </w:p>
        </w:tc>
        <w:tc>
          <w:tcPr>
            <w:tcW w:type="dxa" w:w="1450"/>
            <w:tcMar>
              <w:top w:w="80" w:type="dxa"/>
              <w:start w:w="120" w:type="dxa"/>
              <w:bottom w:w="80" w:type="dxa"/>
              <w:end w:w="120" w:type="dxa"/>
            </w:tcMar>
            <w:vAlign w:val="center"/>
            <w:shd w:fill="F4F6F9"/>
          </w:tcPr>
          <w:p>
            <w:pPr>
              <w:spacing w:after="0" w:line="252" w:lineRule="auto"/>
              <w:jc w:val="center"/>
            </w:pPr>
            <w:r>
              <w:rPr>
                <w:rFonts w:ascii="Calibri" w:hAnsi="Calibri" w:eastAsia="宋体"/>
                <w:b/>
                <w:sz w:val="17"/>
              </w:rPr>
              <w:t>方法</w:t>
            </w:r>
          </w:p>
        </w:tc>
        <w:tc>
          <w:tcPr>
            <w:tcW w:type="dxa" w:w="620"/>
            <w:tcMar>
              <w:top w:w="80" w:type="dxa"/>
              <w:start w:w="120" w:type="dxa"/>
              <w:bottom w:w="80" w:type="dxa"/>
              <w:end w:w="120" w:type="dxa"/>
            </w:tcMar>
            <w:vAlign w:val="center"/>
            <w:shd w:fill="F4F6F9"/>
          </w:tcPr>
          <w:p>
            <w:pPr>
              <w:spacing w:after="0" w:line="252" w:lineRule="auto"/>
              <w:jc w:val="center"/>
            </w:pPr>
            <w:r>
              <w:rPr>
                <w:rFonts w:ascii="Calibri" w:hAnsi="Calibri" w:eastAsia="宋体"/>
                <w:b/>
                <w:sz w:val="17"/>
              </w:rPr>
              <w:t>人数</w:t>
            </w:r>
          </w:p>
        </w:tc>
        <w:tc>
          <w:tcPr>
            <w:tcW w:type="dxa" w:w="760"/>
            <w:tcMar>
              <w:top w:w="80" w:type="dxa"/>
              <w:start w:w="120" w:type="dxa"/>
              <w:bottom w:w="80" w:type="dxa"/>
              <w:end w:w="120" w:type="dxa"/>
            </w:tcMar>
            <w:vAlign w:val="center"/>
            <w:shd w:fill="F4F6F9"/>
          </w:tcPr>
          <w:p>
            <w:pPr>
              <w:spacing w:after="0" w:line="252" w:lineRule="auto"/>
              <w:jc w:val="center"/>
            </w:pPr>
            <w:r>
              <w:rPr>
                <w:rFonts w:ascii="Calibri" w:hAnsi="Calibri" w:eastAsia="宋体"/>
                <w:b/>
                <w:sz w:val="17"/>
              </w:rPr>
              <w:t>T_95</w:t>
            </w:r>
          </w:p>
        </w:tc>
        <w:tc>
          <w:tcPr>
            <w:tcW w:type="dxa" w:w="760"/>
            <w:tcMar>
              <w:top w:w="80" w:type="dxa"/>
              <w:start w:w="120" w:type="dxa"/>
              <w:bottom w:w="80" w:type="dxa"/>
              <w:end w:w="120" w:type="dxa"/>
            </w:tcMar>
            <w:vAlign w:val="center"/>
            <w:shd w:fill="F4F6F9"/>
          </w:tcPr>
          <w:p>
            <w:pPr>
              <w:spacing w:after="0" w:line="252" w:lineRule="auto"/>
              <w:jc w:val="center"/>
            </w:pPr>
            <w:r>
              <w:rPr>
                <w:rFonts w:ascii="Calibri" w:hAnsi="Calibri" w:eastAsia="宋体"/>
                <w:b/>
                <w:sz w:val="17"/>
              </w:rPr>
              <w:t>T_99</w:t>
            </w:r>
          </w:p>
        </w:tc>
        <w:tc>
          <w:tcPr>
            <w:tcW w:type="dxa" w:w="760"/>
            <w:tcMar>
              <w:top w:w="80" w:type="dxa"/>
              <w:start w:w="120" w:type="dxa"/>
              <w:bottom w:w="80" w:type="dxa"/>
              <w:end w:w="120" w:type="dxa"/>
            </w:tcMar>
            <w:vAlign w:val="center"/>
            <w:shd w:fill="F4F6F9"/>
          </w:tcPr>
          <w:p>
            <w:pPr>
              <w:spacing w:after="0" w:line="252" w:lineRule="auto"/>
              <w:jc w:val="center"/>
            </w:pPr>
            <w:r>
              <w:rPr>
                <w:rFonts w:ascii="Calibri" w:hAnsi="Calibri" w:eastAsia="宋体"/>
                <w:b/>
                <w:sz w:val="17"/>
              </w:rPr>
              <w:t>T_100</w:t>
            </w:r>
          </w:p>
        </w:tc>
        <w:tc>
          <w:tcPr>
            <w:tcW w:type="dxa" w:w="1000"/>
            <w:tcMar>
              <w:top w:w="80" w:type="dxa"/>
              <w:start w:w="120" w:type="dxa"/>
              <w:bottom w:w="80" w:type="dxa"/>
              <w:end w:w="120" w:type="dxa"/>
            </w:tcMar>
            <w:vAlign w:val="center"/>
            <w:shd w:fill="F4F6F9"/>
          </w:tcPr>
          <w:p>
            <w:pPr>
              <w:spacing w:after="0" w:line="252" w:lineRule="auto"/>
              <w:jc w:val="center"/>
            </w:pPr>
            <w:r>
              <w:rPr>
                <w:rFonts w:ascii="Calibri" w:hAnsi="Calibri" w:eastAsia="宋体"/>
                <w:b/>
                <w:sz w:val="17"/>
              </w:rPr>
              <w:t>停滞人秒</w:t>
            </w:r>
          </w:p>
        </w:tc>
        <w:tc>
          <w:tcPr>
            <w:tcW w:type="dxa" w:w="1100"/>
            <w:tcMar>
              <w:top w:w="80" w:type="dxa"/>
              <w:start w:w="120" w:type="dxa"/>
              <w:bottom w:w="80" w:type="dxa"/>
              <w:end w:w="120" w:type="dxa"/>
            </w:tcMar>
            <w:vAlign w:val="center"/>
            <w:shd w:fill="F4F6F9"/>
          </w:tcPr>
          <w:p>
            <w:pPr>
              <w:spacing w:after="0" w:line="252" w:lineRule="auto"/>
              <w:jc w:val="center"/>
            </w:pPr>
            <w:r>
              <w:rPr>
                <w:rFonts w:ascii="Calibri" w:hAnsi="Calibri" w:eastAsia="宋体"/>
                <w:b/>
                <w:sz w:val="17"/>
              </w:rPr>
              <w:t>人均停滞</w:t>
            </w:r>
          </w:p>
        </w:tc>
        <w:tc>
          <w:tcPr>
            <w:tcW w:type="dxa" w:w="2130"/>
            <w:tcMar>
              <w:top w:w="80" w:type="dxa"/>
              <w:start w:w="120" w:type="dxa"/>
              <w:bottom w:w="80" w:type="dxa"/>
              <w:end w:w="120" w:type="dxa"/>
            </w:tcMar>
            <w:vAlign w:val="center"/>
            <w:shd w:fill="F4F6F9"/>
          </w:tcPr>
          <w:p>
            <w:pPr>
              <w:spacing w:after="0" w:line="252" w:lineRule="auto"/>
              <w:jc w:val="center"/>
            </w:pPr>
            <w:r>
              <w:rPr>
                <w:rFonts w:ascii="Calibri" w:hAnsi="Calibri" w:eastAsia="宋体"/>
                <w:b/>
                <w:sz w:val="17"/>
              </w:rPr>
              <w:t>总移动距离</w:t>
            </w:r>
          </w:p>
        </w:tc>
      </w:tr>
      <w:tr>
        <w:tc>
          <w:tcPr>
            <w:tcW w:type="dxa" w:w="780"/>
            <w:tcMar>
              <w:top w:w="80" w:type="dxa"/>
              <w:start w:w="120" w:type="dxa"/>
              <w:bottom w:w="80" w:type="dxa"/>
              <w:end w:w="120" w:type="dxa"/>
            </w:tcMar>
            <w:vAlign w:val="center"/>
          </w:tcPr>
          <w:p>
            <w:pPr>
              <w:spacing w:after="0" w:line="252" w:lineRule="auto"/>
              <w:jc w:val="left"/>
            </w:pPr>
            <w:r>
              <w:rPr>
                <w:rFonts w:ascii="Calibri" w:hAnsi="Calibri" w:eastAsia="宋体"/>
                <w:b w:val="0"/>
                <w:sz w:val="17"/>
              </w:rPr>
              <w:t>Mode 1</w:t>
            </w:r>
          </w:p>
        </w:tc>
        <w:tc>
          <w:tcPr>
            <w:tcW w:type="dxa" w:w="1450"/>
            <w:tcMar>
              <w:top w:w="80" w:type="dxa"/>
              <w:start w:w="120" w:type="dxa"/>
              <w:bottom w:w="80" w:type="dxa"/>
              <w:end w:w="120" w:type="dxa"/>
            </w:tcMar>
            <w:vAlign w:val="center"/>
          </w:tcPr>
          <w:p>
            <w:pPr>
              <w:spacing w:after="0" w:line="252" w:lineRule="auto"/>
              <w:jc w:val="left"/>
            </w:pPr>
            <w:r>
              <w:rPr>
                <w:rFonts w:ascii="Calibri" w:hAnsi="Calibri" w:eastAsia="宋体"/>
                <w:b w:val="0"/>
                <w:sz w:val="17"/>
              </w:rPr>
              <w:t>ImprovedAStar</w:t>
            </w:r>
          </w:p>
        </w:tc>
        <w:tc>
          <w:tcPr>
            <w:tcW w:type="dxa" w:w="620"/>
            <w:tcMar>
              <w:top w:w="80" w:type="dxa"/>
              <w:start w:w="120" w:type="dxa"/>
              <w:bottom w:w="80" w:type="dxa"/>
              <w:end w:w="120" w:type="dxa"/>
            </w:tcMar>
            <w:vAlign w:val="center"/>
          </w:tcPr>
          <w:p>
            <w:pPr>
              <w:spacing w:after="0" w:line="252" w:lineRule="auto"/>
              <w:jc w:val="center"/>
            </w:pPr>
            <w:r>
              <w:rPr>
                <w:rFonts w:ascii="Calibri" w:hAnsi="Calibri" w:eastAsia="宋体"/>
                <w:b w:val="0"/>
                <w:sz w:val="17"/>
              </w:rPr>
              <w:t>2187</w:t>
            </w:r>
          </w:p>
        </w:tc>
        <w:tc>
          <w:tcPr>
            <w:tcW w:type="dxa" w:w="76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待填</w:t>
            </w:r>
          </w:p>
        </w:tc>
        <w:tc>
          <w:tcPr>
            <w:tcW w:type="dxa" w:w="76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待填</w:t>
            </w:r>
          </w:p>
        </w:tc>
        <w:tc>
          <w:tcPr>
            <w:tcW w:type="dxa" w:w="76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待填</w:t>
            </w:r>
          </w:p>
        </w:tc>
        <w:tc>
          <w:tcPr>
            <w:tcW w:type="dxa" w:w="100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待填</w:t>
            </w:r>
          </w:p>
        </w:tc>
        <w:tc>
          <w:tcPr>
            <w:tcW w:type="dxa" w:w="110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待填</w:t>
            </w:r>
          </w:p>
        </w:tc>
        <w:tc>
          <w:tcPr>
            <w:tcW w:type="dxa" w:w="213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待填</w:t>
            </w:r>
          </w:p>
        </w:tc>
      </w:tr>
      <w:tr>
        <w:tc>
          <w:tcPr>
            <w:tcW w:type="dxa" w:w="780"/>
            <w:tcMar>
              <w:top w:w="80" w:type="dxa"/>
              <w:start w:w="120" w:type="dxa"/>
              <w:bottom w:w="80" w:type="dxa"/>
              <w:end w:w="120" w:type="dxa"/>
            </w:tcMar>
            <w:vAlign w:val="center"/>
          </w:tcPr>
          <w:p>
            <w:pPr>
              <w:spacing w:after="0" w:line="252" w:lineRule="auto"/>
              <w:jc w:val="left"/>
            </w:pPr>
            <w:r>
              <w:rPr>
                <w:rFonts w:ascii="Calibri" w:hAnsi="Calibri" w:eastAsia="宋体"/>
                <w:b w:val="0"/>
                <w:sz w:val="17"/>
              </w:rPr>
              <w:t>Mode 1</w:t>
            </w:r>
          </w:p>
        </w:tc>
        <w:tc>
          <w:tcPr>
            <w:tcW w:type="dxa" w:w="1450"/>
            <w:tcMar>
              <w:top w:w="80" w:type="dxa"/>
              <w:start w:w="120" w:type="dxa"/>
              <w:bottom w:w="80" w:type="dxa"/>
              <w:end w:w="120" w:type="dxa"/>
            </w:tcMar>
            <w:vAlign w:val="center"/>
          </w:tcPr>
          <w:p>
            <w:pPr>
              <w:spacing w:after="0" w:line="252" w:lineRule="auto"/>
              <w:jc w:val="left"/>
            </w:pPr>
            <w:r>
              <w:rPr>
                <w:rFonts w:ascii="Calibri" w:hAnsi="Calibri" w:eastAsia="宋体"/>
                <w:b w:val="0"/>
                <w:sz w:val="17"/>
              </w:rPr>
              <w:t>AA</w:t>
            </w:r>
          </w:p>
        </w:tc>
        <w:tc>
          <w:tcPr>
            <w:tcW w:type="dxa" w:w="620"/>
            <w:tcMar>
              <w:top w:w="80" w:type="dxa"/>
              <w:start w:w="120" w:type="dxa"/>
              <w:bottom w:w="80" w:type="dxa"/>
              <w:end w:w="120" w:type="dxa"/>
            </w:tcMar>
            <w:vAlign w:val="center"/>
          </w:tcPr>
          <w:p>
            <w:pPr>
              <w:spacing w:after="0" w:line="252" w:lineRule="auto"/>
              <w:jc w:val="center"/>
            </w:pPr>
            <w:r>
              <w:rPr>
                <w:rFonts w:ascii="Calibri" w:hAnsi="Calibri" w:eastAsia="宋体"/>
                <w:b w:val="0"/>
                <w:sz w:val="17"/>
              </w:rPr>
              <w:t>2187</w:t>
            </w:r>
          </w:p>
        </w:tc>
        <w:tc>
          <w:tcPr>
            <w:tcW w:type="dxa" w:w="76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待填</w:t>
            </w:r>
          </w:p>
        </w:tc>
        <w:tc>
          <w:tcPr>
            <w:tcW w:type="dxa" w:w="76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待填</w:t>
            </w:r>
          </w:p>
        </w:tc>
        <w:tc>
          <w:tcPr>
            <w:tcW w:type="dxa" w:w="76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待填</w:t>
            </w:r>
          </w:p>
        </w:tc>
        <w:tc>
          <w:tcPr>
            <w:tcW w:type="dxa" w:w="100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待填</w:t>
            </w:r>
          </w:p>
        </w:tc>
        <w:tc>
          <w:tcPr>
            <w:tcW w:type="dxa" w:w="110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待填</w:t>
            </w:r>
          </w:p>
        </w:tc>
        <w:tc>
          <w:tcPr>
            <w:tcW w:type="dxa" w:w="213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待填</w:t>
            </w:r>
          </w:p>
        </w:tc>
      </w:tr>
      <w:tr>
        <w:tc>
          <w:tcPr>
            <w:tcW w:type="dxa" w:w="780"/>
            <w:tcMar>
              <w:top w:w="80" w:type="dxa"/>
              <w:start w:w="120" w:type="dxa"/>
              <w:bottom w:w="80" w:type="dxa"/>
              <w:end w:w="120" w:type="dxa"/>
            </w:tcMar>
            <w:vAlign w:val="center"/>
          </w:tcPr>
          <w:p>
            <w:pPr>
              <w:spacing w:after="0" w:line="252" w:lineRule="auto"/>
              <w:jc w:val="left"/>
            </w:pPr>
            <w:r>
              <w:rPr>
                <w:rFonts w:ascii="Calibri" w:hAnsi="Calibri" w:eastAsia="宋体"/>
                <w:b w:val="0"/>
                <w:sz w:val="17"/>
              </w:rPr>
              <w:t>Mode 4</w:t>
            </w:r>
          </w:p>
        </w:tc>
        <w:tc>
          <w:tcPr>
            <w:tcW w:type="dxa" w:w="1450"/>
            <w:tcMar>
              <w:top w:w="80" w:type="dxa"/>
              <w:start w:w="120" w:type="dxa"/>
              <w:bottom w:w="80" w:type="dxa"/>
              <w:end w:w="120" w:type="dxa"/>
            </w:tcMar>
            <w:vAlign w:val="center"/>
          </w:tcPr>
          <w:p>
            <w:pPr>
              <w:spacing w:after="0" w:line="252" w:lineRule="auto"/>
              <w:jc w:val="left"/>
            </w:pPr>
            <w:r>
              <w:rPr>
                <w:rFonts w:ascii="Calibri" w:hAnsi="Calibri" w:eastAsia="宋体"/>
                <w:b w:val="0"/>
                <w:sz w:val="17"/>
              </w:rPr>
              <w:t>ImprovedAStar</w:t>
            </w:r>
          </w:p>
        </w:tc>
        <w:tc>
          <w:tcPr>
            <w:tcW w:type="dxa" w:w="620"/>
            <w:tcMar>
              <w:top w:w="80" w:type="dxa"/>
              <w:start w:w="120" w:type="dxa"/>
              <w:bottom w:w="80" w:type="dxa"/>
              <w:end w:w="120" w:type="dxa"/>
            </w:tcMar>
            <w:vAlign w:val="center"/>
          </w:tcPr>
          <w:p>
            <w:pPr>
              <w:spacing w:after="0" w:line="252" w:lineRule="auto"/>
              <w:jc w:val="center"/>
            </w:pPr>
            <w:r>
              <w:rPr>
                <w:rFonts w:ascii="Calibri" w:hAnsi="Calibri" w:eastAsia="宋体"/>
                <w:b w:val="0"/>
                <w:sz w:val="17"/>
              </w:rPr>
              <w:t>17905</w:t>
            </w:r>
          </w:p>
        </w:tc>
        <w:tc>
          <w:tcPr>
            <w:tcW w:type="dxa" w:w="76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待填</w:t>
            </w:r>
          </w:p>
        </w:tc>
        <w:tc>
          <w:tcPr>
            <w:tcW w:type="dxa" w:w="76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待填</w:t>
            </w:r>
          </w:p>
        </w:tc>
        <w:tc>
          <w:tcPr>
            <w:tcW w:type="dxa" w:w="76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待填</w:t>
            </w:r>
          </w:p>
        </w:tc>
        <w:tc>
          <w:tcPr>
            <w:tcW w:type="dxa" w:w="100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待填</w:t>
            </w:r>
          </w:p>
        </w:tc>
        <w:tc>
          <w:tcPr>
            <w:tcW w:type="dxa" w:w="110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待填</w:t>
            </w:r>
          </w:p>
        </w:tc>
        <w:tc>
          <w:tcPr>
            <w:tcW w:type="dxa" w:w="213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待填</w:t>
            </w:r>
          </w:p>
        </w:tc>
      </w:tr>
      <w:tr>
        <w:tc>
          <w:tcPr>
            <w:tcW w:type="dxa" w:w="780"/>
            <w:tcMar>
              <w:top w:w="80" w:type="dxa"/>
              <w:start w:w="120" w:type="dxa"/>
              <w:bottom w:w="80" w:type="dxa"/>
              <w:end w:w="120" w:type="dxa"/>
            </w:tcMar>
            <w:vAlign w:val="center"/>
          </w:tcPr>
          <w:p>
            <w:pPr>
              <w:spacing w:after="0" w:line="252" w:lineRule="auto"/>
              <w:jc w:val="left"/>
            </w:pPr>
            <w:r>
              <w:rPr>
                <w:rFonts w:ascii="Calibri" w:hAnsi="Calibri" w:eastAsia="宋体"/>
                <w:b w:val="0"/>
                <w:sz w:val="17"/>
              </w:rPr>
              <w:t>Mode 4</w:t>
            </w:r>
          </w:p>
        </w:tc>
        <w:tc>
          <w:tcPr>
            <w:tcW w:type="dxa" w:w="1450"/>
            <w:tcMar>
              <w:top w:w="80" w:type="dxa"/>
              <w:start w:w="120" w:type="dxa"/>
              <w:bottom w:w="80" w:type="dxa"/>
              <w:end w:w="120" w:type="dxa"/>
            </w:tcMar>
            <w:vAlign w:val="center"/>
          </w:tcPr>
          <w:p>
            <w:pPr>
              <w:spacing w:after="0" w:line="252" w:lineRule="auto"/>
              <w:jc w:val="left"/>
            </w:pPr>
            <w:r>
              <w:rPr>
                <w:rFonts w:ascii="Calibri" w:hAnsi="Calibri" w:eastAsia="宋体"/>
                <w:b w:val="0"/>
                <w:sz w:val="17"/>
              </w:rPr>
              <w:t>AA</w:t>
            </w:r>
          </w:p>
        </w:tc>
        <w:tc>
          <w:tcPr>
            <w:tcW w:type="dxa" w:w="620"/>
            <w:tcMar>
              <w:top w:w="80" w:type="dxa"/>
              <w:start w:w="120" w:type="dxa"/>
              <w:bottom w:w="80" w:type="dxa"/>
              <w:end w:w="120" w:type="dxa"/>
            </w:tcMar>
            <w:vAlign w:val="center"/>
          </w:tcPr>
          <w:p>
            <w:pPr>
              <w:spacing w:after="0" w:line="252" w:lineRule="auto"/>
              <w:jc w:val="center"/>
            </w:pPr>
            <w:r>
              <w:rPr>
                <w:rFonts w:ascii="Calibri" w:hAnsi="Calibri" w:eastAsia="宋体"/>
                <w:b w:val="0"/>
                <w:sz w:val="17"/>
              </w:rPr>
              <w:t>17905</w:t>
            </w:r>
          </w:p>
        </w:tc>
        <w:tc>
          <w:tcPr>
            <w:tcW w:type="dxa" w:w="76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待填</w:t>
            </w:r>
          </w:p>
        </w:tc>
        <w:tc>
          <w:tcPr>
            <w:tcW w:type="dxa" w:w="76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待填</w:t>
            </w:r>
          </w:p>
        </w:tc>
        <w:tc>
          <w:tcPr>
            <w:tcW w:type="dxa" w:w="76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待填</w:t>
            </w:r>
          </w:p>
        </w:tc>
        <w:tc>
          <w:tcPr>
            <w:tcW w:type="dxa" w:w="100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待填</w:t>
            </w:r>
          </w:p>
        </w:tc>
        <w:tc>
          <w:tcPr>
            <w:tcW w:type="dxa" w:w="110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待填</w:t>
            </w:r>
          </w:p>
        </w:tc>
        <w:tc>
          <w:tcPr>
            <w:tcW w:type="dxa" w:w="213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待填</w:t>
            </w:r>
          </w:p>
        </w:tc>
      </w:tr>
    </w:tbl>
    <w:p>
      <w:pPr>
        <w:spacing w:after="40"/>
      </w:pPr>
    </w:p>
    <w:p>
      <w:pPr>
        <w:ind w:firstLine="432"/>
        <w:jc w:val="both"/>
      </w:pPr>
      <w:r>
        <w:rPr>
          <w:rFonts w:ascii="Calibri" w:hAnsi="Calibri" w:eastAsia="宋体"/>
          <w:sz w:val="22"/>
        </w:rPr>
        <w:t>结果分析不预设“AA 必然更优”。应先说明低负荷和高负荷下整体疏散过程的主要特征，再判断路径组织对尾部时间、等待和行走距离的影响是否具有一致性；若方法在不同指标之间存在权衡，应保留这种权衡，而不是只报告有利于某一方法的指标。</w:t>
      </w:r>
    </w:p>
    <w:p>
      <w:pPr>
        <w:pStyle w:val="Heading3"/>
        <w:keepNext/>
      </w:pPr>
      <w:r>
        <w:rPr>
          <w:rFonts w:ascii="Calibri" w:hAnsi="Calibri" w:eastAsia="黑体"/>
          <w:b/>
          <w:color w:val="1F4D78"/>
          <w:sz w:val="24"/>
        </w:rPr>
        <w:t>关键设施负荷和客流分配比较</w:t>
      </w:r>
    </w:p>
    <w:p>
      <w:pPr>
        <w:ind w:firstLine="432"/>
        <w:jc w:val="both"/>
      </w:pPr>
      <w:r>
        <w:rPr>
          <w:rFonts w:ascii="Calibri" w:hAnsi="Calibri" w:eastAsia="宋体"/>
          <w:sz w:val="22"/>
        </w:rPr>
        <w:t>进一步比较各共享设施的峰值队列、队列人秒、最大利用率、最后排队时间和关键设施 Jain 指数，并报告各线路、站台、站厅和换乘来源在关键设施上的通过量和等待分布。</w:t>
      </w:r>
    </w:p>
    <w:p>
      <w:pPr>
        <w:ind w:firstLine="432"/>
        <w:jc w:val="both"/>
      </w:pPr>
      <w:r>
        <w:rPr>
          <w:rFonts w:ascii="Calibri" w:hAnsi="Calibri" w:eastAsia="宋体"/>
          <w:sz w:val="22"/>
        </w:rPr>
        <w:t>该分析用于判断整体指标变化的站内原因：整体尾部延误是否主要由少数关键设施的持续排队造成；AA 是否减少了关键设施的集中使用，还是只是将队列转移到其他设施；路径组织是否通过增加有限的行走距离换取较低的设施等待。</w:t>
      </w:r>
    </w:p>
    <w:p>
      <w:pPr>
        <w:ind w:firstLine="432"/>
        <w:jc w:val="both"/>
      </w:pPr>
      <w:r>
        <w:rPr>
          <w:rFonts w:ascii="Calibri" w:hAnsi="Calibri" w:eastAsia="宋体"/>
          <w:sz w:val="22"/>
        </w:rPr>
        <w:t>换乘客流在此作为整体疏散中的重要来源组进行分析，而不是把实验目标改成“换乘客流单独疏散”。需要重点观察跨线换乘来源与站台、列车来源在共享楼梯、换乘通道和闸机上的共同使用关系，以及这种关系对全站尾部疏散的贡献。</w:t>
      </w:r>
    </w:p>
    <w:p>
      <w:pPr>
        <w:pStyle w:val="Heading2"/>
        <w:keepNext/>
      </w:pPr>
      <w:r>
        <w:rPr>
          <w:rFonts w:ascii="Calibri" w:hAnsi="Calibri" w:eastAsia="黑体"/>
          <w:b/>
          <w:color w:val="2E74B5"/>
          <w:sz w:val="26"/>
        </w:rPr>
        <w:t>路径组织与乘客疏散综合效果分析</w:t>
      </w:r>
    </w:p>
    <w:p>
      <w:pPr>
        <w:ind w:firstLine="432"/>
        <w:jc w:val="both"/>
      </w:pPr>
      <w:r>
        <w:rPr>
          <w:rFonts w:ascii="Calibri" w:hAnsi="Calibri" w:eastAsia="宋体"/>
          <w:sz w:val="22"/>
        </w:rPr>
        <w:t>本节将路径组织、设施执行、整体疏散和微观行人运动结合起来，分析路径方案对乘客疏散效果的综合影响。</w:t>
      </w:r>
    </w:p>
    <w:p>
      <w:pPr>
        <w:pStyle w:val="Heading3"/>
        <w:keepNext/>
      </w:pPr>
      <w:r>
        <w:rPr>
          <w:rFonts w:ascii="Calibri" w:hAnsi="Calibri" w:eastAsia="黑体"/>
          <w:b/>
          <w:color w:val="1F4D78"/>
          <w:sz w:val="24"/>
        </w:rPr>
        <w:t>站内瓶颈与来源组机制</w:t>
      </w:r>
    </w:p>
    <w:p>
      <w:pPr>
        <w:ind w:firstLine="432"/>
        <w:jc w:val="both"/>
      </w:pPr>
      <w:r>
        <w:rPr>
          <w:rFonts w:ascii="Calibri" w:hAnsi="Calibri" w:eastAsia="宋体"/>
          <w:sz w:val="22"/>
        </w:rPr>
        <w:t>按照队列人秒和峰值队列识别主要瓶颈设施，比较两种方法在这些设施上的客流到达时段、服务释放和上游等待，并结合线路和来源组路径分配分析客流汇聚过程。结果至少回答以下问题：</w:t>
      </w:r>
    </w:p>
    <w:p>
      <w:pPr>
        <w:pStyle w:val="ListNumber"/>
        <w:jc w:val="both"/>
      </w:pPr>
      <w:r>
        <w:rPr>
          <w:rFonts w:ascii="Calibri" w:hAnsi="Calibri" w:eastAsia="宋体"/>
          <w:sz w:val="22"/>
        </w:rPr>
        <w:t>整体尾部延误是否由少数楼梯、换乘通道或闸机的持续排队造成；</w:t>
      </w:r>
    </w:p>
    <w:p>
      <w:pPr>
        <w:pStyle w:val="ListNumber"/>
        <w:jc w:val="both"/>
      </w:pPr>
      <w:r>
        <w:rPr>
          <w:rFonts w:ascii="Calibri" w:hAnsi="Calibri" w:eastAsia="宋体"/>
          <w:sz w:val="22"/>
        </w:rPr>
        <w:t>换乘客流与其他线路客流在哪些共享设施上发生汇聚；</w:t>
      </w:r>
    </w:p>
    <w:p>
      <w:pPr>
        <w:pStyle w:val="ListNumber"/>
        <w:jc w:val="both"/>
      </w:pPr>
      <w:r>
        <w:rPr>
          <w:rFonts w:ascii="Calibri" w:hAnsi="Calibri" w:eastAsia="宋体"/>
          <w:sz w:val="22"/>
        </w:rPr>
        <w:t>AA 的路径变化是否真正降低了关键设施的集中到达，还是仅将排队转移到其他设施；</w:t>
      </w:r>
    </w:p>
    <w:p>
      <w:pPr>
        <w:pStyle w:val="ListNumber"/>
        <w:jc w:val="both"/>
      </w:pPr>
      <w:r>
        <w:rPr>
          <w:rFonts w:ascii="Calibri" w:hAnsi="Calibri" w:eastAsia="宋体"/>
          <w:sz w:val="22"/>
        </w:rPr>
        <w:t>设施等待、空间阻塞和额外行走距离分别对整体疏散时间产生了什么作用。</w:t>
      </w:r>
    </w:p>
    <w:p>
      <w:pPr>
        <w:ind w:firstLine="432"/>
        <w:jc w:val="both"/>
      </w:pPr>
      <w:r>
        <w:rPr>
          <w:rFonts w:ascii="Calibri" w:hAnsi="Calibri" w:eastAsia="宋体"/>
          <w:sz w:val="22"/>
        </w:rPr>
        <w:t>建议使用资源队列曲线、设施负荷表、来源组路径分配图、线路清空时间和关键设施到达热区图进行说明。出口利用和出口 Jain 指数只作为辅助结果，不把出口均衡预设为方法必然效果。</w:t>
      </w:r>
    </w:p>
    <w:p>
      <w:pPr>
        <w:pStyle w:val="Heading3"/>
        <w:keepNext/>
      </w:pPr>
      <w:r>
        <w:rPr>
          <w:rFonts w:ascii="Calibri" w:hAnsi="Calibri" w:eastAsia="黑体"/>
          <w:b/>
          <w:color w:val="1F4D78"/>
          <w:sz w:val="24"/>
        </w:rPr>
        <w:t>速度—密度阈值敏感性分析</w:t>
      </w:r>
    </w:p>
    <w:p>
      <w:pPr>
        <w:ind w:firstLine="432"/>
        <w:jc w:val="both"/>
      </w:pPr>
      <w:r>
        <w:rPr>
          <w:rFonts w:ascii="Calibri" w:hAnsi="Calibri" w:eastAsia="宋体"/>
          <w:sz w:val="22"/>
        </w:rPr>
        <w:t>当前敏感性分析围绕速度—密度模型中的高密度判定阈值进行扰动，例如比较约 2.0、3.0 和 3.9 p/m² 的设定，观察 T_95、T_100、停滞人秒、关键设施队列和方法间差异是否保持。</w:t>
      </w:r>
    </w:p>
    <w:p>
      <w:pPr>
        <w:ind w:firstLine="432"/>
        <w:jc w:val="both"/>
      </w:pPr>
      <w:r>
        <w:rPr>
          <w:rFonts w:ascii="Calibri" w:hAnsi="Calibri" w:eastAsia="宋体"/>
          <w:sz w:val="22"/>
        </w:rPr>
        <w:t>该实验用于检验结论对密度判定参数的敏感程度，属于参数稳健性分析。若后续要声称方法具有明确的需求—容量适用边界，还需要进一步改变客流规模、共享设施服务率或客流到达重叠程度，观察路径组织收益从明显到有限的变化区间。仅凭当前阈值扰动不能直接推出完整运行边界。</w:t>
      </w:r>
    </w:p>
    <w:p>
      <w:pPr>
        <w:pStyle w:val="Heading3"/>
        <w:keepNext/>
      </w:pPr>
      <w:r>
        <w:rPr>
          <w:rFonts w:ascii="Calibri" w:hAnsi="Calibri" w:eastAsia="黑体"/>
          <w:b/>
          <w:color w:val="1F4D78"/>
          <w:sz w:val="24"/>
        </w:rPr>
        <w:t>Pathfinder 交叉验证</w:t>
      </w:r>
    </w:p>
    <w:p>
      <w:pPr>
        <w:ind w:firstLine="432"/>
        <w:jc w:val="both"/>
      </w:pPr>
      <w:r>
        <w:rPr>
          <w:rFonts w:ascii="Calibri" w:hAnsi="Calibri" w:eastAsia="宋体"/>
          <w:sz w:val="22"/>
        </w:rPr>
        <w:t>Pathfinder 使用宏观疏散模型实际执行并导出的完整路径分配结果创建 Occupant Group 和 Behavior。导出的路线人数采用实际执行的整数人数，来源组内路线比例用于配置检查和结果报告，不重新生成一套与宏观模型不同的手工路线。</w:t>
      </w:r>
    </w:p>
    <w:p>
      <w:pPr>
        <w:ind w:firstLine="432"/>
        <w:jc w:val="both"/>
      </w:pPr>
      <w:r>
        <w:rPr>
          <w:rFonts w:ascii="Calibri" w:hAnsi="Calibri" w:eastAsia="宋体"/>
          <w:sz w:val="22"/>
        </w:rPr>
        <w:t>Pathfinder 不作为真实车站观测的替代物，也不作为宏观模型的绝对真值，而是从微观行人运动尺度检验以下趋势：</w:t>
      </w:r>
    </w:p>
    <w:p>
      <w:pPr>
        <w:pStyle w:val="ListBullet"/>
        <w:jc w:val="both"/>
      </w:pPr>
      <w:r>
        <w:rPr>
          <w:rFonts w:ascii="Calibri" w:hAnsi="Calibri" w:eastAsia="宋体"/>
          <w:sz w:val="22"/>
        </w:rPr>
        <w:t>总体疏散曲线和尾部清空趋势；</w:t>
      </w:r>
    </w:p>
    <w:p>
      <w:pPr>
        <w:pStyle w:val="ListBullet"/>
        <w:jc w:val="both"/>
      </w:pPr>
      <w:r>
        <w:rPr>
          <w:rFonts w:ascii="Calibri" w:hAnsi="Calibri" w:eastAsia="宋体"/>
          <w:sz w:val="22"/>
        </w:rPr>
        <w:t>关键换乘设施、楼梯和闸机附近的拥堵空间分布；</w:t>
      </w:r>
    </w:p>
    <w:p>
      <w:pPr>
        <w:pStyle w:val="ListBullet"/>
        <w:jc w:val="both"/>
      </w:pPr>
      <w:r>
        <w:rPr>
          <w:rFonts w:ascii="Calibri" w:hAnsi="Calibri" w:eastAsia="宋体"/>
          <w:sz w:val="22"/>
        </w:rPr>
        <w:t>不同路径组织方法的出口利用和路径使用差异；</w:t>
      </w:r>
    </w:p>
    <w:p>
      <w:pPr>
        <w:pStyle w:val="ListBullet"/>
        <w:jc w:val="both"/>
      </w:pPr>
      <w:r>
        <w:rPr>
          <w:rFonts w:ascii="Calibri" w:hAnsi="Calibri" w:eastAsia="宋体"/>
          <w:sz w:val="22"/>
        </w:rPr>
        <w:t>宏观资源队列识别出的瓶颈位置是否在微观轨迹中出现相近的拥堵趋势。</w:t>
      </w:r>
    </w:p>
    <w:p>
      <w:pPr>
        <w:ind w:firstLine="432"/>
        <w:jc w:val="both"/>
      </w:pPr>
      <w:r>
        <w:rPr>
          <w:rFonts w:ascii="Calibri" w:hAnsi="Calibri" w:eastAsia="宋体"/>
          <w:sz w:val="22"/>
        </w:rPr>
        <w:t>若宏观模型和 Pathfinder 在趋势上保持一致，说明路径组织和瓶颈识别具有跨尺度一致性；若出现差异，则从微观行人行为、空间几何和容量映射差异解释，不能直接将 Pathfinder 视为宏观模型的绝对验证真值。</w:t>
      </w:r>
    </w:p>
    <w:p>
      <w:pPr>
        <w:pStyle w:val="Heading3"/>
        <w:keepNext/>
      </w:pPr>
      <w:r>
        <w:rPr>
          <w:rFonts w:ascii="Calibri" w:hAnsi="Calibri" w:eastAsia="黑体"/>
          <w:b/>
          <w:color w:val="1F4D78"/>
          <w:sz w:val="24"/>
        </w:rPr>
        <w:t>结果解释顺序</w:t>
      </w:r>
    </w:p>
    <w:p>
      <w:pPr>
        <w:ind w:firstLine="432"/>
        <w:jc w:val="both"/>
      </w:pPr>
      <w:r>
        <w:rPr>
          <w:rFonts w:ascii="Calibri" w:hAnsi="Calibri" w:eastAsia="宋体"/>
          <w:sz w:val="22"/>
        </w:rPr>
        <w:t>实验结果分析按照以下顺序展开：</w:t>
      </w:r>
    </w:p>
    <w:p>
      <w:pPr>
        <w:pStyle w:val="ListNumber"/>
        <w:jc w:val="both"/>
      </w:pPr>
      <w:r>
        <w:rPr>
          <w:rFonts w:ascii="Calibri" w:hAnsi="Calibri" w:eastAsia="宋体"/>
          <w:sz w:val="22"/>
        </w:rPr>
        <w:t>先验证设施到达负荷预测是否能够识别未来队列，并确认路径变化发生在允许的决策阶段；</w:t>
      </w:r>
    </w:p>
    <w:p>
      <w:pPr>
        <w:pStyle w:val="ListNumber"/>
        <w:jc w:val="both"/>
      </w:pPr>
      <w:r>
        <w:rPr>
          <w:rFonts w:ascii="Calibri" w:hAnsi="Calibri" w:eastAsia="宋体"/>
          <w:sz w:val="22"/>
        </w:rPr>
        <w:t>再比较 Mode 1 和 Mode 4 下两种模型方案的整体疏散性能；</w:t>
      </w:r>
    </w:p>
    <w:p>
      <w:pPr>
        <w:pStyle w:val="ListNumber"/>
        <w:jc w:val="both"/>
      </w:pPr>
      <w:r>
        <w:rPr>
          <w:rFonts w:ascii="Calibri" w:hAnsi="Calibri" w:eastAsia="宋体"/>
          <w:sz w:val="22"/>
        </w:rPr>
        <w:t>接着结合关键设施、线路和换乘来源组解释整体差异从何而来；</w:t>
      </w:r>
    </w:p>
    <w:p>
      <w:pPr>
        <w:pStyle w:val="ListNumber"/>
        <w:jc w:val="both"/>
      </w:pPr>
      <w:r>
        <w:rPr>
          <w:rFonts w:ascii="Calibri" w:hAnsi="Calibri" w:eastAsia="宋体"/>
          <w:sz w:val="22"/>
        </w:rPr>
        <w:t>然后报告速度—密度阈值敏感性，说明参数扰动下结论是否保持；</w:t>
      </w:r>
    </w:p>
    <w:p>
      <w:pPr>
        <w:pStyle w:val="ListNumber"/>
        <w:jc w:val="both"/>
      </w:pPr>
      <w:r>
        <w:rPr>
          <w:rFonts w:ascii="Calibri" w:hAnsi="Calibri" w:eastAsia="宋体"/>
          <w:sz w:val="22"/>
        </w:rPr>
        <w:t>最后用 Pathfinder 从微观行人运动尺度检验宏观疏散趋势和瓶颈位置。</w:t>
      </w:r>
    </w:p>
    <w:p>
      <w:pPr>
        <w:ind w:firstLine="432"/>
        <w:jc w:val="both"/>
      </w:pPr>
      <w:r>
        <w:rPr>
          <w:rFonts w:ascii="Calibri" w:hAnsi="Calibri" w:eastAsia="宋体"/>
          <w:sz w:val="22"/>
        </w:rPr>
        <w:t>上述实验依次从设施到达负荷、模型方案性能、关键设施与来源组机制、参数稳健性和微观行人运动五个层面评价路径组织方法。</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eastAsia="宋体"/>
        <w:color w:val="6B7280"/>
        <w:sz w:val="18"/>
      </w:rPr>
      <w:t xml:space="preserve">第 </w:t>
    </w:r>
    <w:r/>
    <w:fldSimple w:instr="PAGE"/>
    <w:r>
      <w:rPr>
        <w:rFonts w:ascii="Calibri" w:hAnsi="Calibri" w:eastAsia="宋体"/>
        <w:color w:val="6B7280"/>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宋体"/>
        <w:color w:val="6B7280"/>
        <w:sz w:val="18"/>
      </w:rPr>
      <w:t>方法与实验部分</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黑体"/>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黑体"/>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黑体"/>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720" w:hanging="360"/>
      <w:contextualSpacing/>
    </w:pPr>
    <w:rPr>
      <w:rFonts w:ascii="Calibri" w:hAnsi="Calibri" w:eastAsia="宋体"/>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720" w:hanging="360"/>
      <w:contextualSpacing/>
    </w:pPr>
    <w:rPr>
      <w:rFonts w:ascii="Calibri" w:hAnsi="Calibri" w:eastAsia="宋体"/>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
    <w:name w:val="Equation"/>
    <w:pPr>
      <w:spacing w:before="80" w:after="160"/>
    </w:pPr>
    <w:rPr>
      <w:rFonts w:ascii="Cambria Math" w:hAnsi="Cambria Math" w:eastAsia="宋体"/>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方法与实验部分</dc:title>
  <dc:subject>大型多线换乘站整体应急疏散</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