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jc w:val="center"/>
      </w:pPr>
      <w:r>
        <w:rPr>
          <w:rFonts w:ascii="Calibri" w:hAnsi="Calibri" w:eastAsia="黑体"/>
          <w:b/>
          <w:color w:val="0B2545"/>
          <w:sz w:val="40"/>
        </w:rPr>
        <w:t>方法与实验部分</w:t>
      </w:r>
    </w:p>
    <w:p>
      <w:pPr>
        <w:spacing w:after="360"/>
        <w:jc w:val="center"/>
      </w:pPr>
      <w:r>
        <w:rPr>
          <w:rFonts w:ascii="Calibri" w:hAnsi="Calibri" w:eastAsia="宋体"/>
          <w:color w:val="6B7280"/>
          <w:sz w:val="20"/>
        </w:rPr>
        <w:t>大型多线换乘站整体应急疏散</w:t>
      </w:r>
    </w:p>
    <w:p>
      <w:pPr>
        <w:ind w:firstLine="432"/>
        <w:jc w:val="both"/>
      </w:pPr>
      <w:r>
        <w:rPr>
          <w:rFonts w:ascii="Cambria Math" w:hAnsi="Cambria Math" w:eastAsia="宋体"/>
          <w:sz w:val="22"/>
        </w:rPr>
        <w:t>本文方法与案例研究部分按照“问题刻画—方法执行—机制验证”的顺序展开。第 3 章首先把龙阳路站这类大型多线换乘站的应急疏散过程表达为多来源客流在共享设施服务链上的动态加载问题，回答本文到底要刻画什么；第 4 章说明该问题如何由当前状态 A* 对照方法和 AA 到达时刻队列感知搜索在同一执行层下求解，回答代码怎样把模型变成可运行过程；第 5 章再用低负荷和高负荷场景、来源组分配、关键设施负荷、整体疏散指标、Pathfinder 趋势对照和敏感性分析验证，回答该机制是否发生、是否改善全站疏散以及在哪些条件下成立。三章之间的关系不是并列介绍算法和实验，而是从换乘站疏散问题出发，经过路径组织方法，最终回到疏散效果解释。</w:t>
      </w:r>
    </w:p>
    <w:p>
      <w:pPr>
        <w:pStyle w:val="Heading1"/>
        <w:keepNext/>
      </w:pPr>
      <w:r>
        <w:rPr>
          <w:rFonts w:ascii="Calibri" w:hAnsi="Calibri" w:eastAsia="黑体"/>
          <w:b/>
          <w:color w:val="2E74B5"/>
          <w:sz w:val="32"/>
        </w:rPr>
        <w:t>3 多来源客流作用下的换乘站疏散服务链模型</w:t>
      </w:r>
    </w:p>
    <w:p>
      <w:pPr>
        <w:ind w:firstLine="432"/>
        <w:jc w:val="both"/>
      </w:pPr>
      <w:r>
        <w:rPr>
          <w:rFonts w:ascii="Cambria Math" w:hAnsi="Cambria Math" w:eastAsia="宋体"/>
          <w:sz w:val="22"/>
        </w:rPr>
        <w:t>龙阳路站应急疏散的关键困难并不在于乘客是否存在通向出口的可达路径，而在于多线路站台客流、列车到达释放客流、站厅滞留客流和换乘客流会在同一组楼扶梯、换乘通道、闸机和出口前区上叠加。尤其是换乘客流，其服务链通常跨越多个线路空间，既可能与本线出站客流竞争垂向设施，也可能在目标线路站厅和出入口处与其他来源客流再次汇合。若路径组织只依据当前可见阻抗，部分客流在到达关键设施时可能面对已经由前序批次形成的排队，从而使全站尾部清空受局部共享设施控制。</w:t>
      </w:r>
    </w:p>
    <w:p>
      <w:pPr>
        <w:ind w:firstLine="432"/>
        <w:jc w:val="both"/>
      </w:pPr>
      <w:r>
        <w:rPr>
          <w:rFonts w:ascii="Cambria Math" w:hAnsi="Cambria Math" w:eastAsia="宋体"/>
          <w:sz w:val="22"/>
        </w:rPr>
        <w:t>基于上述认识，本章将大型多线换乘站的疏散过程抽象为多来源客流在共享设施服务链上的动态分配问题。这里的“服务链”强调乘客从站台、列车、站厅或换乘通道入口出发后，需要依次经过若干空间单元和具有服务能力的设施，才能最终离站。模型章的任务不是介绍 AA，也不是单独证明某个搜索算法优越，而是定义研究对象、客流来源、设施容量、队列形成和评价指标。第 4 章中的路径搜索和共享容量执行均服务于本章提出的问题表达。</w:t>
      </w:r>
    </w:p>
    <w:p>
      <w:pPr>
        <w:pStyle w:val="Heading2"/>
        <w:keepNext/>
      </w:pPr>
      <w:r>
        <w:rPr>
          <w:rFonts w:ascii="Calibri" w:hAnsi="Calibri" w:eastAsia="黑体"/>
          <w:b/>
          <w:color w:val="2E74B5"/>
          <w:sz w:val="26"/>
        </w:rPr>
        <w:t>3.1 多线换乘站服务链网络与客流来源</w:t>
      </w:r>
    </w:p>
    <w:p>
      <w:pPr>
        <w:ind w:firstLine="432"/>
        <w:jc w:val="both"/>
      </w:pPr>
      <w:r>
        <w:rPr>
          <w:rFonts w:ascii="Cambria Math" w:hAnsi="Cambria Math" w:eastAsia="宋体"/>
          <w:sz w:val="22"/>
        </w:rPr>
        <w:t>将车站公共区抽象为有向网络 G=(V,E)。节点集合 V 表示站台候车区、列车释放点、站厅区域、换乘通道连接点、闸机区、出口前区和安全出口等空间单元；边集合 E 表示乘客可行走、可上行或可通过的连接关系。与一般最短路网络不同，本文并不把每条边都看成独立通行设施。对于楼梯、扶梯、换乘通道、闸机和出口前区等具有明确服务能力且可能被多条路径共同使用的对象，定义共享设施资源集合 R。若边 e∈ E 对应某一物理共享设施，则通过映射</w:t>
      </w:r>
    </w:p>
    <w:p>
      <w:pPr>
        <w:pStyle w:val="Equation"/>
        <w:keepLines/>
        <w:jc w:val="center"/>
      </w:pPr>
      <w:r>
        <w:rPr>
          <w:rFonts w:ascii="Cambria Math" w:hAnsi="Cambria Math" w:eastAsia="宋体"/>
          <w:sz w:val="22"/>
        </w:rPr>
        <w:t>ρ:E→ R∪∅</w:t>
      </w:r>
    </w:p>
    <w:p>
      <w:pPr>
        <w:ind w:firstLine="432"/>
        <w:jc w:val="both"/>
      </w:pPr>
      <w:r>
        <w:rPr>
          <w:rFonts w:ascii="Cambria Math" w:hAnsi="Cambria Math" w:eastAsia="宋体"/>
          <w:sz w:val="22"/>
        </w:rPr>
        <w:t>把该边归入相应资源；若该边仅表示普通空间连接，则 ρ(e)=∅。这样，同一楼梯或闸机即使在网络中被多条路径访问，也只对应一个服务容量，避免在路径计算中重复获得通行能力。</w:t>
      </w:r>
    </w:p>
    <w:p>
      <w:pPr>
        <w:ind w:firstLine="432"/>
        <w:jc w:val="both"/>
      </w:pPr>
      <w:r>
        <w:rPr>
          <w:rFonts w:ascii="Cambria Math" w:hAnsi="Cambria Math" w:eastAsia="宋体"/>
          <w:sz w:val="22"/>
        </w:rPr>
        <w:t>客流来源集合记为</w:t>
      </w:r>
    </w:p>
    <w:p>
      <w:pPr>
        <w:pStyle w:val="Equation"/>
        <w:keepLines/>
        <w:jc w:val="center"/>
      </w:pPr>
      <w:r>
        <w:rPr>
          <w:rFonts w:ascii="Cambria Math" w:hAnsi="Cambria Math" w:eastAsia="宋体"/>
          <w:sz w:val="22"/>
        </w:rPr>
        <w:t>G= G</w:t>
      </w:r>
      <w:r>
        <w:rPr>
          <w:rFonts w:ascii="Cambria Math" w:hAnsi="Cambria Math" w:eastAsia="宋体"/>
          <w:sz w:val="22"/>
          <w:vertAlign w:val="superscript"/>
        </w:rPr>
        <w:t>p</w:t>
      </w:r>
      <w:r>
        <w:rPr>
          <w:rFonts w:ascii="Cambria Math" w:hAnsi="Cambria Math" w:eastAsia="宋体"/>
          <w:sz w:val="22"/>
        </w:rPr>
        <w:t>∪ G</w:t>
      </w:r>
      <w:r>
        <w:rPr>
          <w:rFonts w:ascii="Cambria Math" w:hAnsi="Cambria Math" w:eastAsia="宋体"/>
          <w:sz w:val="22"/>
          <w:vertAlign w:val="superscript"/>
        </w:rPr>
        <w:t>train</w:t>
      </w:r>
      <w:r>
        <w:rPr>
          <w:rFonts w:ascii="Cambria Math" w:hAnsi="Cambria Math" w:eastAsia="宋体"/>
          <w:sz w:val="22"/>
        </w:rPr>
        <w:t>∪ G</w:t>
      </w:r>
      <w:r>
        <w:rPr>
          <w:rFonts w:ascii="Cambria Math" w:hAnsi="Cambria Math" w:eastAsia="宋体"/>
          <w:sz w:val="22"/>
          <w:vertAlign w:val="superscript"/>
        </w:rPr>
        <w:t>hall</w:t>
      </w:r>
      <w:r>
        <w:rPr>
          <w:rFonts w:ascii="Cambria Math" w:hAnsi="Cambria Math" w:eastAsia="宋体"/>
          <w:sz w:val="22"/>
        </w:rPr>
        <w:t>∪ G</w:t>
      </w:r>
      <w:r>
        <w:rPr>
          <w:rFonts w:ascii="Cambria Math" w:hAnsi="Cambria Math" w:eastAsia="宋体"/>
          <w:sz w:val="22"/>
          <w:vertAlign w:val="superscript"/>
        </w:rPr>
        <w:t>tr</w:t>
      </w:r>
      <w:r>
        <w:rPr>
          <w:rFonts w:ascii="Cambria Math" w:hAnsi="Cambria Math" w:eastAsia="宋体"/>
          <w:sz w:val="22"/>
        </w:rPr>
        <w:t>,</w:t>
      </w:r>
    </w:p>
    <w:p>
      <w:pPr>
        <w:ind w:firstLine="432"/>
        <w:jc w:val="both"/>
      </w:pPr>
      <w:r>
        <w:rPr>
          <w:rFonts w:ascii="Cambria Math" w:hAnsi="Cambria Math" w:eastAsia="宋体"/>
          <w:sz w:val="22"/>
        </w:rPr>
        <w:t>其中，G</w:t>
      </w:r>
      <w:r>
        <w:rPr>
          <w:rFonts w:ascii="Cambria Math" w:hAnsi="Cambria Math" w:eastAsia="宋体"/>
          <w:sz w:val="22"/>
          <w:vertAlign w:val="superscript"/>
        </w:rPr>
        <w:t>p</w:t>
      </w:r>
      <w:r>
        <w:rPr>
          <w:rFonts w:ascii="Cambria Math" w:hAnsi="Cambria Math" w:eastAsia="宋体"/>
          <w:sz w:val="22"/>
        </w:rPr>
        <w:t xml:space="preserve"> 为站台等待或普通出站客流，G</w:t>
      </w:r>
      <w:r>
        <w:rPr>
          <w:rFonts w:ascii="Cambria Math" w:hAnsi="Cambria Math" w:eastAsia="宋体"/>
          <w:sz w:val="22"/>
          <w:vertAlign w:val="superscript"/>
        </w:rPr>
        <w:t>train</w:t>
      </w:r>
      <w:r>
        <w:rPr>
          <w:rFonts w:ascii="Cambria Math" w:hAnsi="Cambria Math" w:eastAsia="宋体"/>
          <w:sz w:val="22"/>
        </w:rPr>
        <w:t xml:space="preserve"> 为列车到达释放客流，G</w:t>
      </w:r>
      <w:r>
        <w:rPr>
          <w:rFonts w:ascii="Cambria Math" w:hAnsi="Cambria Math" w:eastAsia="宋体"/>
          <w:sz w:val="22"/>
          <w:vertAlign w:val="superscript"/>
        </w:rPr>
        <w:t>hall</w:t>
      </w:r>
      <w:r>
        <w:rPr>
          <w:rFonts w:ascii="Cambria Math" w:hAnsi="Cambria Math" w:eastAsia="宋体"/>
          <w:sz w:val="22"/>
        </w:rPr>
        <w:t xml:space="preserve"> 为站厅滞留客流，G</w:t>
      </w:r>
      <w:r>
        <w:rPr>
          <w:rFonts w:ascii="Cambria Math" w:hAnsi="Cambria Math" w:eastAsia="宋体"/>
          <w:sz w:val="22"/>
          <w:vertAlign w:val="superscript"/>
        </w:rPr>
        <w:t>tr</w:t>
      </w:r>
      <w:r>
        <w:rPr>
          <w:rFonts w:ascii="Cambria Math" w:hAnsi="Cambria Math" w:eastAsia="宋体"/>
          <w:sz w:val="22"/>
        </w:rPr>
        <w:t xml:space="preserve"> 为换乘客流。本文把换乘客流作为解释整体疏散机制的关键来源组，而不是把研究目标缩小为换乘客流单独疏散。换乘客流在站内通常具有更长的服务链和更多跨层、跨线设施暴露，因此它会改变共享设施的到达负荷结构，并影响其他来源客流的排队和尾部离站。</w:t>
      </w:r>
    </w:p>
    <w:p>
      <w:pPr>
        <w:ind w:firstLine="432"/>
        <w:jc w:val="both"/>
      </w:pPr>
      <w:r>
        <w:rPr>
          <w:rFonts w:ascii="Cambria Math" w:hAnsi="Cambria Math" w:eastAsia="宋体"/>
          <w:sz w:val="22"/>
        </w:rPr>
        <w:t>离散仿真时间集合为</w:t>
      </w:r>
    </w:p>
    <w:p>
      <w:pPr>
        <w:pStyle w:val="Equation"/>
        <w:keepLines/>
        <w:jc w:val="center"/>
      </w:pPr>
      <w:r>
        <w:rPr>
          <w:rFonts w:ascii="Cambria Math" w:hAnsi="Cambria Math" w:eastAsia="宋体"/>
          <w:sz w:val="22"/>
        </w:rPr>
        <w:t>T=0,Δ t,2Δ t,...,T.</w:t>
      </w:r>
    </w:p>
    <w:p>
      <w:pPr>
        <w:ind w:firstLine="432"/>
        <w:jc w:val="both"/>
      </w:pPr>
      <w:r>
        <w:rPr>
          <w:rFonts w:ascii="Cambria Math" w:hAnsi="Cambria Math" w:eastAsia="宋体"/>
          <w:sz w:val="22"/>
        </w:rPr>
        <w:t>在任一决策时刻 t，可参与路径组织的客流批次集合记为 B(t)。批次 b∈ B(t) 表示为</w:t>
      </w:r>
    </w:p>
    <w:p>
      <w:pPr>
        <w:pStyle w:val="Equation"/>
        <w:keepLines/>
        <w:jc w:val="center"/>
      </w:pPr>
      <w:r>
        <w:rPr>
          <w:rFonts w:ascii="Cambria Math" w:hAnsi="Cambria Math" w:eastAsia="宋体"/>
          <w:sz w:val="22"/>
        </w:rPr>
        <w:t>b=(g</w:t>
      </w:r>
      <w:r>
        <w:rPr>
          <w:rFonts w:ascii="Cambria Math" w:hAnsi="Cambria Math" w:eastAsia="宋体"/>
          <w:sz w:val="22"/>
          <w:vertAlign w:val="subscript"/>
        </w:rPr>
        <w:t>b</w:t>
      </w:r>
      <w:r>
        <w:rPr>
          <w:rFonts w:ascii="Cambria Math" w:hAnsi="Cambria Math" w:eastAsia="宋体"/>
          <w:sz w:val="22"/>
        </w:rPr>
        <w:t>,o</w:t>
      </w:r>
      <w:r>
        <w:rPr>
          <w:rFonts w:ascii="Cambria Math" w:hAnsi="Cambria Math" w:eastAsia="宋体"/>
          <w:sz w:val="22"/>
          <w:vertAlign w:val="subscript"/>
        </w:rPr>
        <w:t>b</w:t>
      </w:r>
      <w:r>
        <w:rPr>
          <w:rFonts w:ascii="Cambria Math" w:hAnsi="Cambria Math" w:eastAsia="宋体"/>
          <w:sz w:val="22"/>
        </w:rPr>
        <w:t>,D</w:t>
      </w:r>
      <w:r>
        <w:rPr>
          <w:rFonts w:ascii="Cambria Math" w:hAnsi="Cambria Math" w:eastAsia="宋体"/>
          <w:sz w:val="22"/>
          <w:vertAlign w:val="subscript"/>
        </w:rPr>
        <w:t>b</w:t>
      </w:r>
      <w:r>
        <w:rPr>
          <w:rFonts w:ascii="Cambria Math" w:hAnsi="Cambria Math" w:eastAsia="宋体"/>
          <w:sz w:val="22"/>
        </w:rPr>
        <w:t>,n</w:t>
      </w:r>
      <w:r>
        <w:rPr>
          <w:rFonts w:ascii="Cambria Math" w:hAnsi="Cambria Math" w:eastAsia="宋体"/>
          <w:sz w:val="22"/>
          <w:vertAlign w:val="subscript"/>
        </w:rPr>
        <w:t>b</w:t>
      </w:r>
      <w:r>
        <w:rPr>
          <w:rFonts w:ascii="Cambria Math" w:hAnsi="Cambria Math" w:eastAsia="宋体"/>
          <w:sz w:val="22"/>
        </w:rPr>
        <w:t>,t</w:t>
      </w:r>
      <w:r>
        <w:rPr>
          <w:rFonts w:ascii="Cambria Math" w:hAnsi="Cambria Math" w:eastAsia="宋体"/>
          <w:sz w:val="22"/>
          <w:vertAlign w:val="subscript"/>
        </w:rPr>
        <w:t>b</w:t>
      </w:r>
      <w:r>
        <w:rPr>
          <w:rFonts w:ascii="Cambria Math" w:hAnsi="Cambria Math" w:eastAsia="宋体"/>
          <w:sz w:val="22"/>
        </w:rPr>
        <w:t>),</w:t>
      </w:r>
    </w:p>
    <w:p>
      <w:pPr>
        <w:ind w:firstLine="432"/>
        <w:jc w:val="both"/>
      </w:pPr>
      <w:r>
        <w:rPr>
          <w:rFonts w:ascii="Cambria Math" w:hAnsi="Cambria Math" w:eastAsia="宋体"/>
          <w:sz w:val="22"/>
        </w:rPr>
        <w:t>其中，g</w:t>
      </w:r>
      <w:r>
        <w:rPr>
          <w:rFonts w:ascii="Cambria Math" w:hAnsi="Cambria Math" w:eastAsia="宋体"/>
          <w:sz w:val="22"/>
          <w:vertAlign w:val="subscript"/>
        </w:rPr>
        <w:t>b</w:t>
      </w:r>
      <w:r>
        <w:rPr>
          <w:rFonts w:ascii="Cambria Math" w:hAnsi="Cambria Math" w:eastAsia="宋体"/>
          <w:sz w:val="22"/>
        </w:rPr>
        <w:t>∈ G 为来源组，o</w:t>
      </w:r>
      <w:r>
        <w:rPr>
          <w:rFonts w:ascii="Cambria Math" w:hAnsi="Cambria Math" w:eastAsia="宋体"/>
          <w:sz w:val="22"/>
          <w:vertAlign w:val="subscript"/>
        </w:rPr>
        <w:t>b</w:t>
      </w:r>
      <w:r>
        <w:rPr>
          <w:rFonts w:ascii="Cambria Math" w:hAnsi="Cambria Math" w:eastAsia="宋体"/>
          <w:sz w:val="22"/>
        </w:rPr>
        <w:t>∈ V 为批次当前所在节点或队列入口，D</w:t>
      </w:r>
      <w:r>
        <w:rPr>
          <w:rFonts w:ascii="Cambria Math" w:hAnsi="Cambria Math" w:eastAsia="宋体"/>
          <w:sz w:val="22"/>
          <w:vertAlign w:val="subscript"/>
        </w:rPr>
        <w:t>bsubseteq</w:t>
      </w:r>
      <w:r>
        <w:rPr>
          <w:rFonts w:ascii="Cambria Math" w:hAnsi="Cambria Math" w:eastAsia="宋体"/>
          <w:sz w:val="22"/>
        </w:rPr>
        <w:t xml:space="preserve"> V 为可接受安全出口集合，n</w:t>
      </w:r>
      <w:r>
        <w:rPr>
          <w:rFonts w:ascii="Cambria Math" w:hAnsi="Cambria Math" w:eastAsia="宋体"/>
          <w:sz w:val="22"/>
          <w:vertAlign w:val="subscript"/>
        </w:rPr>
        <w:t>b</w:t>
      </w:r>
      <w:r>
        <w:rPr>
          <w:rFonts w:ascii="Cambria Math" w:hAnsi="Cambria Math" w:eastAsia="宋体"/>
          <w:sz w:val="22"/>
        </w:rPr>
        <w:t xml:space="preserve"> 为批次人数，t</w:t>
      </w:r>
      <w:r>
        <w:rPr>
          <w:rFonts w:ascii="Cambria Math" w:hAnsi="Cambria Math" w:eastAsia="宋体"/>
          <w:sz w:val="22"/>
          <w:vertAlign w:val="subscript"/>
        </w:rPr>
        <w:t>b</w:t>
      </w:r>
      <w:r>
        <w:rPr>
          <w:rFonts w:ascii="Cambria Math" w:hAnsi="Cambria Math" w:eastAsia="宋体"/>
          <w:sz w:val="22"/>
        </w:rPr>
        <w:t xml:space="preserve"> 为批次进入路径组织阶段的时刻。批次建模用于保留列车释放、站台等待、站厅滞留和换乘到达之间的时间差异，也便于在路径选择后记录该批次对共享设施的未来到达需求。</w:t>
      </w:r>
    </w:p>
    <w:p>
      <w:pPr>
        <w:spacing w:before="80" w:after="80"/>
        <w:jc w:val="center"/>
      </w:pPr>
      <w:r>
        <w:rPr>
          <w:rFonts w:ascii="Calibri" w:hAnsi="Calibri" w:eastAsia="宋体"/>
          <w:b/>
          <w:sz w:val="20"/>
        </w:rPr>
        <w:t>多来源客流与模型表达</w:t>
      </w:r>
    </w:p>
    <w:tbl>
      <w:tblPr>
        <w:tblStyle w:val="TableGrid"/>
        <w:tblW w:type="dxa" w:w="9360"/>
        <w:jc w:val="left"/>
        <w:tblLayout w:type="fixed"/>
        <w:tblLook w:firstColumn="1" w:firstRow="1" w:lastColumn="0" w:lastRow="0" w:noHBand="0" w:noVBand="1" w:val="04A0"/>
        <w:tblInd w:w="120" w:type="dxa"/>
        <w:tblBorders>
          <w:top w:val="single" w:sz="4" w:space="0" w:color="B7C4D2"/>
          <w:left w:val="single" w:sz="4" w:space="0" w:color="B7C4D2"/>
          <w:bottom w:val="single" w:sz="4" w:space="0" w:color="B7C4D2"/>
          <w:right w:val="single" w:sz="4" w:space="0" w:color="B7C4D2"/>
          <w:insideH w:val="single" w:sz="4" w:space="0" w:color="B7C4D2"/>
          <w:insideV w:val="single" w:sz="4" w:space="0" w:color="B7C4D2"/>
        </w:tblBorders>
      </w:tblPr>
      <w:tblGrid>
        <w:gridCol w:w="2100"/>
        <w:gridCol w:w="3200"/>
        <w:gridCol w:w="4060"/>
      </w:tblGrid>
      <w:tr>
        <w:trPr>
          <w:cantSplit/>
          <w:tblHeader w:val="true"/>
        </w:trPr>
        <w:tc>
          <w:tcPr>
            <w:tcW w:type="dxa" w:w="2100"/>
            <w:tcMar>
              <w:top w:w="80" w:type="dxa"/>
              <w:start w:w="120" w:type="dxa"/>
              <w:bottom w:w="80" w:type="dxa"/>
              <w:end w:w="120" w:type="dxa"/>
            </w:tcMar>
            <w:vAlign w:val="center"/>
            <w:shd w:fill="F4F6F9"/>
          </w:tcPr>
          <w:p>
            <w:pPr>
              <w:spacing w:after="0" w:line="252" w:lineRule="auto"/>
              <w:jc w:val="center"/>
            </w:pPr>
            <w:r/>
            <w:r>
              <w:rPr>
                <w:rFonts w:ascii="Cambria Math" w:hAnsi="Cambria Math" w:eastAsia="宋体"/>
                <w:b/>
                <w:sz w:val="18"/>
              </w:rPr>
              <w:t>来源类型</w:t>
            </w:r>
          </w:p>
        </w:tc>
        <w:tc>
          <w:tcPr>
            <w:tcW w:type="dxa" w:w="3200"/>
            <w:tcMar>
              <w:top w:w="80" w:type="dxa"/>
              <w:start w:w="120" w:type="dxa"/>
              <w:bottom w:w="80" w:type="dxa"/>
              <w:end w:w="120" w:type="dxa"/>
            </w:tcMar>
            <w:vAlign w:val="center"/>
            <w:shd w:fill="F4F6F9"/>
          </w:tcPr>
          <w:p>
            <w:pPr>
              <w:spacing w:after="0" w:line="252" w:lineRule="auto"/>
              <w:jc w:val="center"/>
            </w:pPr>
            <w:r/>
            <w:r>
              <w:rPr>
                <w:rFonts w:ascii="Cambria Math" w:hAnsi="Cambria Math" w:eastAsia="宋体"/>
                <w:b/>
                <w:sz w:val="18"/>
              </w:rPr>
              <w:t>模型表达</w:t>
            </w:r>
          </w:p>
        </w:tc>
        <w:tc>
          <w:tcPr>
            <w:tcW w:type="dxa" w:w="4060"/>
            <w:tcMar>
              <w:top w:w="80" w:type="dxa"/>
              <w:start w:w="120" w:type="dxa"/>
              <w:bottom w:w="80" w:type="dxa"/>
              <w:end w:w="120" w:type="dxa"/>
            </w:tcMar>
            <w:vAlign w:val="center"/>
            <w:shd w:fill="F4F6F9"/>
          </w:tcPr>
          <w:p>
            <w:pPr>
              <w:spacing w:after="0" w:line="252" w:lineRule="auto"/>
              <w:jc w:val="center"/>
            </w:pPr>
            <w:r/>
            <w:r>
              <w:rPr>
                <w:rFonts w:ascii="Cambria Math" w:hAnsi="Cambria Math" w:eastAsia="宋体"/>
                <w:b/>
                <w:sz w:val="18"/>
              </w:rPr>
              <w:t>对整体疏散的作用</w:t>
            </w:r>
          </w:p>
        </w:tc>
      </w:tr>
      <w:tr>
        <w:trPr>
          <w:cantSplit/>
        </w:trPr>
        <w:tc>
          <w:tcPr>
            <w:tcW w:type="dxa" w:w="2100"/>
            <w:tcMar>
              <w:top w:w="80" w:type="dxa"/>
              <w:start w:w="120" w:type="dxa"/>
              <w:bottom w:w="80" w:type="dxa"/>
              <w:end w:w="120" w:type="dxa"/>
            </w:tcMar>
            <w:vAlign w:val="center"/>
          </w:tcPr>
          <w:p>
            <w:pPr>
              <w:spacing w:after="0" w:line="252" w:lineRule="auto"/>
              <w:jc w:val="left"/>
            </w:pPr>
            <w:r/>
            <w:r>
              <w:rPr>
                <w:rFonts w:ascii="Cambria Math" w:hAnsi="Cambria Math" w:eastAsia="宋体"/>
                <w:b w:val="0"/>
                <w:sz w:val="18"/>
              </w:rPr>
              <w:t>站台等待客流</w:t>
            </w:r>
          </w:p>
        </w:tc>
        <w:tc>
          <w:tcPr>
            <w:tcW w:type="dxa" w:w="3200"/>
            <w:tcMar>
              <w:top w:w="80" w:type="dxa"/>
              <w:start w:w="120" w:type="dxa"/>
              <w:bottom w:w="80" w:type="dxa"/>
              <w:end w:w="120" w:type="dxa"/>
            </w:tcMar>
            <w:vAlign w:val="center"/>
          </w:tcPr>
          <w:p>
            <w:pPr>
              <w:spacing w:after="0" w:line="252" w:lineRule="auto"/>
              <w:jc w:val="left"/>
            </w:pPr>
            <w:r/>
            <w:r>
              <w:rPr>
                <w:rFonts w:ascii="Cambria Math" w:hAnsi="Cambria Math" w:eastAsia="宋体"/>
                <w:b w:val="0"/>
                <w:sz w:val="18"/>
              </w:rPr>
              <w:t>由各线路站台等待区或分区节点释放</w:t>
            </w:r>
          </w:p>
        </w:tc>
        <w:tc>
          <w:tcPr>
            <w:tcW w:type="dxa" w:w="4060"/>
            <w:tcMar>
              <w:top w:w="80" w:type="dxa"/>
              <w:start w:w="120" w:type="dxa"/>
              <w:bottom w:w="80" w:type="dxa"/>
              <w:end w:w="120" w:type="dxa"/>
            </w:tcMar>
            <w:vAlign w:val="center"/>
          </w:tcPr>
          <w:p>
            <w:pPr>
              <w:spacing w:after="0" w:line="252" w:lineRule="auto"/>
              <w:jc w:val="center"/>
            </w:pPr>
            <w:r/>
            <w:r>
              <w:rPr>
                <w:rFonts w:ascii="Cambria Math" w:hAnsi="Cambria Math" w:eastAsia="宋体"/>
                <w:b w:val="0"/>
                <w:sz w:val="18"/>
              </w:rPr>
              <w:t>构成本线出站基础需求，并与列车释放流共同使用垂向设施</w:t>
            </w:r>
          </w:p>
        </w:tc>
      </w:tr>
      <w:tr>
        <w:trPr>
          <w:cantSplit/>
        </w:trPr>
        <w:tc>
          <w:tcPr>
            <w:tcW w:type="dxa" w:w="2100"/>
            <w:tcMar>
              <w:top w:w="80" w:type="dxa"/>
              <w:start w:w="120" w:type="dxa"/>
              <w:bottom w:w="80" w:type="dxa"/>
              <w:end w:w="120" w:type="dxa"/>
            </w:tcMar>
            <w:vAlign w:val="center"/>
          </w:tcPr>
          <w:p>
            <w:pPr>
              <w:spacing w:after="0" w:line="252" w:lineRule="auto"/>
              <w:jc w:val="left"/>
            </w:pPr>
            <w:r/>
            <w:r>
              <w:rPr>
                <w:rFonts w:ascii="Cambria Math" w:hAnsi="Cambria Math" w:eastAsia="宋体"/>
                <w:b w:val="0"/>
                <w:sz w:val="18"/>
              </w:rPr>
              <w:t>列车到达释放客流</w:t>
            </w:r>
          </w:p>
        </w:tc>
        <w:tc>
          <w:tcPr>
            <w:tcW w:type="dxa" w:w="3200"/>
            <w:tcMar>
              <w:top w:w="80" w:type="dxa"/>
              <w:start w:w="120" w:type="dxa"/>
              <w:bottom w:w="80" w:type="dxa"/>
              <w:end w:w="120" w:type="dxa"/>
            </w:tcMar>
            <w:vAlign w:val="center"/>
          </w:tcPr>
          <w:p>
            <w:pPr>
              <w:spacing w:after="0" w:line="252" w:lineRule="auto"/>
              <w:jc w:val="left"/>
            </w:pPr>
            <w:r/>
            <w:r>
              <w:rPr>
                <w:rFonts w:ascii="Cambria Math" w:hAnsi="Cambria Math" w:eastAsia="宋体"/>
                <w:b w:val="0"/>
                <w:sz w:val="18"/>
              </w:rPr>
              <w:t>按线路、列车和车厢位置生成批次</w:t>
            </w:r>
          </w:p>
        </w:tc>
        <w:tc>
          <w:tcPr>
            <w:tcW w:type="dxa" w:w="4060"/>
            <w:tcMar>
              <w:top w:w="80" w:type="dxa"/>
              <w:start w:w="120" w:type="dxa"/>
              <w:bottom w:w="80" w:type="dxa"/>
              <w:end w:w="120" w:type="dxa"/>
            </w:tcMar>
            <w:vAlign w:val="center"/>
          </w:tcPr>
          <w:p>
            <w:pPr>
              <w:spacing w:after="0" w:line="252" w:lineRule="auto"/>
              <w:jc w:val="center"/>
            </w:pPr>
            <w:r/>
            <w:r>
              <w:rPr>
                <w:rFonts w:ascii="Cambria Math" w:hAnsi="Cambria Math" w:eastAsia="宋体"/>
                <w:b w:val="0"/>
                <w:sz w:val="18"/>
              </w:rPr>
              <w:t>放大短时间内的到达峰值，是高负荷场景中共享设施竞争的主要触发因素</w:t>
            </w:r>
          </w:p>
        </w:tc>
      </w:tr>
      <w:tr>
        <w:trPr>
          <w:cantSplit/>
        </w:trPr>
        <w:tc>
          <w:tcPr>
            <w:tcW w:type="dxa" w:w="2100"/>
            <w:tcMar>
              <w:top w:w="80" w:type="dxa"/>
              <w:start w:w="120" w:type="dxa"/>
              <w:bottom w:w="80" w:type="dxa"/>
              <w:end w:w="120" w:type="dxa"/>
            </w:tcMar>
            <w:vAlign w:val="center"/>
          </w:tcPr>
          <w:p>
            <w:pPr>
              <w:spacing w:after="0" w:line="252" w:lineRule="auto"/>
              <w:jc w:val="left"/>
            </w:pPr>
            <w:r/>
            <w:r>
              <w:rPr>
                <w:rFonts w:ascii="Cambria Math" w:hAnsi="Cambria Math" w:eastAsia="宋体"/>
                <w:b w:val="0"/>
                <w:sz w:val="18"/>
              </w:rPr>
              <w:t>站厅滞留客流</w:t>
            </w:r>
          </w:p>
        </w:tc>
        <w:tc>
          <w:tcPr>
            <w:tcW w:type="dxa" w:w="3200"/>
            <w:tcMar>
              <w:top w:w="80" w:type="dxa"/>
              <w:start w:w="120" w:type="dxa"/>
              <w:bottom w:w="80" w:type="dxa"/>
              <w:end w:w="120" w:type="dxa"/>
            </w:tcMar>
            <w:vAlign w:val="center"/>
          </w:tcPr>
          <w:p>
            <w:pPr>
              <w:spacing w:after="0" w:line="252" w:lineRule="auto"/>
              <w:jc w:val="left"/>
            </w:pPr>
            <w:r/>
            <w:r>
              <w:rPr>
                <w:rFonts w:ascii="Cambria Math" w:hAnsi="Cambria Math" w:eastAsia="宋体"/>
                <w:b w:val="0"/>
                <w:sz w:val="18"/>
              </w:rPr>
              <w:t>由站厅 staging 节点进入网络</w:t>
            </w:r>
          </w:p>
        </w:tc>
        <w:tc>
          <w:tcPr>
            <w:tcW w:type="dxa" w:w="4060"/>
            <w:tcMar>
              <w:top w:w="80" w:type="dxa"/>
              <w:start w:w="120" w:type="dxa"/>
              <w:bottom w:w="80" w:type="dxa"/>
              <w:end w:w="120" w:type="dxa"/>
            </w:tcMar>
            <w:vAlign w:val="center"/>
          </w:tcPr>
          <w:p>
            <w:pPr>
              <w:spacing w:after="0" w:line="252" w:lineRule="auto"/>
              <w:jc w:val="center"/>
            </w:pPr>
            <w:r/>
            <w:r>
              <w:rPr>
                <w:rFonts w:ascii="Cambria Math" w:hAnsi="Cambria Math" w:eastAsia="宋体"/>
                <w:b w:val="0"/>
                <w:sz w:val="18"/>
              </w:rPr>
              <w:t>影响闸机、出口前区和部分站厅连接节点的空间接收状态</w:t>
            </w:r>
          </w:p>
        </w:tc>
      </w:tr>
      <w:tr>
        <w:trPr>
          <w:cantSplit/>
        </w:trPr>
        <w:tc>
          <w:tcPr>
            <w:tcW w:type="dxa" w:w="2100"/>
            <w:tcMar>
              <w:top w:w="80" w:type="dxa"/>
              <w:start w:w="120" w:type="dxa"/>
              <w:bottom w:w="80" w:type="dxa"/>
              <w:end w:w="120" w:type="dxa"/>
            </w:tcMar>
            <w:vAlign w:val="center"/>
          </w:tcPr>
          <w:p>
            <w:pPr>
              <w:spacing w:after="0" w:line="252" w:lineRule="auto"/>
              <w:jc w:val="left"/>
            </w:pPr>
            <w:r/>
            <w:r>
              <w:rPr>
                <w:rFonts w:ascii="Cambria Math" w:hAnsi="Cambria Math" w:eastAsia="宋体"/>
                <w:b w:val="0"/>
                <w:sz w:val="18"/>
              </w:rPr>
              <w:t>换乘客流</w:t>
            </w:r>
          </w:p>
        </w:tc>
        <w:tc>
          <w:tcPr>
            <w:tcW w:type="dxa" w:w="3200"/>
            <w:tcMar>
              <w:top w:w="80" w:type="dxa"/>
              <w:start w:w="120" w:type="dxa"/>
              <w:bottom w:w="80" w:type="dxa"/>
              <w:end w:w="120" w:type="dxa"/>
            </w:tcMar>
            <w:vAlign w:val="center"/>
          </w:tcPr>
          <w:p>
            <w:pPr>
              <w:spacing w:after="0" w:line="252" w:lineRule="auto"/>
              <w:jc w:val="left"/>
            </w:pPr>
            <w:r/>
            <w:r>
              <w:rPr>
                <w:rFonts w:ascii="Cambria Math" w:hAnsi="Cambria Math" w:eastAsia="宋体"/>
                <w:b w:val="0"/>
                <w:sz w:val="18"/>
              </w:rPr>
              <w:t>由换乘通道、换乘楼扶梯或跨线入口节点生成</w:t>
            </w:r>
          </w:p>
        </w:tc>
        <w:tc>
          <w:tcPr>
            <w:tcW w:type="dxa" w:w="4060"/>
            <w:tcMar>
              <w:top w:w="80" w:type="dxa"/>
              <w:start w:w="120" w:type="dxa"/>
              <w:bottom w:w="80" w:type="dxa"/>
              <w:end w:w="120" w:type="dxa"/>
            </w:tcMar>
            <w:vAlign w:val="center"/>
          </w:tcPr>
          <w:p>
            <w:pPr>
              <w:spacing w:after="0" w:line="252" w:lineRule="auto"/>
              <w:jc w:val="center"/>
            </w:pPr>
            <w:r/>
            <w:r>
              <w:rPr>
                <w:rFonts w:ascii="Cambria Math" w:hAnsi="Cambria Math" w:eastAsia="宋体"/>
                <w:b w:val="0"/>
                <w:sz w:val="18"/>
              </w:rPr>
              <w:t>形成跨线服务链，与多线路出站流共同竞争楼扶梯、通道、闸机和出口前区</w:t>
            </w:r>
          </w:p>
        </w:tc>
      </w:tr>
    </w:tbl>
    <w:p>
      <w:pPr>
        <w:spacing w:after="40"/>
      </w:pPr>
    </w:p>
    <w:p>
      <w:pPr>
        <w:ind w:firstLine="432"/>
        <w:jc w:val="both"/>
      </w:pPr>
      <w:r>
        <w:rPr>
          <w:rFonts w:ascii="Cambria Math" w:hAnsi="Cambria Math" w:eastAsia="宋体"/>
          <w:sz w:val="22"/>
        </w:rPr>
        <w:t>对批次 b，设 P</w:t>
      </w:r>
      <w:r>
        <w:rPr>
          <w:rFonts w:ascii="Cambria Math" w:hAnsi="Cambria Math" w:eastAsia="宋体"/>
          <w:sz w:val="22"/>
          <w:vertAlign w:val="subscript"/>
        </w:rPr>
        <w:t>b</w:t>
      </w:r>
      <w:r>
        <w:rPr>
          <w:rFonts w:ascii="Cambria Math" w:hAnsi="Cambria Math" w:eastAsia="宋体"/>
          <w:sz w:val="22"/>
        </w:rPr>
        <w:t>(t) 为从 o</w:t>
      </w:r>
      <w:r>
        <w:rPr>
          <w:rFonts w:ascii="Cambria Math" w:hAnsi="Cambria Math" w:eastAsia="宋体"/>
          <w:sz w:val="22"/>
          <w:vertAlign w:val="subscript"/>
        </w:rPr>
        <w:t>b</w:t>
      </w:r>
      <w:r>
        <w:rPr>
          <w:rFonts w:ascii="Cambria Math" w:hAnsi="Cambria Math" w:eastAsia="宋体"/>
          <w:sz w:val="22"/>
        </w:rPr>
        <w:t xml:space="preserve"> 到 D</w:t>
      </w:r>
      <w:r>
        <w:rPr>
          <w:rFonts w:ascii="Cambria Math" w:hAnsi="Cambria Math" w:eastAsia="宋体"/>
          <w:sz w:val="22"/>
          <w:vertAlign w:val="subscript"/>
        </w:rPr>
        <w:t>b</w:t>
      </w:r>
      <w:r>
        <w:rPr>
          <w:rFonts w:ascii="Cambria Math" w:hAnsi="Cambria Math" w:eastAsia="宋体"/>
          <w:sz w:val="22"/>
        </w:rPr>
        <w:t xml:space="preserve"> 中任一出口的候选可行路径集合。路径选择变量定义为</w:t>
      </w:r>
    </w:p>
    <w:p>
      <w:pPr>
        <w:pStyle w:val="Equation"/>
        <w:keepLines/>
        <w:jc w:val="center"/>
      </w:pPr>
      <w:r>
        <w:rPr>
          <w:rFonts w:ascii="Cambria Math" w:hAnsi="Cambria Math" w:eastAsia="宋体"/>
          <w:sz w:val="22"/>
        </w:rPr>
        <w:t>x</w:t>
      </w:r>
      <w:r>
        <w:rPr>
          <w:rFonts w:ascii="Cambria Math" w:hAnsi="Cambria Math" w:eastAsia="宋体"/>
          <w:sz w:val="22"/>
          <w:vertAlign w:val="subscript"/>
        </w:rPr>
        <w:t>bp</w:t>
      </w:r>
      <w:r>
        <w:rPr>
          <w:rFonts w:ascii="Cambria Math" w:hAnsi="Cambria Math" w:eastAsia="宋体"/>
          <w:sz w:val="22"/>
        </w:rPr>
        <w:t>(t)= 1, 时刻 t 批次 b 选择路径 p; 0, 否则.</w:t>
      </w:r>
    </w:p>
    <w:p>
      <w:pPr>
        <w:ind w:firstLine="432"/>
        <w:jc w:val="both"/>
      </w:pPr>
      <w:r>
        <w:rPr>
          <w:rFonts w:ascii="Cambria Math" w:hAnsi="Cambria Math" w:eastAsia="宋体"/>
          <w:sz w:val="22"/>
        </w:rPr>
        <w:t>在路径组织层，x</w:t>
      </w:r>
      <w:r>
        <w:rPr>
          <w:rFonts w:ascii="Cambria Math" w:hAnsi="Cambria Math" w:eastAsia="宋体"/>
          <w:sz w:val="22"/>
          <w:vertAlign w:val="subscript"/>
        </w:rPr>
        <w:t>bp</w:t>
      </w:r>
      <w:r>
        <w:rPr>
          <w:rFonts w:ascii="Cambria Math" w:hAnsi="Cambria Math" w:eastAsia="宋体"/>
          <w:sz w:val="22"/>
        </w:rPr>
        <w:t>(t) 表示路径意图；在执行层，乘客是否能够按该意图前进，还要受共享设施容量、下游空间接收能力和在途移动过程约束。这一区分是本文模型的基础，因为路径规划结果不能直接等同于真实疏散结果。</w:t>
      </w:r>
    </w:p>
    <w:p>
      <w:pPr>
        <w:pStyle w:val="Heading2"/>
        <w:keepNext/>
      </w:pPr>
      <w:r>
        <w:rPr>
          <w:rFonts w:ascii="Calibri" w:hAnsi="Calibri" w:eastAsia="黑体"/>
          <w:b/>
          <w:color w:val="2E74B5"/>
          <w:sz w:val="26"/>
        </w:rPr>
        <w:t>3.2 共享设施容量约束与队列形成机制</w:t>
      </w:r>
    </w:p>
    <w:p>
      <w:pPr>
        <w:ind w:firstLine="432"/>
        <w:jc w:val="both"/>
      </w:pPr>
      <w:r>
        <w:rPr>
          <w:rFonts w:ascii="Cambria Math" w:hAnsi="Cambria Math" w:eastAsia="宋体"/>
          <w:sz w:val="22"/>
        </w:rPr>
        <w:t>设共享设施 r∈ R 的服务率为 μ</w:t>
      </w:r>
      <w:r>
        <w:rPr>
          <w:rFonts w:ascii="Cambria Math" w:hAnsi="Cambria Math" w:eastAsia="宋体"/>
          <w:sz w:val="22"/>
          <w:vertAlign w:val="subscript"/>
        </w:rPr>
        <w:t>r，时间步内可释放能力为</w:t>
      </w:r>
    </w:p>
    <w:p>
      <w:pPr>
        <w:pStyle w:val="Equation"/>
        <w:keepLines/>
        <w:jc w:val="center"/>
      </w:pPr>
      <w:r>
        <w:rPr>
          <w:rFonts w:ascii="Cambria Math" w:hAnsi="Cambria Math" w:eastAsia="宋体"/>
          <w:sz w:val="22"/>
        </w:rPr>
        <w:t>C</w:t>
      </w:r>
      <w:r>
        <w:rPr>
          <w:rFonts w:ascii="Cambria Math" w:hAnsi="Cambria Math" w:eastAsia="宋体"/>
          <w:sz w:val="22"/>
          <w:vertAlign w:val="subscript"/>
        </w:rPr>
        <w:t>r</w:t>
      </w:r>
      <w:r>
        <w:rPr>
          <w:rFonts w:ascii="Cambria Math" w:hAnsi="Cambria Math" w:eastAsia="宋体"/>
          <w:sz w:val="22"/>
        </w:rPr>
        <w:t>(t)=⌊ μ</w:t>
      </w:r>
      <w:r>
        <w:rPr>
          <w:rFonts w:ascii="Cambria Math" w:hAnsi="Cambria Math" w:eastAsia="宋体"/>
          <w:sz w:val="22"/>
          <w:vertAlign w:val="subscript"/>
        </w:rPr>
        <w:t>rΔ</w:t>
      </w:r>
      <w:r>
        <w:rPr>
          <w:rFonts w:ascii="Cambria Math" w:hAnsi="Cambria Math" w:eastAsia="宋体"/>
          <w:sz w:val="22"/>
        </w:rPr>
        <w:t xml:space="preserve"> t+ξ</w:t>
      </w:r>
      <w:r>
        <w:rPr>
          <w:rFonts w:ascii="Cambria Math" w:hAnsi="Cambria Math" w:eastAsia="宋体"/>
          <w:sz w:val="22"/>
          <w:vertAlign w:val="subscript"/>
        </w:rPr>
        <w:t>r</w:t>
      </w:r>
      <w:r>
        <w:rPr>
          <w:rFonts w:ascii="Cambria Math" w:hAnsi="Cambria Math" w:eastAsia="宋体"/>
          <w:sz w:val="22"/>
        </w:rPr>
        <w:t>(t)⌋,</w:t>
      </w:r>
    </w:p>
    <w:p>
      <w:pPr>
        <w:ind w:firstLine="432"/>
        <w:jc w:val="both"/>
      </w:pPr>
      <w:r>
        <w:rPr>
          <w:rFonts w:ascii="Cambria Math" w:hAnsi="Cambria Math" w:eastAsia="宋体"/>
          <w:sz w:val="22"/>
        </w:rPr>
        <w:t>其中，ξ</w:t>
      </w:r>
      <w:r>
        <w:rPr>
          <w:rFonts w:ascii="Cambria Math" w:hAnsi="Cambria Math" w:eastAsia="宋体"/>
          <w:sz w:val="22"/>
          <w:vertAlign w:val="subscript"/>
        </w:rPr>
        <w:t>r</w:t>
      </w:r>
      <w:r>
        <w:rPr>
          <w:rFonts w:ascii="Cambria Math" w:hAnsi="Cambria Math" w:eastAsia="宋体"/>
          <w:sz w:val="22"/>
        </w:rPr>
        <w:t>(t) 为离散容量余量项。设施入口等待队列记为 Q</w:t>
      </w:r>
      <w:r>
        <w:rPr>
          <w:rFonts w:ascii="Cambria Math" w:hAnsi="Cambria Math" w:eastAsia="宋体"/>
          <w:sz w:val="22"/>
          <w:vertAlign w:val="subscript"/>
        </w:rPr>
        <w:t>r</w:t>
      </w:r>
      <w:r>
        <w:rPr>
          <w:rFonts w:ascii="Cambria Math" w:hAnsi="Cambria Math" w:eastAsia="宋体"/>
          <w:sz w:val="22"/>
        </w:rPr>
        <w:t>(t)，节点 v∈ V 的瞬时占用人数记为 N</w:t>
      </w:r>
      <w:r>
        <w:rPr>
          <w:rFonts w:ascii="Cambria Math" w:hAnsi="Cambria Math" w:eastAsia="宋体"/>
          <w:sz w:val="22"/>
          <w:vertAlign w:val="subscript"/>
        </w:rPr>
        <w:t>v</w:t>
      </w:r>
      <w:r>
        <w:rPr>
          <w:rFonts w:ascii="Cambria Math" w:hAnsi="Cambria Math" w:eastAsia="宋体"/>
          <w:sz w:val="22"/>
        </w:rPr>
        <w:t>(t)，最大接收能力记为 N̄</w:t>
      </w:r>
      <w:r>
        <w:rPr>
          <w:rFonts w:ascii="Cambria Math" w:hAnsi="Cambria Math" w:eastAsia="宋体"/>
          <w:sz w:val="22"/>
          <w:vertAlign w:val="subscript"/>
        </w:rPr>
        <w:t>v。如果多个来源组在同一时间步到达同一共享设施，它们必须共同竞争</w:t>
      </w:r>
      <w:r>
        <w:rPr>
          <w:rFonts w:ascii="Cambria Math" w:hAnsi="Cambria Math" w:eastAsia="宋体"/>
          <w:sz w:val="22"/>
        </w:rPr>
        <w:t xml:space="preserve"> C</w:t>
      </w:r>
      <w:r>
        <w:rPr>
          <w:rFonts w:ascii="Cambria Math" w:hAnsi="Cambria Math" w:eastAsia="宋体"/>
          <w:sz w:val="22"/>
          <w:vertAlign w:val="subscript"/>
        </w:rPr>
        <w:t>r</w:t>
      </w:r>
      <w:r>
        <w:rPr>
          <w:rFonts w:ascii="Cambria Math" w:hAnsi="Cambria Math" w:eastAsia="宋体"/>
          <w:sz w:val="22"/>
        </w:rPr>
        <w:t>(t)，而不能因为路径来源不同而分别获得容量。</w:t>
      </w:r>
    </w:p>
    <w:p>
      <w:pPr>
        <w:ind w:firstLine="432"/>
        <w:jc w:val="both"/>
      </w:pPr>
      <w:r>
        <w:rPr>
          <w:rFonts w:ascii="Cambria Math" w:hAnsi="Cambria Math" w:eastAsia="宋体"/>
          <w:sz w:val="22"/>
        </w:rPr>
        <w:t>设 I</w:t>
      </w:r>
      <w:r>
        <w:rPr>
          <w:rFonts w:ascii="Cambria Math" w:hAnsi="Cambria Math" w:eastAsia="宋体"/>
          <w:sz w:val="22"/>
          <w:vertAlign w:val="subscript"/>
        </w:rPr>
        <w:t>brp</w:t>
      </w:r>
      <w:r>
        <w:rPr>
          <w:rFonts w:ascii="Cambria Math" w:hAnsi="Cambria Math" w:eastAsia="宋体"/>
          <w:sz w:val="22"/>
        </w:rPr>
        <w:t>(t,theta) 表示批次 b 在时刻 t 选择路径 p 后是否预计于区间 [theta,theta+Δ t) 到达资源 r。资源 r 在 theta 时刻的预测到达需求可写为</w:t>
      </w:r>
    </w:p>
    <w:p>
      <w:pPr>
        <w:pStyle w:val="Equation"/>
        <w:keepLines/>
        <w:jc w:val="center"/>
      </w:pPr>
      <w:r>
        <w:rPr>
          <w:rFonts w:ascii="Cambria Math" w:hAnsi="Cambria Math" w:eastAsia="宋体"/>
          <w:sz w:val="22"/>
        </w:rPr>
        <w:t>A</w:t>
      </w:r>
      <w:r>
        <w:rPr>
          <w:rFonts w:ascii="Cambria Math" w:hAnsi="Cambria Math" w:eastAsia="宋体"/>
          <w:sz w:val="22"/>
          <w:vertAlign w:val="subscript"/>
        </w:rPr>
        <w:t>r</w:t>
      </w:r>
      <w:r>
        <w:rPr>
          <w:rFonts w:ascii="Cambria Math" w:hAnsi="Cambria Math" w:eastAsia="宋体"/>
          <w:sz w:val="22"/>
        </w:rPr>
        <w:t>(theta)= Σ</w:t>
      </w:r>
      <w:r>
        <w:rPr>
          <w:rFonts w:ascii="Cambria Math" w:hAnsi="Cambria Math" w:eastAsia="宋体"/>
          <w:sz w:val="22"/>
          <w:vertAlign w:val="subscript"/>
        </w:rPr>
        <w:t>t</w:t>
      </w:r>
      <w:r>
        <w:rPr>
          <w:rFonts w:ascii="Cambria Math" w:hAnsi="Cambria Math" w:eastAsia="宋体"/>
          <w:sz w:val="22"/>
        </w:rPr>
        <w:t>≤ thetaΣ</w:t>
      </w:r>
      <w:r>
        <w:rPr>
          <w:rFonts w:ascii="Cambria Math" w:hAnsi="Cambria Math" w:eastAsia="宋体"/>
          <w:sz w:val="22"/>
          <w:vertAlign w:val="subscript"/>
        </w:rPr>
        <w:t>b</w:t>
      </w:r>
      <w:r>
        <w:rPr>
          <w:rFonts w:ascii="Cambria Math" w:hAnsi="Cambria Math" w:eastAsia="宋体"/>
          <w:sz w:val="22"/>
        </w:rPr>
        <w:t>∈ B(t) Σ</w:t>
      </w:r>
      <w:r>
        <w:rPr>
          <w:rFonts w:ascii="Cambria Math" w:hAnsi="Cambria Math" w:eastAsia="宋体"/>
          <w:sz w:val="22"/>
          <w:vertAlign w:val="subscript"/>
        </w:rPr>
        <w:t>p</w:t>
      </w:r>
      <w:r>
        <w:rPr>
          <w:rFonts w:ascii="Cambria Math" w:hAnsi="Cambria Math" w:eastAsia="宋体"/>
          <w:sz w:val="22"/>
        </w:rPr>
        <w:t>∈ P</w:t>
      </w:r>
      <w:r>
        <w:rPr>
          <w:rFonts w:ascii="Cambria Math" w:hAnsi="Cambria Math" w:eastAsia="宋体"/>
          <w:sz w:val="22"/>
          <w:vertAlign w:val="subscript"/>
        </w:rPr>
        <w:t>b</w:t>
      </w:r>
      <w:r>
        <w:rPr>
          <w:rFonts w:ascii="Cambria Math" w:hAnsi="Cambria Math" w:eastAsia="宋体"/>
          <w:sz w:val="22"/>
        </w:rPr>
        <w:t>(t) n</w:t>
      </w:r>
      <w:r>
        <w:rPr>
          <w:rFonts w:ascii="Cambria Math" w:hAnsi="Cambria Math" w:eastAsia="宋体"/>
          <w:sz w:val="22"/>
          <w:vertAlign w:val="subscript"/>
        </w:rPr>
        <w:t>bx_bp</w:t>
      </w:r>
      <w:r>
        <w:rPr>
          <w:rFonts w:ascii="Cambria Math" w:hAnsi="Cambria Math" w:eastAsia="宋体"/>
          <w:sz w:val="22"/>
        </w:rPr>
        <w:t>(t)I</w:t>
      </w:r>
      <w:r>
        <w:rPr>
          <w:rFonts w:ascii="Cambria Math" w:hAnsi="Cambria Math" w:eastAsia="宋体"/>
          <w:sz w:val="22"/>
          <w:vertAlign w:val="subscript"/>
        </w:rPr>
        <w:t>brp</w:t>
      </w:r>
      <w:r>
        <w:rPr>
          <w:rFonts w:ascii="Cambria Math" w:hAnsi="Cambria Math" w:eastAsia="宋体"/>
          <w:sz w:val="22"/>
        </w:rPr>
        <w:t>(t,theta).</w:t>
      </w:r>
    </w:p>
    <w:p>
      <w:pPr>
        <w:ind w:firstLine="432"/>
        <w:jc w:val="both"/>
      </w:pPr>
      <w:r>
        <w:rPr>
          <w:rFonts w:ascii="Cambria Math" w:hAnsi="Cambria Math" w:eastAsia="宋体"/>
          <w:sz w:val="22"/>
        </w:rPr>
        <w:t>在执行层，资源队列随到达需求和服务释放更新：</w:t>
      </w:r>
    </w:p>
    <w:p>
      <w:pPr>
        <w:pStyle w:val="Equation"/>
        <w:keepLines/>
        <w:jc w:val="center"/>
      </w:pPr>
      <w:r>
        <w:rPr>
          <w:rFonts w:ascii="Cambria Math" w:hAnsi="Cambria Math" w:eastAsia="宋体"/>
          <w:sz w:val="22"/>
        </w:rPr>
        <w:t>Q</w:t>
      </w:r>
      <w:r>
        <w:rPr>
          <w:rFonts w:ascii="Cambria Math" w:hAnsi="Cambria Math" w:eastAsia="宋体"/>
          <w:sz w:val="22"/>
          <w:vertAlign w:val="subscript"/>
        </w:rPr>
        <w:t>r</w:t>
      </w:r>
      <w:r>
        <w:rPr>
          <w:rFonts w:ascii="Cambria Math" w:hAnsi="Cambria Math" w:eastAsia="宋体"/>
          <w:sz w:val="22"/>
        </w:rPr>
        <w:t>(t+Δ t)=maxQ</w:t>
      </w:r>
      <w:r>
        <w:rPr>
          <w:rFonts w:ascii="Cambria Math" w:hAnsi="Cambria Math" w:eastAsia="宋体"/>
          <w:sz w:val="22"/>
          <w:vertAlign w:val="subscript"/>
        </w:rPr>
        <w:t>r</w:t>
      </w:r>
      <w:r>
        <w:rPr>
          <w:rFonts w:ascii="Cambria Math" w:hAnsi="Cambria Math" w:eastAsia="宋体"/>
          <w:sz w:val="22"/>
        </w:rPr>
        <w:t>(t)+A</w:t>
      </w:r>
      <w:r>
        <w:rPr>
          <w:rFonts w:ascii="Cambria Math" w:hAnsi="Cambria Math" w:eastAsia="宋体"/>
          <w:sz w:val="22"/>
          <w:vertAlign w:val="subscript"/>
        </w:rPr>
        <w:t>r</w:t>
      </w:r>
      <w:r>
        <w:rPr>
          <w:rFonts w:ascii="Cambria Math" w:hAnsi="Cambria Math" w:eastAsia="宋体"/>
          <w:sz w:val="22"/>
        </w:rPr>
        <w:t>(t)-C</w:t>
      </w:r>
      <w:r>
        <w:rPr>
          <w:rFonts w:ascii="Cambria Math" w:hAnsi="Cambria Math" w:eastAsia="宋体"/>
          <w:sz w:val="22"/>
          <w:vertAlign w:val="subscript"/>
        </w:rPr>
        <w:t>r</w:t>
      </w:r>
      <w:r>
        <w:rPr>
          <w:rFonts w:ascii="Cambria Math" w:hAnsi="Cambria Math" w:eastAsia="宋体"/>
          <w:sz w:val="22"/>
        </w:rPr>
        <w:t>(t),0.</w:t>
      </w:r>
    </w:p>
    <w:p>
      <w:pPr>
        <w:ind w:firstLine="432"/>
        <w:jc w:val="both"/>
      </w:pPr>
      <w:r>
        <w:rPr>
          <w:rFonts w:ascii="Cambria Math" w:hAnsi="Cambria Math" w:eastAsia="宋体"/>
          <w:sz w:val="22"/>
        </w:rPr>
        <w:t>这条约束的意义不是形式上让路径层和执行层“保持一致”，而是保证同一物理设施在同一时间步只释放一次真实容量。对龙阳路站这样的多线换乘站而言，换乘流、站台流、列车释放流和站厅流可能经由不同路径进入同一楼扶梯、闸机或出口前区；若不在统一容量下执行，就无法判断路径组织是否真的缓解了共享设施竞争。</w:t>
      </w:r>
    </w:p>
    <w:p>
      <w:pPr>
        <w:ind w:firstLine="432"/>
        <w:jc w:val="both"/>
      </w:pPr>
      <w:r>
        <w:rPr>
          <w:rFonts w:ascii="Cambria Math" w:hAnsi="Cambria Math" w:eastAsia="宋体"/>
          <w:sz w:val="22"/>
        </w:rPr>
        <w:t>除服务能力外，下游空间接收能力也会影响乘客能否继续前进。设 B</w:t>
      </w:r>
      <w:r>
        <w:rPr>
          <w:rFonts w:ascii="Cambria Math" w:hAnsi="Cambria Math" w:eastAsia="宋体"/>
          <w:sz w:val="22"/>
          <w:vertAlign w:val="subscript"/>
        </w:rPr>
        <w:t>v</w:t>
      </w:r>
      <w:r>
        <w:rPr>
          <w:rFonts w:ascii="Cambria Math" w:hAnsi="Cambria Math" w:eastAsia="宋体"/>
          <w:sz w:val="22"/>
        </w:rPr>
        <w:t>(t) 为当前时间步预计进入节点 v 的人数，则需要满足</w:t>
      </w:r>
    </w:p>
    <w:p>
      <w:pPr>
        <w:pStyle w:val="Equation"/>
        <w:keepLines/>
        <w:jc w:val="center"/>
      </w:pPr>
      <w:r>
        <w:rPr>
          <w:rFonts w:ascii="Cambria Math" w:hAnsi="Cambria Math" w:eastAsia="宋体"/>
          <w:sz w:val="22"/>
        </w:rPr>
        <w:t>N</w:t>
      </w:r>
      <w:r>
        <w:rPr>
          <w:rFonts w:ascii="Cambria Math" w:hAnsi="Cambria Math" w:eastAsia="宋体"/>
          <w:sz w:val="22"/>
          <w:vertAlign w:val="subscript"/>
        </w:rPr>
        <w:t>v</w:t>
      </w:r>
      <w:r>
        <w:rPr>
          <w:rFonts w:ascii="Cambria Math" w:hAnsi="Cambria Math" w:eastAsia="宋体"/>
          <w:sz w:val="22"/>
        </w:rPr>
        <w:t>(t)+B</w:t>
      </w:r>
      <w:r>
        <w:rPr>
          <w:rFonts w:ascii="Cambria Math" w:hAnsi="Cambria Math" w:eastAsia="宋体"/>
          <w:sz w:val="22"/>
          <w:vertAlign w:val="subscript"/>
        </w:rPr>
        <w:t>v</w:t>
      </w:r>
      <w:r>
        <w:rPr>
          <w:rFonts w:ascii="Cambria Math" w:hAnsi="Cambria Math" w:eastAsia="宋体"/>
          <w:sz w:val="22"/>
        </w:rPr>
        <w:t>(t)≤ N̄</w:t>
      </w:r>
      <w:r>
        <w:rPr>
          <w:rFonts w:ascii="Cambria Math" w:hAnsi="Cambria Math" w:eastAsia="宋体"/>
          <w:sz w:val="22"/>
          <w:vertAlign w:val="subscript"/>
        </w:rPr>
        <w:t>v</w:t>
      </w:r>
      <w:r>
        <w:rPr>
          <w:rFonts w:ascii="Cambria Math" w:hAnsi="Cambria Math" w:eastAsia="宋体"/>
          <w:sz w:val="22"/>
        </w:rPr>
        <w:t>,quad v∈ V.</w:t>
      </w:r>
    </w:p>
    <w:p>
      <w:pPr>
        <w:ind w:firstLine="432"/>
        <w:jc w:val="both"/>
      </w:pPr>
      <w:r>
        <w:rPr>
          <w:rFonts w:ascii="Cambria Math" w:hAnsi="Cambria Math" w:eastAsia="宋体"/>
          <w:sz w:val="22"/>
        </w:rPr>
        <w:t>当该约束不能满足时，乘客不应被无条件推入下游空间，而应在上游节点、边末端或设施入口形成等待。该机制用于表达高负荷疏散中排队向上游扩散的过程，也是后续分析“局部瓶颈如何影响尾部清空”的基础。</w:t>
      </w:r>
    </w:p>
    <w:p>
      <w:pPr>
        <w:ind w:firstLine="432"/>
        <w:jc w:val="both"/>
      </w:pPr>
      <w:r>
        <w:rPr>
          <w:rFonts w:ascii="Cambria Math" w:hAnsi="Cambria Math" w:eastAsia="宋体"/>
          <w:sz w:val="22"/>
        </w:rPr>
        <w:t>系统人数守恒为</w:t>
      </w:r>
    </w:p>
    <w:p>
      <w:pPr>
        <w:pStyle w:val="Equation"/>
        <w:keepLines/>
        <w:jc w:val="center"/>
      </w:pPr>
      <w:r>
        <w:rPr>
          <w:rFonts w:ascii="Cambria Math" w:hAnsi="Cambria Math" w:eastAsia="宋体"/>
          <w:sz w:val="22"/>
        </w:rPr>
        <w:t>Σ</w:t>
      </w:r>
      <w:r>
        <w:rPr>
          <w:rFonts w:ascii="Cambria Math" w:hAnsi="Cambria Math" w:eastAsia="宋体"/>
          <w:sz w:val="22"/>
          <w:vertAlign w:val="subscript"/>
        </w:rPr>
        <w:t>v</w:t>
      </w:r>
      <w:r>
        <w:rPr>
          <w:rFonts w:ascii="Cambria Math" w:hAnsi="Cambria Math" w:eastAsia="宋体"/>
          <w:sz w:val="22"/>
        </w:rPr>
        <w:t>∈ VN</w:t>
      </w:r>
      <w:r>
        <w:rPr>
          <w:rFonts w:ascii="Cambria Math" w:hAnsi="Cambria Math" w:eastAsia="宋体"/>
          <w:sz w:val="22"/>
          <w:vertAlign w:val="subscript"/>
        </w:rPr>
        <w:t>v</w:t>
      </w:r>
      <w:r>
        <w:rPr>
          <w:rFonts w:ascii="Cambria Math" w:hAnsi="Cambria Math" w:eastAsia="宋体"/>
          <w:sz w:val="22"/>
        </w:rPr>
        <w:t>(t)+Σ</w:t>
      </w:r>
      <w:r>
        <w:rPr>
          <w:rFonts w:ascii="Cambria Math" w:hAnsi="Cambria Math" w:eastAsia="宋体"/>
          <w:sz w:val="22"/>
          <w:vertAlign w:val="subscript"/>
        </w:rPr>
        <w:t>e</w:t>
      </w:r>
      <w:r>
        <w:rPr>
          <w:rFonts w:ascii="Cambria Math" w:hAnsi="Cambria Math" w:eastAsia="宋体"/>
          <w:sz w:val="22"/>
        </w:rPr>
        <w:t>∈ EM</w:t>
      </w:r>
      <w:r>
        <w:rPr>
          <w:rFonts w:ascii="Cambria Math" w:hAnsi="Cambria Math" w:eastAsia="宋体"/>
          <w:sz w:val="22"/>
          <w:vertAlign w:val="subscript"/>
        </w:rPr>
        <w:t>e</w:t>
      </w:r>
      <w:r>
        <w:rPr>
          <w:rFonts w:ascii="Cambria Math" w:hAnsi="Cambria Math" w:eastAsia="宋体"/>
          <w:sz w:val="22"/>
        </w:rPr>
        <w:t>(t)+Σ</w:t>
      </w:r>
      <w:r>
        <w:rPr>
          <w:rFonts w:ascii="Cambria Math" w:hAnsi="Cambria Math" w:eastAsia="宋体"/>
          <w:sz w:val="22"/>
          <w:vertAlign w:val="subscript"/>
        </w:rPr>
        <w:t>r</w:t>
      </w:r>
      <w:r>
        <w:rPr>
          <w:rFonts w:ascii="Cambria Math" w:hAnsi="Cambria Math" w:eastAsia="宋体"/>
          <w:sz w:val="22"/>
        </w:rPr>
        <w:t>∈ RQ</w:t>
      </w:r>
      <w:r>
        <w:rPr>
          <w:rFonts w:ascii="Cambria Math" w:hAnsi="Cambria Math" w:eastAsia="宋体"/>
          <w:sz w:val="22"/>
          <w:vertAlign w:val="subscript"/>
        </w:rPr>
        <w:t>r</w:t>
      </w:r>
      <w:r>
        <w:rPr>
          <w:rFonts w:ascii="Cambria Math" w:hAnsi="Cambria Math" w:eastAsia="宋体"/>
          <w:sz w:val="22"/>
        </w:rPr>
        <w:t>(t)+E</w:t>
      </w:r>
      <w:r>
        <w:rPr>
          <w:rFonts w:ascii="Cambria Math" w:hAnsi="Cambria Math" w:eastAsia="宋体"/>
          <w:sz w:val="22"/>
          <w:vertAlign w:val="superscript"/>
        </w:rPr>
        <w:t>out</w:t>
      </w:r>
      <w:r>
        <w:rPr>
          <w:rFonts w:ascii="Cambria Math" w:hAnsi="Cambria Math" w:eastAsia="宋体"/>
          <w:sz w:val="22"/>
        </w:rPr>
        <w:t>(t)=N</w:t>
      </w:r>
      <w:r>
        <w:rPr>
          <w:rFonts w:ascii="Cambria Math" w:hAnsi="Cambria Math" w:eastAsia="宋体"/>
          <w:sz w:val="22"/>
          <w:vertAlign w:val="superscript"/>
        </w:rPr>
        <w:t>tot</w:t>
      </w:r>
      <w:r>
        <w:rPr>
          <w:rFonts w:ascii="Cambria Math" w:hAnsi="Cambria Math" w:eastAsia="宋体"/>
          <w:sz w:val="22"/>
        </w:rPr>
        <w:t>,</w:t>
      </w:r>
    </w:p>
    <w:p>
      <w:pPr>
        <w:ind w:firstLine="432"/>
        <w:jc w:val="both"/>
      </w:pPr>
      <w:r>
        <w:rPr>
          <w:rFonts w:ascii="Cambria Math" w:hAnsi="Cambria Math" w:eastAsia="宋体"/>
          <w:sz w:val="22"/>
        </w:rPr>
        <w:t>其中，M</w:t>
      </w:r>
      <w:r>
        <w:rPr>
          <w:rFonts w:ascii="Cambria Math" w:hAnsi="Cambria Math" w:eastAsia="宋体"/>
          <w:sz w:val="22"/>
          <w:vertAlign w:val="subscript"/>
        </w:rPr>
        <w:t>e</w:t>
      </w:r>
      <w:r>
        <w:rPr>
          <w:rFonts w:ascii="Cambria Math" w:hAnsi="Cambria Math" w:eastAsia="宋体"/>
          <w:sz w:val="22"/>
        </w:rPr>
        <w:t>(t) 为边上在途人数，E</w:t>
      </w:r>
      <w:r>
        <w:rPr>
          <w:rFonts w:ascii="Cambria Math" w:hAnsi="Cambria Math" w:eastAsia="宋体"/>
          <w:sz w:val="22"/>
          <w:vertAlign w:val="superscript"/>
        </w:rPr>
        <w:t>out</w:t>
      </w:r>
      <w:r>
        <w:rPr>
          <w:rFonts w:ascii="Cambria Math" w:hAnsi="Cambria Math" w:eastAsia="宋体"/>
          <w:sz w:val="22"/>
        </w:rPr>
        <w:t>(t) 为累计离站人数，N</w:t>
      </w:r>
      <w:r>
        <w:rPr>
          <w:rFonts w:ascii="Cambria Math" w:hAnsi="Cambria Math" w:eastAsia="宋体"/>
          <w:sz w:val="22"/>
          <w:vertAlign w:val="superscript"/>
        </w:rPr>
        <w:t>tot</w:t>
      </w:r>
      <w:r>
        <w:rPr>
          <w:rFonts w:ascii="Cambria Math" w:hAnsi="Cambria Math" w:eastAsia="宋体"/>
          <w:sz w:val="22"/>
        </w:rPr>
        <w:t xml:space="preserve"> 为场景总人数。该式保证节点停留、边上移动、设施排队和完成疏散共同构成全系统状态，避免出现人数丢失或重复计数。</w:t>
      </w:r>
    </w:p>
    <w:p>
      <w:pPr>
        <w:pStyle w:val="Heading2"/>
        <w:keepNext/>
      </w:pPr>
      <w:r>
        <w:rPr>
          <w:rFonts w:ascii="Calibri" w:hAnsi="Calibri" w:eastAsia="黑体"/>
          <w:b/>
          <w:color w:val="2E74B5"/>
          <w:sz w:val="26"/>
        </w:rPr>
        <w:t>3.3 到达时刻队列感知的路径组织目标</w:t>
      </w:r>
    </w:p>
    <w:p>
      <w:pPr>
        <w:ind w:firstLine="432"/>
        <w:jc w:val="both"/>
      </w:pPr>
      <w:r>
        <w:rPr>
          <w:rFonts w:ascii="Cambria Math" w:hAnsi="Cambria Math" w:eastAsia="宋体"/>
          <w:sz w:val="22"/>
        </w:rPr>
        <w:t>多线换乘站疏散路径组织的难点并不是“有无路径”，而是同一条路径在不同到达时刻面对的设施服务状态可能完全不同。几何距离较短的路径，如果在乘客到达时已经由前序批次形成长队，则可能导致更长的实际疏散时间；几何距离较长的路径，如果避开未来队列峰值，则可能降低尾部清空时间和累计停滞等待。因此，本文把路径组织目标定义为到达时刻队列感知的广义代价最小化问题。</w:t>
      </w:r>
    </w:p>
    <w:p>
      <w:pPr>
        <w:ind w:firstLine="432"/>
        <w:jc w:val="both"/>
      </w:pPr>
      <w:r>
        <w:rPr>
          <w:rFonts w:ascii="Cambria Math" w:hAnsi="Cambria Math" w:eastAsia="宋体"/>
          <w:sz w:val="22"/>
        </w:rPr>
        <w:t>设当前可观测状态为</w:t>
      </w:r>
    </w:p>
    <w:p>
      <w:pPr>
        <w:pStyle w:val="Equation"/>
        <w:keepLines/>
        <w:jc w:val="center"/>
      </w:pPr>
      <w:r>
        <w:rPr>
          <w:rFonts w:ascii="Cambria Math" w:hAnsi="Cambria Math" w:eastAsia="宋体"/>
          <w:sz w:val="22"/>
        </w:rPr>
        <w:t>Ω(t)=N</w:t>
      </w:r>
      <w:r>
        <w:rPr>
          <w:rFonts w:ascii="Cambria Math" w:hAnsi="Cambria Math" w:eastAsia="宋体"/>
          <w:sz w:val="22"/>
          <w:vertAlign w:val="subscript"/>
        </w:rPr>
        <w:t>v</w:t>
      </w:r>
      <w:r>
        <w:rPr>
          <w:rFonts w:ascii="Cambria Math" w:hAnsi="Cambria Math" w:eastAsia="宋体"/>
          <w:sz w:val="22"/>
        </w:rPr>
        <w:t>(t),Q</w:t>
      </w:r>
      <w:r>
        <w:rPr>
          <w:rFonts w:ascii="Cambria Math" w:hAnsi="Cambria Math" w:eastAsia="宋体"/>
          <w:sz w:val="22"/>
          <w:vertAlign w:val="subscript"/>
        </w:rPr>
        <w:t>r</w:t>
      </w:r>
      <w:r>
        <w:rPr>
          <w:rFonts w:ascii="Cambria Math" w:hAnsi="Cambria Math" w:eastAsia="宋体"/>
          <w:sz w:val="22"/>
        </w:rPr>
        <w:t>(t),M</w:t>
      </w:r>
      <w:r>
        <w:rPr>
          <w:rFonts w:ascii="Cambria Math" w:hAnsi="Cambria Math" w:eastAsia="宋体"/>
          <w:sz w:val="22"/>
          <w:vertAlign w:val="subscript"/>
        </w:rPr>
        <w:t>e</w:t>
      </w:r>
      <w:r>
        <w:rPr>
          <w:rFonts w:ascii="Cambria Math" w:hAnsi="Cambria Math" w:eastAsia="宋体"/>
          <w:sz w:val="22"/>
        </w:rPr>
        <w:t>(t),E</w:t>
      </w:r>
      <w:r>
        <w:rPr>
          <w:rFonts w:ascii="Cambria Math" w:hAnsi="Cambria Math" w:eastAsia="宋体"/>
          <w:sz w:val="22"/>
          <w:vertAlign w:val="superscript"/>
        </w:rPr>
        <w:t>out</w:t>
      </w:r>
      <w:r>
        <w:rPr>
          <w:rFonts w:ascii="Cambria Math" w:hAnsi="Cambria Math" w:eastAsia="宋体"/>
          <w:sz w:val="22"/>
        </w:rPr>
        <w:t>(t), A</w:t>
      </w:r>
      <w:r>
        <w:rPr>
          <w:rFonts w:ascii="Cambria Math" w:hAnsi="Cambria Math" w:eastAsia="宋体"/>
          <w:sz w:val="22"/>
          <w:vertAlign w:val="subscript"/>
        </w:rPr>
        <w:t>r</w:t>
      </w:r>
      <w:r>
        <w:rPr>
          <w:rFonts w:ascii="Cambria Math" w:hAnsi="Cambria Math" w:eastAsia="宋体"/>
          <w:sz w:val="22"/>
        </w:rPr>
        <w:t>(t),</w:t>
      </w:r>
    </w:p>
    <w:p>
      <w:pPr>
        <w:ind w:firstLine="432"/>
        <w:jc w:val="both"/>
      </w:pPr>
      <w:r>
        <w:rPr>
          <w:rFonts w:ascii="Cambria Math" w:hAnsi="Cambria Math" w:eastAsia="宋体"/>
          <w:sz w:val="22"/>
        </w:rPr>
        <w:t>其中，A</w:t>
      </w:r>
      <w:r>
        <w:rPr>
          <w:rFonts w:ascii="Cambria Math" w:hAnsi="Cambria Math" w:eastAsia="宋体"/>
          <w:sz w:val="22"/>
          <w:vertAlign w:val="subscript"/>
        </w:rPr>
        <w:t>r</w:t>
      </w:r>
      <w:r>
        <w:rPr>
          <w:rFonts w:ascii="Cambria Math" w:hAnsi="Cambria Math" w:eastAsia="宋体"/>
          <w:sz w:val="22"/>
        </w:rPr>
        <w:t>(t) 表示已登记的未来到达事件，包括在途客流和当前决策轮次内前序批次对资源 r 的预计到达。对候选到达时刻 theta≥ t，资源 r 的预测队列可写为</w:t>
      </w:r>
    </w:p>
    <w:p>
      <w:pPr>
        <w:pStyle w:val="Equation"/>
        <w:keepLines/>
        <w:jc w:val="center"/>
      </w:pPr>
      <w:r>
        <w:rPr>
          <w:rFonts w:ascii="Cambria Math" w:hAnsi="Cambria Math" w:eastAsia="宋体"/>
          <w:sz w:val="22"/>
        </w:rPr>
        <w:t>Q̂</w:t>
      </w:r>
      <w:r>
        <w:rPr>
          <w:rFonts w:ascii="Cambria Math" w:hAnsi="Cambria Math" w:eastAsia="宋体"/>
          <w:sz w:val="22"/>
          <w:vertAlign w:val="subscript"/>
        </w:rPr>
        <w:t>r</w:t>
      </w:r>
      <w:r>
        <w:rPr>
          <w:rFonts w:ascii="Cambria Math" w:hAnsi="Cambria Math" w:eastAsia="宋体"/>
          <w:sz w:val="22"/>
        </w:rPr>
        <w:t>(theta|t)= max Q</w:t>
      </w:r>
      <w:r>
        <w:rPr>
          <w:rFonts w:ascii="Cambria Math" w:hAnsi="Cambria Math" w:eastAsia="宋体"/>
          <w:sz w:val="22"/>
          <w:vertAlign w:val="subscript"/>
        </w:rPr>
        <w:t>r</w:t>
      </w:r>
      <w:r>
        <w:rPr>
          <w:rFonts w:ascii="Cambria Math" w:hAnsi="Cambria Math" w:eastAsia="宋体"/>
          <w:sz w:val="22"/>
        </w:rPr>
        <w:t>(t)+ Σ</w:t>
      </w:r>
      <w:r>
        <w:rPr>
          <w:rFonts w:ascii="Cambria Math" w:hAnsi="Cambria Math" w:eastAsia="宋体"/>
          <w:sz w:val="22"/>
          <w:vertAlign w:val="subscript"/>
        </w:rPr>
        <w:t>_</w:t>
      </w:r>
      <w:r>
        <w:rPr>
          <w:rFonts w:ascii="Cambria Math" w:hAnsi="Cambria Math" w:eastAsia="宋体"/>
          <w:sz w:val="22"/>
        </w:rPr>
        <w:t>(η</w:t>
      </w:r>
      <w:r>
        <w:rPr>
          <w:rFonts w:ascii="Cambria Math" w:hAnsi="Cambria Math" w:eastAsia="宋体"/>
          <w:sz w:val="22"/>
          <w:vertAlign w:val="subscript"/>
        </w:rPr>
        <w:t>j</w:t>
      </w:r>
      <w:r>
        <w:rPr>
          <w:rFonts w:ascii="Cambria Math" w:hAnsi="Cambria Math" w:eastAsia="宋体"/>
          <w:sz w:val="22"/>
        </w:rPr>
        <w:t>,a</w:t>
      </w:r>
      <w:r>
        <w:rPr>
          <w:rFonts w:ascii="Cambria Math" w:hAnsi="Cambria Math" w:eastAsia="宋体"/>
          <w:sz w:val="22"/>
          <w:vertAlign w:val="subscript"/>
        </w:rPr>
        <w:t>j</w:t>
      </w:r>
      <w:r>
        <w:rPr>
          <w:rFonts w:ascii="Cambria Math" w:hAnsi="Cambria Math" w:eastAsia="宋体"/>
          <w:sz w:val="22"/>
        </w:rPr>
        <w:t>)∈ A</w:t>
      </w:r>
      <w:r>
        <w:rPr>
          <w:rFonts w:ascii="Cambria Math" w:hAnsi="Cambria Math" w:eastAsia="宋体"/>
          <w:sz w:val="22"/>
          <w:vertAlign w:val="subscript"/>
        </w:rPr>
        <w:t>r</w:t>
      </w:r>
      <w:r>
        <w:rPr>
          <w:rFonts w:ascii="Cambria Math" w:hAnsi="Cambria Math" w:eastAsia="宋体"/>
          <w:sz w:val="22"/>
        </w:rPr>
        <w:t>(t),η</w:t>
      </w:r>
      <w:r>
        <w:rPr>
          <w:rFonts w:ascii="Cambria Math" w:hAnsi="Cambria Math" w:eastAsia="宋体"/>
          <w:sz w:val="22"/>
          <w:vertAlign w:val="subscript"/>
        </w:rPr>
        <w:t>j</w:t>
      </w:r>
      <w:r>
        <w:rPr>
          <w:rFonts w:ascii="Cambria Math" w:hAnsi="Cambria Math" w:eastAsia="宋体"/>
          <w:sz w:val="22"/>
        </w:rPr>
        <w:t>≤ thetaa</w:t>
      </w:r>
      <w:r>
        <w:rPr>
          <w:rFonts w:ascii="Cambria Math" w:hAnsi="Cambria Math" w:eastAsia="宋体"/>
          <w:sz w:val="22"/>
          <w:vertAlign w:val="subscript"/>
        </w:rPr>
        <w:t>j</w:t>
      </w:r>
      <w:r>
        <w:rPr>
          <w:rFonts w:ascii="Cambria Math" w:hAnsi="Cambria Math" w:eastAsia="宋体"/>
          <w:sz w:val="22"/>
        </w:rPr>
        <w:t xml:space="preserve"> -μ</w:t>
      </w:r>
      <w:r>
        <w:rPr>
          <w:rFonts w:ascii="Cambria Math" w:hAnsi="Cambria Math" w:eastAsia="宋体"/>
          <w:sz w:val="22"/>
          <w:vertAlign w:val="subscript"/>
        </w:rPr>
        <w:t>r</w:t>
      </w:r>
      <w:r>
        <w:rPr>
          <w:rFonts w:ascii="Cambria Math" w:hAnsi="Cambria Math" w:eastAsia="宋体"/>
          <w:sz w:val="22"/>
        </w:rPr>
        <w:t>(theta-t),0 .</w:t>
      </w:r>
    </w:p>
    <w:p>
      <w:pPr>
        <w:ind w:firstLine="432"/>
        <w:jc w:val="both"/>
      </w:pPr>
      <w:r>
        <w:rPr>
          <w:rFonts w:ascii="Cambria Math" w:hAnsi="Cambria Math" w:eastAsia="宋体"/>
          <w:sz w:val="22"/>
        </w:rPr>
        <w:t>对应的预测等待时间为</w:t>
      </w:r>
    </w:p>
    <w:p>
      <w:pPr>
        <w:pStyle w:val="Equation"/>
        <w:keepLines/>
        <w:jc w:val="center"/>
      </w:pPr>
      <w:r>
        <w:rPr>
          <w:rFonts w:ascii="Cambria Math" w:hAnsi="Cambria Math" w:eastAsia="宋体"/>
          <w:sz w:val="22"/>
        </w:rPr>
        <w:t>W</w:t>
      </w:r>
      <w:r>
        <w:rPr>
          <w:rFonts w:ascii="Cambria Math" w:hAnsi="Cambria Math" w:eastAsia="宋体"/>
          <w:sz w:val="22"/>
          <w:vertAlign w:val="subscript"/>
        </w:rPr>
        <w:t>r</w:t>
      </w:r>
      <w:r>
        <w:rPr>
          <w:rFonts w:ascii="Cambria Math" w:hAnsi="Cambria Math" w:eastAsia="宋体"/>
          <w:sz w:val="22"/>
        </w:rPr>
        <w:t>(theta|t)=(Q̂</w:t>
      </w:r>
      <w:r>
        <w:rPr>
          <w:rFonts w:ascii="Cambria Math" w:hAnsi="Cambria Math" w:eastAsia="宋体"/>
          <w:sz w:val="22"/>
          <w:vertAlign w:val="subscript"/>
        </w:rPr>
        <w:t>r</w:t>
      </w:r>
      <w:r>
        <w:rPr>
          <w:rFonts w:ascii="Cambria Math" w:hAnsi="Cambria Math" w:eastAsia="宋体"/>
          <w:sz w:val="22"/>
        </w:rPr>
        <w:t>(theta|t))/(μ</w:t>
      </w:r>
      <w:r>
        <w:rPr>
          <w:rFonts w:ascii="Cambria Math" w:hAnsi="Cambria Math" w:eastAsia="宋体"/>
          <w:sz w:val="22"/>
          <w:vertAlign w:val="subscript"/>
        </w:rPr>
        <w:t>r</w:t>
      </w:r>
      <w:r>
        <w:rPr>
          <w:rFonts w:ascii="Cambria Math" w:hAnsi="Cambria Math" w:eastAsia="宋体"/>
          <w:sz w:val="22"/>
        </w:rPr>
        <w:t>).</w:t>
      </w:r>
    </w:p>
    <w:p>
      <w:pPr>
        <w:ind w:firstLine="432"/>
        <w:jc w:val="both"/>
      </w:pPr>
      <w:r>
        <w:rPr>
          <w:rFonts w:ascii="Cambria Math" w:hAnsi="Cambria Math" w:eastAsia="宋体"/>
          <w:sz w:val="22"/>
        </w:rPr>
        <w:t>对于批次自身进入共享设施后造成的平均服务占用，采用</w:t>
      </w:r>
    </w:p>
    <w:p>
      <w:pPr>
        <w:pStyle w:val="Equation"/>
        <w:keepLines/>
        <w:jc w:val="center"/>
      </w:pPr>
      <w:r>
        <w:rPr>
          <w:rFonts w:ascii="Cambria Math" w:hAnsi="Cambria Math" w:eastAsia="宋体"/>
          <w:sz w:val="22"/>
        </w:rPr>
        <w:t>S</w:t>
      </w:r>
      <w:r>
        <w:rPr>
          <w:rFonts w:ascii="Cambria Math" w:hAnsi="Cambria Math" w:eastAsia="宋体"/>
          <w:sz w:val="22"/>
          <w:vertAlign w:val="subscript"/>
        </w:rPr>
        <w:t>r</w:t>
      </w:r>
      <w:r>
        <w:rPr>
          <w:rFonts w:ascii="Cambria Math" w:hAnsi="Cambria Math" w:eastAsia="宋体"/>
          <w:sz w:val="22"/>
        </w:rPr>
        <w:t>(n</w:t>
      </w:r>
      <w:r>
        <w:rPr>
          <w:rFonts w:ascii="Cambria Math" w:hAnsi="Cambria Math" w:eastAsia="宋体"/>
          <w:sz w:val="22"/>
          <w:vertAlign w:val="subscript"/>
        </w:rPr>
        <w:t>b</w:t>
      </w:r>
      <w:r>
        <w:rPr>
          <w:rFonts w:ascii="Cambria Math" w:hAnsi="Cambria Math" w:eastAsia="宋体"/>
          <w:sz w:val="22"/>
        </w:rPr>
        <w:t>)=(n</w:t>
      </w:r>
      <w:r>
        <w:rPr>
          <w:rFonts w:ascii="Cambria Math" w:hAnsi="Cambria Math" w:eastAsia="宋体"/>
          <w:sz w:val="22"/>
          <w:vertAlign w:val="subscript"/>
        </w:rPr>
        <w:t>b</w:t>
      </w:r>
      <w:r>
        <w:rPr>
          <w:rFonts w:ascii="Cambria Math" w:hAnsi="Cambria Math" w:eastAsia="宋体"/>
          <w:sz w:val="22"/>
        </w:rPr>
        <w:t>)/(2μ</w:t>
      </w:r>
      <w:r>
        <w:rPr>
          <w:rFonts w:ascii="Cambria Math" w:hAnsi="Cambria Math" w:eastAsia="宋体"/>
          <w:sz w:val="22"/>
          <w:vertAlign w:val="subscript"/>
        </w:rPr>
        <w:t>r</w:t>
      </w:r>
      <w:r>
        <w:rPr>
          <w:rFonts w:ascii="Cambria Math" w:hAnsi="Cambria Math" w:eastAsia="宋体"/>
          <w:sz w:val="22"/>
        </w:rPr>
        <w:t>).</w:t>
      </w:r>
    </w:p>
    <w:p>
      <w:pPr>
        <w:ind w:firstLine="432"/>
        <w:jc w:val="both"/>
      </w:pPr>
      <w:r>
        <w:rPr>
          <w:rFonts w:ascii="Cambria Math" w:hAnsi="Cambria Math" w:eastAsia="宋体"/>
          <w:sz w:val="22"/>
        </w:rPr>
        <w:t>该项把批次规模转化为设施服务过程中的时间代价，而不是额外的人为惩罚。</w:t>
      </w:r>
    </w:p>
    <w:p>
      <w:pPr>
        <w:ind w:firstLine="432"/>
        <w:jc w:val="both"/>
      </w:pPr>
      <w:r>
        <w:rPr>
          <w:rFonts w:ascii="Cambria Math" w:hAnsi="Cambria Math" w:eastAsia="宋体"/>
          <w:sz w:val="22"/>
        </w:rPr>
        <w:t>给定候选路径 p=(e</w:t>
      </w:r>
      <w:r>
        <w:rPr>
          <w:rFonts w:ascii="Cambria Math" w:hAnsi="Cambria Math" w:eastAsia="宋体"/>
          <w:sz w:val="22"/>
          <w:vertAlign w:val="subscript"/>
        </w:rPr>
        <w:t>1</w:t>
      </w:r>
      <w:r>
        <w:rPr>
          <w:rFonts w:ascii="Cambria Math" w:hAnsi="Cambria Math" w:eastAsia="宋体"/>
          <w:sz w:val="22"/>
        </w:rPr>
        <w:t>,e</w:t>
      </w:r>
      <w:r>
        <w:rPr>
          <w:rFonts w:ascii="Cambria Math" w:hAnsi="Cambria Math" w:eastAsia="宋体"/>
          <w:sz w:val="22"/>
          <w:vertAlign w:val="subscript"/>
        </w:rPr>
        <w:t>2</w:t>
      </w:r>
      <w:r>
        <w:rPr>
          <w:rFonts w:ascii="Cambria Math" w:hAnsi="Cambria Math" w:eastAsia="宋体"/>
          <w:sz w:val="22"/>
        </w:rPr>
        <w:t>,...,e</w:t>
      </w:r>
      <w:r>
        <w:rPr>
          <w:rFonts w:ascii="Cambria Math" w:hAnsi="Cambria Math" w:eastAsia="宋体"/>
          <w:sz w:val="22"/>
          <w:vertAlign w:val="subscript"/>
        </w:rPr>
        <w:t>m</w:t>
      </w:r>
      <w:r>
        <w:rPr>
          <w:rFonts w:ascii="Cambria Math" w:hAnsi="Cambria Math" w:eastAsia="宋体"/>
          <w:sz w:val="22"/>
        </w:rPr>
        <w:t>)，设批次沿路径递推到达边 e</w:t>
      </w:r>
      <w:r>
        <w:rPr>
          <w:rFonts w:ascii="Cambria Math" w:hAnsi="Cambria Math" w:eastAsia="宋体"/>
          <w:sz w:val="22"/>
          <w:vertAlign w:val="subscript"/>
        </w:rPr>
        <w:t>i</w:t>
      </w:r>
      <w:r>
        <w:rPr>
          <w:rFonts w:ascii="Cambria Math" w:hAnsi="Cambria Math" w:eastAsia="宋体"/>
          <w:sz w:val="22"/>
        </w:rPr>
        <w:t xml:space="preserve"> 或其对应资源的时刻为 η</w:t>
      </w:r>
      <w:r>
        <w:rPr>
          <w:rFonts w:ascii="Cambria Math" w:hAnsi="Cambria Math" w:eastAsia="宋体"/>
          <w:sz w:val="22"/>
          <w:vertAlign w:val="subscript"/>
        </w:rPr>
        <w:t>i，边</w:t>
      </w:r>
      <w:r>
        <w:rPr>
          <w:rFonts w:ascii="Cambria Math" w:hAnsi="Cambria Math" w:eastAsia="宋体"/>
          <w:sz w:val="22"/>
        </w:rPr>
        <w:t xml:space="preserve"> e</w:t>
      </w:r>
      <w:r>
        <w:rPr>
          <w:rFonts w:ascii="Cambria Math" w:hAnsi="Cambria Math" w:eastAsia="宋体"/>
          <w:sz w:val="22"/>
          <w:vertAlign w:val="subscript"/>
        </w:rPr>
        <w:t>i</w:t>
      </w:r>
      <w:r>
        <w:rPr>
          <w:rFonts w:ascii="Cambria Math" w:hAnsi="Cambria Math" w:eastAsia="宋体"/>
          <w:sz w:val="22"/>
        </w:rPr>
        <w:t xml:space="preserve"> 的行走时间为 τ</w:t>
      </w:r>
      <w:r>
        <w:rPr>
          <w:rFonts w:ascii="Cambria Math" w:hAnsi="Cambria Math" w:eastAsia="宋体"/>
          <w:sz w:val="22"/>
          <w:vertAlign w:val="subscript"/>
        </w:rPr>
        <w:t>e_i</w:t>
      </w:r>
      <w:r>
        <w:rPr>
          <w:rFonts w:ascii="Cambria Math" w:hAnsi="Cambria Math" w:eastAsia="宋体"/>
          <w:sz w:val="22"/>
        </w:rPr>
        <w:t>(η</w:t>
      </w:r>
      <w:r>
        <w:rPr>
          <w:rFonts w:ascii="Cambria Math" w:hAnsi="Cambria Math" w:eastAsia="宋体"/>
          <w:sz w:val="22"/>
          <w:vertAlign w:val="subscript"/>
        </w:rPr>
        <w:t>i</w:t>
      </w:r>
      <w:r>
        <w:rPr>
          <w:rFonts w:ascii="Cambria Math" w:hAnsi="Cambria Math" w:eastAsia="宋体"/>
          <w:sz w:val="22"/>
        </w:rPr>
        <w:t>)，则路径预测广义代价表示为</w:t>
      </w:r>
    </w:p>
    <w:p>
      <w:pPr>
        <w:pStyle w:val="Equation"/>
        <w:keepLines/>
        <w:jc w:val="center"/>
      </w:pPr>
      <w:r>
        <w:rPr>
          <w:rFonts w:ascii="Cambria Math" w:hAnsi="Cambria Math" w:eastAsia="宋体"/>
          <w:sz w:val="22"/>
        </w:rPr>
        <w:t>C</w:t>
      </w:r>
      <w:r>
        <w:rPr>
          <w:rFonts w:ascii="Cambria Math" w:hAnsi="Cambria Math" w:eastAsia="宋体"/>
          <w:sz w:val="22"/>
          <w:vertAlign w:val="subscript"/>
        </w:rPr>
        <w:t>bp</w:t>
      </w:r>
      <w:r>
        <w:rPr>
          <w:rFonts w:ascii="Cambria Math" w:hAnsi="Cambria Math" w:eastAsia="宋体"/>
          <w:sz w:val="22"/>
        </w:rPr>
        <w:t>(t)= Σ [ τ</w:t>
      </w:r>
      <w:r>
        <w:rPr>
          <w:rFonts w:ascii="Cambria Math" w:hAnsi="Cambria Math" w:eastAsia="宋体"/>
          <w:sz w:val="22"/>
          <w:vertAlign w:val="subscript"/>
        </w:rPr>
        <w:t>e_i</w:t>
      </w:r>
      <w:r>
        <w:rPr>
          <w:rFonts w:ascii="Cambria Math" w:hAnsi="Cambria Math" w:eastAsia="宋体"/>
          <w:sz w:val="22"/>
        </w:rPr>
        <w:t>(η</w:t>
      </w:r>
      <w:r>
        <w:rPr>
          <w:rFonts w:ascii="Cambria Math" w:hAnsi="Cambria Math" w:eastAsia="宋体"/>
          <w:sz w:val="22"/>
          <w:vertAlign w:val="subscript"/>
        </w:rPr>
        <w:t>i</w:t>
      </w:r>
      <w:r>
        <w:rPr>
          <w:rFonts w:ascii="Cambria Math" w:hAnsi="Cambria Math" w:eastAsia="宋体"/>
          <w:sz w:val="22"/>
        </w:rPr>
        <w:t>)+ I</w:t>
      </w:r>
      <w:r>
        <w:rPr>
          <w:rFonts w:ascii="Cambria Math" w:hAnsi="Cambria Math" w:eastAsia="宋体"/>
          <w:sz w:val="22"/>
          <w:vertAlign w:val="subscript"/>
        </w:rPr>
        <w:t>ρ</w:t>
      </w:r>
      <w:r>
        <w:rPr>
          <w:rFonts w:ascii="Cambria Math" w:hAnsi="Cambria Math" w:eastAsia="宋体"/>
          <w:sz w:val="22"/>
        </w:rPr>
        <w:t>(e</w:t>
      </w:r>
      <w:r>
        <w:rPr>
          <w:rFonts w:ascii="Cambria Math" w:hAnsi="Cambria Math" w:eastAsia="宋体"/>
          <w:sz w:val="22"/>
          <w:vertAlign w:val="subscript"/>
        </w:rPr>
        <w:t>i</w:t>
      </w:r>
      <w:r>
        <w:rPr>
          <w:rFonts w:ascii="Cambria Math" w:hAnsi="Cambria Math" w:eastAsia="宋体"/>
          <w:sz w:val="22"/>
        </w:rPr>
        <w:t>)∈ R ( W</w:t>
      </w:r>
      <w:r>
        <w:rPr>
          <w:rFonts w:ascii="Cambria Math" w:hAnsi="Cambria Math" w:eastAsia="宋体"/>
          <w:sz w:val="22"/>
          <w:vertAlign w:val="subscript"/>
        </w:rPr>
        <w:t>ρ</w:t>
      </w:r>
      <w:r>
        <w:rPr>
          <w:rFonts w:ascii="Cambria Math" w:hAnsi="Cambria Math" w:eastAsia="宋体"/>
          <w:sz w:val="22"/>
        </w:rPr>
        <w:t>(e</w:t>
      </w:r>
      <w:r>
        <w:rPr>
          <w:rFonts w:ascii="Cambria Math" w:hAnsi="Cambria Math" w:eastAsia="宋体"/>
          <w:sz w:val="22"/>
          <w:vertAlign w:val="subscript"/>
        </w:rPr>
        <w:t>i</w:t>
      </w:r>
      <w:r>
        <w:rPr>
          <w:rFonts w:ascii="Cambria Math" w:hAnsi="Cambria Math" w:eastAsia="宋体"/>
          <w:sz w:val="22"/>
        </w:rPr>
        <w:t>)(η</w:t>
      </w:r>
      <w:r>
        <w:rPr>
          <w:rFonts w:ascii="Cambria Math" w:hAnsi="Cambria Math" w:eastAsia="宋体"/>
          <w:sz w:val="22"/>
          <w:vertAlign w:val="subscript"/>
        </w:rPr>
        <w:t>i</w:t>
      </w:r>
      <w:r>
        <w:rPr>
          <w:rFonts w:ascii="Cambria Math" w:hAnsi="Cambria Math" w:eastAsia="宋体"/>
          <w:sz w:val="22"/>
        </w:rPr>
        <w:t>|t)+S</w:t>
      </w:r>
      <w:r>
        <w:rPr>
          <w:rFonts w:ascii="Cambria Math" w:hAnsi="Cambria Math" w:eastAsia="宋体"/>
          <w:sz w:val="22"/>
          <w:vertAlign w:val="subscript"/>
        </w:rPr>
        <w:t>ρ</w:t>
      </w:r>
      <w:r>
        <w:rPr>
          <w:rFonts w:ascii="Cambria Math" w:hAnsi="Cambria Math" w:eastAsia="宋体"/>
          <w:sz w:val="22"/>
        </w:rPr>
        <w:t>(e</w:t>
      </w:r>
      <w:r>
        <w:rPr>
          <w:rFonts w:ascii="Cambria Math" w:hAnsi="Cambria Math" w:eastAsia="宋体"/>
          <w:sz w:val="22"/>
          <w:vertAlign w:val="subscript"/>
        </w:rPr>
        <w:t>i</w:t>
      </w:r>
      <w:r>
        <w:rPr>
          <w:rFonts w:ascii="Cambria Math" w:hAnsi="Cambria Math" w:eastAsia="宋体"/>
          <w:sz w:val="22"/>
        </w:rPr>
        <w:t>)(n</w:t>
      </w:r>
      <w:r>
        <w:rPr>
          <w:rFonts w:ascii="Cambria Math" w:hAnsi="Cambria Math" w:eastAsia="宋体"/>
          <w:sz w:val="22"/>
          <w:vertAlign w:val="subscript"/>
        </w:rPr>
        <w:t>b</w:t>
      </w:r>
      <w:r>
        <w:rPr>
          <w:rFonts w:ascii="Cambria Math" w:hAnsi="Cambria Math" w:eastAsia="宋体"/>
          <w:sz w:val="22"/>
        </w:rPr>
        <w:t>) ) ] +λ R</w:t>
      </w:r>
      <w:r>
        <w:rPr>
          <w:rFonts w:ascii="Cambria Math" w:hAnsi="Cambria Math" w:eastAsia="宋体"/>
          <w:sz w:val="22"/>
          <w:vertAlign w:val="subscript"/>
        </w:rPr>
        <w:t>bp</w:t>
      </w:r>
      <w:r>
        <w:rPr>
          <w:rFonts w:ascii="Cambria Math" w:hAnsi="Cambria Math" w:eastAsia="宋体"/>
          <w:sz w:val="22"/>
        </w:rPr>
        <w:t>(t).</w:t>
      </w:r>
    </w:p>
    <w:p>
      <w:pPr>
        <w:ind w:firstLine="432"/>
        <w:jc w:val="both"/>
      </w:pPr>
      <w:r>
        <w:rPr>
          <w:rFonts w:ascii="Cambria Math" w:hAnsi="Cambria Math" w:eastAsia="宋体"/>
          <w:sz w:val="22"/>
        </w:rPr>
        <w:t>其中，R</w:t>
      </w:r>
      <w:r>
        <w:rPr>
          <w:rFonts w:ascii="Cambria Math" w:hAnsi="Cambria Math" w:eastAsia="宋体"/>
          <w:sz w:val="22"/>
          <w:vertAlign w:val="subscript"/>
        </w:rPr>
        <w:t>bp</w:t>
      </w:r>
      <w:r>
        <w:rPr>
          <w:rFonts w:ascii="Cambria Math" w:hAnsi="Cambria Math" w:eastAsia="宋体"/>
          <w:sz w:val="22"/>
        </w:rPr>
        <w:t>(t) 表示拥挤暴露或风险辅助项，λ 为尺度权重。路径组织的滚动子问题可写为</w:t>
      </w:r>
    </w:p>
    <w:p>
      <w:pPr>
        <w:pStyle w:val="Equation"/>
        <w:keepLines/>
        <w:jc w:val="center"/>
      </w:pPr>
      <w:r>
        <w:rPr>
          <w:rFonts w:ascii="Cambria Math" w:hAnsi="Cambria Math" w:eastAsia="宋体"/>
          <w:sz w:val="22"/>
        </w:rPr>
        <w:t>p</w:t>
      </w:r>
      <w:r>
        <w:rPr>
          <w:rFonts w:ascii="Cambria Math" w:hAnsi="Cambria Math" w:eastAsia="宋体"/>
          <w:sz w:val="22"/>
          <w:vertAlign w:val="subscript"/>
        </w:rPr>
        <w:t>b^</w:t>
      </w:r>
      <w:r>
        <w:rPr>
          <w:rFonts w:ascii="Cambria Math" w:hAnsi="Cambria Math" w:eastAsia="宋体"/>
          <w:sz w:val="22"/>
        </w:rPr>
        <w:t>*(t)=argmin</w:t>
      </w:r>
      <w:r>
        <w:rPr>
          <w:rFonts w:ascii="Cambria Math" w:hAnsi="Cambria Math" w:eastAsia="宋体"/>
          <w:sz w:val="22"/>
          <w:vertAlign w:val="subscript"/>
        </w:rPr>
        <w:t>p</w:t>
      </w:r>
      <w:r>
        <w:rPr>
          <w:rFonts w:ascii="Cambria Math" w:hAnsi="Cambria Math" w:eastAsia="宋体"/>
          <w:sz w:val="22"/>
        </w:rPr>
        <w:t>∈ P</w:t>
      </w:r>
      <w:r>
        <w:rPr>
          <w:rFonts w:ascii="Cambria Math" w:hAnsi="Cambria Math" w:eastAsia="宋体"/>
          <w:sz w:val="22"/>
          <w:vertAlign w:val="subscript"/>
        </w:rPr>
        <w:t>b</w:t>
      </w:r>
      <w:r>
        <w:rPr>
          <w:rFonts w:ascii="Cambria Math" w:hAnsi="Cambria Math" w:eastAsia="宋体"/>
          <w:sz w:val="22"/>
        </w:rPr>
        <w:t>(t) C</w:t>
      </w:r>
      <w:r>
        <w:rPr>
          <w:rFonts w:ascii="Cambria Math" w:hAnsi="Cambria Math" w:eastAsia="宋体"/>
          <w:sz w:val="22"/>
          <w:vertAlign w:val="subscript"/>
        </w:rPr>
        <w:t>bp</w:t>
      </w:r>
      <w:r>
        <w:rPr>
          <w:rFonts w:ascii="Cambria Math" w:hAnsi="Cambria Math" w:eastAsia="宋体"/>
          <w:sz w:val="22"/>
        </w:rPr>
        <w:t>(t).</w:t>
      </w:r>
    </w:p>
    <w:p>
      <w:pPr>
        <w:ind w:firstLine="432"/>
        <w:jc w:val="both"/>
      </w:pPr>
      <w:r>
        <w:rPr>
          <w:rFonts w:ascii="Cambria Math" w:hAnsi="Cambria Math" w:eastAsia="宋体"/>
          <w:sz w:val="22"/>
        </w:rPr>
        <w:t>这一目标并不追求简单最短距离，而是在行走时间、到达时刻等待、批次服务占用和拥挤暴露之间进行折中。第 4 章中的 AA 时间依赖搜索正是这一目标的求解方式。</w:t>
      </w:r>
    </w:p>
    <w:p>
      <w:pPr>
        <w:pStyle w:val="Heading2"/>
        <w:keepNext/>
      </w:pPr>
      <w:r>
        <w:rPr>
          <w:rFonts w:ascii="Calibri" w:hAnsi="Calibri" w:eastAsia="黑体"/>
          <w:b/>
          <w:color w:val="2E74B5"/>
          <w:sz w:val="26"/>
        </w:rPr>
        <w:t>3.4 疏散效果评价指标</w:t>
      </w:r>
    </w:p>
    <w:p>
      <w:pPr>
        <w:ind w:firstLine="432"/>
        <w:jc w:val="both"/>
      </w:pPr>
      <w:r>
        <w:rPr>
          <w:rFonts w:ascii="Cambria Math" w:hAnsi="Cambria Math" w:eastAsia="宋体"/>
          <w:sz w:val="22"/>
        </w:rPr>
        <w:t>为避免把研究写成单纯的算法快慢比较，本文从整体疏散效率、尾部清空、设施负荷分布、来源组差异和方法代价五个层面评价疏散效果。整体效率指标包括 T</w:t>
      </w:r>
      <w:r>
        <w:rPr>
          <w:rFonts w:ascii="Cambria Math" w:hAnsi="Cambria Math" w:eastAsia="宋体"/>
          <w:sz w:val="22"/>
          <w:vertAlign w:val="subscript"/>
        </w:rPr>
        <w:t>50、T_80、T_95、T_99、T_100、平均疏散时间和平均站点通过率，其中</w:t>
      </w:r>
    </w:p>
    <w:p>
      <w:pPr>
        <w:pStyle w:val="Equation"/>
        <w:keepLines/>
        <w:jc w:val="center"/>
      </w:pPr>
      <w:r>
        <w:rPr>
          <w:rFonts w:ascii="Cambria Math" w:hAnsi="Cambria Math" w:eastAsia="宋体"/>
          <w:sz w:val="22"/>
        </w:rPr>
        <w:t>T</w:t>
      </w:r>
      <w:r>
        <w:rPr>
          <w:rFonts w:ascii="Cambria Math" w:hAnsi="Cambria Math" w:eastAsia="宋体"/>
          <w:sz w:val="22"/>
          <w:vertAlign w:val="subscript"/>
        </w:rPr>
        <w:t>theta</w:t>
      </w:r>
      <w:r>
        <w:rPr>
          <w:rFonts w:ascii="Cambria Math" w:hAnsi="Cambria Math" w:eastAsia="宋体"/>
          <w:sz w:val="22"/>
        </w:rPr>
        <w:t>=mint| E</w:t>
      </w:r>
      <w:r>
        <w:rPr>
          <w:rFonts w:ascii="Cambria Math" w:hAnsi="Cambria Math" w:eastAsia="宋体"/>
          <w:sz w:val="22"/>
          <w:vertAlign w:val="superscript"/>
        </w:rPr>
        <w:t>out</w:t>
      </w:r>
      <w:r>
        <w:rPr>
          <w:rFonts w:ascii="Cambria Math" w:hAnsi="Cambria Math" w:eastAsia="宋体"/>
          <w:sz w:val="22"/>
        </w:rPr>
        <w:t>(t)≥ theta N</w:t>
      </w:r>
      <w:r>
        <w:rPr>
          <w:rFonts w:ascii="Cambria Math" w:hAnsi="Cambria Math" w:eastAsia="宋体"/>
          <w:sz w:val="22"/>
          <w:vertAlign w:val="superscript"/>
        </w:rPr>
        <w:t>tot</w:t>
      </w:r>
      <w:r>
        <w:rPr>
          <w:rFonts w:ascii="Cambria Math" w:hAnsi="Cambria Math" w:eastAsia="宋体"/>
          <w:sz w:val="22"/>
        </w:rPr>
        <w:t>,quad theta∈0.50,0.80,0.95,0.99,1.00.</w:t>
      </w:r>
    </w:p>
    <w:p>
      <w:pPr>
        <w:ind w:firstLine="432"/>
        <w:jc w:val="both"/>
      </w:pPr>
      <w:r>
        <w:rPr>
          <w:rFonts w:ascii="Cambria Math" w:hAnsi="Cambria Math" w:eastAsia="宋体"/>
          <w:sz w:val="22"/>
        </w:rPr>
        <w:t>T</w:t>
      </w:r>
      <w:r>
        <w:rPr>
          <w:rFonts w:ascii="Cambria Math" w:hAnsi="Cambria Math" w:eastAsia="宋体"/>
          <w:sz w:val="22"/>
          <w:vertAlign w:val="subscript"/>
        </w:rPr>
        <w:t>95、T_99</w:t>
      </w:r>
      <w:r>
        <w:rPr>
          <w:rFonts w:ascii="Cambria Math" w:hAnsi="Cambria Math" w:eastAsia="宋体"/>
          <w:sz w:val="22"/>
        </w:rPr>
        <w:t xml:space="preserve"> 和 T</w:t>
      </w:r>
      <w:r>
        <w:rPr>
          <w:rFonts w:ascii="Cambria Math" w:hAnsi="Cambria Math" w:eastAsia="宋体"/>
          <w:sz w:val="22"/>
          <w:vertAlign w:val="subscript"/>
        </w:rPr>
        <w:t>100</w:t>
      </w:r>
      <w:r>
        <w:rPr>
          <w:rFonts w:ascii="Cambria Math" w:hAnsi="Cambria Math" w:eastAsia="宋体"/>
          <w:sz w:val="22"/>
        </w:rPr>
        <w:t xml:space="preserve"> 用于刻画大部分乘客离站后的尾部阶段，避免平均值掩盖少数滞留客流对安全组织的影响。</w:t>
      </w:r>
    </w:p>
    <w:p>
      <w:pPr>
        <w:ind w:firstLine="432"/>
        <w:jc w:val="both"/>
      </w:pPr>
      <w:r>
        <w:rPr>
          <w:rFonts w:ascii="Cambria Math" w:hAnsi="Cambria Math" w:eastAsia="宋体"/>
          <w:sz w:val="22"/>
        </w:rPr>
        <w:t>停滞与排队暴露指标包括累计静止人秒、资源队列人秒、空间阻塞人秒和关键设施峰值队列。累计资源队列人秒记为</w:t>
      </w:r>
    </w:p>
    <w:p>
      <w:pPr>
        <w:pStyle w:val="Equation"/>
        <w:keepLines/>
        <w:jc w:val="center"/>
      </w:pPr>
      <w:r>
        <w:rPr>
          <w:rFonts w:ascii="Cambria Math" w:hAnsi="Cambria Math" w:eastAsia="宋体"/>
          <w:sz w:val="22"/>
        </w:rPr>
        <w:t>Φ</w:t>
      </w:r>
      <w:r>
        <w:rPr>
          <w:rFonts w:ascii="Cambria Math" w:hAnsi="Cambria Math" w:eastAsia="宋体"/>
          <w:sz w:val="22"/>
          <w:vertAlign w:val="subscript"/>
        </w:rPr>
        <w:t>Q</w:t>
      </w:r>
      <w:r>
        <w:rPr>
          <w:rFonts w:ascii="Cambria Math" w:hAnsi="Cambria Math" w:eastAsia="宋体"/>
          <w:sz w:val="22"/>
        </w:rPr>
        <w:t>=Σ</w:t>
      </w:r>
      <w:r>
        <w:rPr>
          <w:rFonts w:ascii="Cambria Math" w:hAnsi="Cambria Math" w:eastAsia="宋体"/>
          <w:sz w:val="22"/>
          <w:vertAlign w:val="subscript"/>
        </w:rPr>
        <w:t>t</w:t>
      </w:r>
      <w:r>
        <w:rPr>
          <w:rFonts w:ascii="Cambria Math" w:hAnsi="Cambria Math" w:eastAsia="宋体"/>
          <w:sz w:val="22"/>
        </w:rPr>
        <w:t>∈ TΣ</w:t>
      </w:r>
      <w:r>
        <w:rPr>
          <w:rFonts w:ascii="Cambria Math" w:hAnsi="Cambria Math" w:eastAsia="宋体"/>
          <w:sz w:val="22"/>
          <w:vertAlign w:val="subscript"/>
        </w:rPr>
        <w:t>r</w:t>
      </w:r>
      <w:r>
        <w:rPr>
          <w:rFonts w:ascii="Cambria Math" w:hAnsi="Cambria Math" w:eastAsia="宋体"/>
          <w:sz w:val="22"/>
        </w:rPr>
        <w:t>∈ RQ</w:t>
      </w:r>
      <w:r>
        <w:rPr>
          <w:rFonts w:ascii="Cambria Math" w:hAnsi="Cambria Math" w:eastAsia="宋体"/>
          <w:sz w:val="22"/>
          <w:vertAlign w:val="subscript"/>
        </w:rPr>
        <w:t>r</w:t>
      </w:r>
      <w:r>
        <w:rPr>
          <w:rFonts w:ascii="Cambria Math" w:hAnsi="Cambria Math" w:eastAsia="宋体"/>
          <w:sz w:val="22"/>
        </w:rPr>
        <w:t>(t)Δ t,</w:t>
      </w:r>
    </w:p>
    <w:p>
      <w:pPr>
        <w:ind w:firstLine="432"/>
        <w:jc w:val="both"/>
      </w:pPr>
      <w:r>
        <w:rPr>
          <w:rFonts w:ascii="Cambria Math" w:hAnsi="Cambria Math" w:eastAsia="宋体"/>
          <w:sz w:val="22"/>
        </w:rPr>
        <w:t>空间阻塞暴露记为</w:t>
      </w:r>
    </w:p>
    <w:p>
      <w:pPr>
        <w:pStyle w:val="Equation"/>
        <w:keepLines/>
        <w:jc w:val="center"/>
      </w:pPr>
      <w:r>
        <w:rPr>
          <w:rFonts w:ascii="Cambria Math" w:hAnsi="Cambria Math" w:eastAsia="宋体"/>
          <w:sz w:val="22"/>
        </w:rPr>
        <w:t>Φ</w:t>
      </w:r>
      <w:r>
        <w:rPr>
          <w:rFonts w:ascii="Cambria Math" w:hAnsi="Cambria Math" w:eastAsia="宋体"/>
          <w:sz w:val="22"/>
          <w:vertAlign w:val="subscript"/>
        </w:rPr>
        <w:t>S</w:t>
      </w:r>
      <w:r>
        <w:rPr>
          <w:rFonts w:ascii="Cambria Math" w:hAnsi="Cambria Math" w:eastAsia="宋体"/>
          <w:sz w:val="22"/>
        </w:rPr>
        <w:t>=Σ</w:t>
      </w:r>
      <w:r>
        <w:rPr>
          <w:rFonts w:ascii="Cambria Math" w:hAnsi="Cambria Math" w:eastAsia="宋体"/>
          <w:sz w:val="22"/>
          <w:vertAlign w:val="subscript"/>
        </w:rPr>
        <w:t>t</w:t>
      </w:r>
      <w:r>
        <w:rPr>
          <w:rFonts w:ascii="Cambria Math" w:hAnsi="Cambria Math" w:eastAsia="宋体"/>
          <w:sz w:val="22"/>
        </w:rPr>
        <w:t>∈ TΣ</w:t>
      </w:r>
      <w:r>
        <w:rPr>
          <w:rFonts w:ascii="Cambria Math" w:hAnsi="Cambria Math" w:eastAsia="宋体"/>
          <w:sz w:val="22"/>
          <w:vertAlign w:val="subscript"/>
        </w:rPr>
        <w:t>v</w:t>
      </w:r>
      <w:r>
        <w:rPr>
          <w:rFonts w:ascii="Cambria Math" w:hAnsi="Cambria Math" w:eastAsia="宋体"/>
          <w:sz w:val="22"/>
        </w:rPr>
        <w:t>∈ VS</w:t>
      </w:r>
      <w:r>
        <w:rPr>
          <w:rFonts w:ascii="Cambria Math" w:hAnsi="Cambria Math" w:eastAsia="宋体"/>
          <w:sz w:val="22"/>
          <w:vertAlign w:val="subscript"/>
        </w:rPr>
        <w:t>v</w:t>
      </w:r>
      <w:r>
        <w:rPr>
          <w:rFonts w:ascii="Cambria Math" w:hAnsi="Cambria Math" w:eastAsia="宋体"/>
          <w:sz w:val="22"/>
        </w:rPr>
        <w:t>(t)Δ t.</w:t>
      </w:r>
    </w:p>
    <w:p>
      <w:pPr>
        <w:ind w:firstLine="432"/>
        <w:jc w:val="both"/>
      </w:pPr>
      <w:r>
        <w:rPr>
          <w:rFonts w:ascii="Cambria Math" w:hAnsi="Cambria Math" w:eastAsia="宋体"/>
          <w:sz w:val="22"/>
        </w:rPr>
        <w:t>若某一设施在峰值队列、累计队列人秒和持续时间上均较高，则说明其不是短时波动，而是对疏散过程产生连续约束的关键设施。</w:t>
      </w:r>
    </w:p>
    <w:p>
      <w:pPr>
        <w:ind w:firstLine="432"/>
        <w:jc w:val="both"/>
      </w:pPr>
      <w:r>
        <w:rPr>
          <w:rFonts w:ascii="Cambria Math" w:hAnsi="Cambria Math" w:eastAsia="宋体"/>
          <w:sz w:val="22"/>
        </w:rPr>
        <w:t>来源组指标用于解释换乘客流在整体疏散中的机制作用。对来源组 g，统计其离站曲线 E</w:t>
      </w:r>
      <w:r>
        <w:rPr>
          <w:rFonts w:ascii="Cambria Math" w:hAnsi="Cambria Math" w:eastAsia="宋体"/>
          <w:sz w:val="22"/>
          <w:vertAlign w:val="subscript"/>
        </w:rPr>
        <w:t>g</w:t>
      </w:r>
      <w:r>
        <w:rPr>
          <w:rFonts w:ascii="Cambria Math" w:hAnsi="Cambria Math" w:eastAsia="宋体"/>
          <w:sz w:val="22"/>
        </w:rPr>
        <w:t>(t)、清空时间 T</w:t>
      </w:r>
      <w:r>
        <w:rPr>
          <w:rFonts w:ascii="Cambria Math" w:hAnsi="Cambria Math" w:eastAsia="宋体"/>
          <w:sz w:val="22"/>
          <w:vertAlign w:val="subscript"/>
        </w:rPr>
        <w:t>g、关键设施暴露和最终出口分布。若换乘客流与列车释放客流在同一共享设施上形成到达叠加，则应进一步分析该设施是否控制全站尾部清空。</w:t>
      </w:r>
    </w:p>
    <w:p>
      <w:pPr>
        <w:ind w:firstLine="432"/>
        <w:jc w:val="both"/>
      </w:pPr>
      <w:r>
        <w:rPr>
          <w:rFonts w:ascii="Cambria Math" w:hAnsi="Cambria Math" w:eastAsia="宋体"/>
          <w:sz w:val="22"/>
        </w:rPr>
        <w:t>均衡性指标用于刻画出口和关键设施负荷分布。设 y</w:t>
      </w:r>
      <w:r>
        <w:rPr>
          <w:rFonts w:ascii="Cambria Math" w:hAnsi="Cambria Math" w:eastAsia="宋体"/>
          <w:sz w:val="22"/>
          <w:vertAlign w:val="subscript"/>
        </w:rPr>
        <w:t>i</w:t>
      </w:r>
      <w:r>
        <w:rPr>
          <w:rFonts w:ascii="Cambria Math" w:hAnsi="Cambria Math" w:eastAsia="宋体"/>
          <w:sz w:val="22"/>
        </w:rPr>
        <w:t xml:space="preserve"> 为出口或关键设施 i 的通过量，数量为 m，则 Jain 指数为</w:t>
      </w:r>
    </w:p>
    <w:p>
      <w:pPr>
        <w:pStyle w:val="Equation"/>
        <w:keepLines/>
        <w:jc w:val="center"/>
      </w:pPr>
      <w:r>
        <w:rPr>
          <w:rFonts w:ascii="Cambria Math" w:hAnsi="Cambria Math" w:eastAsia="宋体"/>
          <w:sz w:val="22"/>
        </w:rPr>
        <w:t>J=((Σy</w:t>
      </w:r>
      <w:r>
        <w:rPr>
          <w:rFonts w:ascii="Cambria Math" w:hAnsi="Cambria Math" w:eastAsia="宋体"/>
          <w:sz w:val="22"/>
          <w:vertAlign w:val="subscript"/>
        </w:rPr>
        <w:t>i</w:t>
      </w:r>
      <w:r>
        <w:rPr>
          <w:rFonts w:ascii="Cambria Math" w:hAnsi="Cambria Math" w:eastAsia="宋体"/>
          <w:sz w:val="22"/>
        </w:rPr>
        <w:t>)²)/(mΣy</w:t>
      </w:r>
      <w:r>
        <w:rPr>
          <w:rFonts w:ascii="Cambria Math" w:hAnsi="Cambria Math" w:eastAsia="宋体"/>
          <w:sz w:val="22"/>
          <w:vertAlign w:val="subscript"/>
        </w:rPr>
        <w:t>i²</w:t>
      </w:r>
      <w:r>
        <w:rPr>
          <w:rFonts w:ascii="Cambria Math" w:hAnsi="Cambria Math" w:eastAsia="宋体"/>
          <w:sz w:val="22"/>
        </w:rPr>
        <w:t>).</w:t>
      </w:r>
    </w:p>
    <w:p>
      <w:pPr>
        <w:ind w:firstLine="432"/>
        <w:jc w:val="both"/>
      </w:pPr>
      <w:r>
        <w:rPr>
          <w:rFonts w:ascii="Cambria Math" w:hAnsi="Cambria Math" w:eastAsia="宋体"/>
          <w:sz w:val="22"/>
        </w:rPr>
        <w:t>J 越接近 1，表示负荷分布越均衡。均衡性指标不能单独作为最优标准，但可以帮助判断路径组织是否把客流从少数拥挤设施转移到更多可用设施。</w:t>
      </w:r>
    </w:p>
    <w:p>
      <w:pPr>
        <w:ind w:firstLine="432"/>
        <w:jc w:val="both"/>
      </w:pPr>
      <w:r>
        <w:rPr>
          <w:rFonts w:ascii="Cambria Math" w:hAnsi="Cambria Math" w:eastAsia="宋体"/>
          <w:sz w:val="22"/>
        </w:rPr>
        <w:t>方法代价指标包括总移动距离、平均移动时间、有效疏散速度和墙钟计算时间。若 AA 在高负荷场景中降低尾部清空和累计停滞，但增加移动距离或计算时间，应如实写为效率改善与绕行、计算代价之间的权衡，而不是写成无条件优越。</w:t>
      </w:r>
    </w:p>
    <w:p>
      <w:pPr>
        <w:pStyle w:val="Heading1"/>
        <w:keepNext/>
      </w:pPr>
      <w:r>
        <w:rPr>
          <w:rFonts w:ascii="Calibri" w:hAnsi="Calibri" w:eastAsia="黑体"/>
          <w:b/>
          <w:color w:val="2E74B5"/>
          <w:sz w:val="32"/>
        </w:rPr>
        <w:t>4 队列感知路径组织与共享容量执行方法</w:t>
      </w:r>
    </w:p>
    <w:p>
      <w:pPr>
        <w:ind w:firstLine="432"/>
        <w:jc w:val="both"/>
      </w:pPr>
      <w:r>
        <w:rPr>
          <w:rFonts w:ascii="Cambria Math" w:hAnsi="Cambria Math" w:eastAsia="宋体"/>
          <w:sz w:val="22"/>
        </w:rPr>
        <w:t>第 3 章定义了多来源客流在共享设施服务链上的动态分配问题。本章进一步说明该问题如何在离散疏散仿真中被求解和执行。本文并不把路径搜索结果直接等同于疏散结果，而是将其视为当前时间步内的路径组织意图；所有意图仍需经过统一的资源服务能力、下游接收空间和在途到达过程执行。基于这一原则，本章首先说明客流批次和来源组的滚动生成方式，然后给出当前状态 A* 对照方法，再介绍 AA 的到达时刻队列预测与时间依赖搜索，最后说明共享容量执行层如何保证两种路径组织方法在同一物理约束下比较。</w:t>
      </w:r>
    </w:p>
    <w:p>
      <w:pPr>
        <w:pStyle w:val="Heading2"/>
        <w:keepNext/>
      </w:pPr>
      <w:r>
        <w:rPr>
          <w:rFonts w:ascii="Calibri" w:hAnsi="Calibri" w:eastAsia="黑体"/>
          <w:b/>
          <w:color w:val="2E74B5"/>
          <w:sz w:val="26"/>
        </w:rPr>
        <w:t>4.1 客流批次生成与滚动决策流程</w:t>
      </w:r>
    </w:p>
    <w:p>
      <w:pPr>
        <w:ind w:firstLine="432"/>
        <w:jc w:val="both"/>
      </w:pPr>
      <w:r>
        <w:rPr>
          <w:rFonts w:ascii="Cambria Math" w:hAnsi="Cambria Math" w:eastAsia="宋体"/>
          <w:sz w:val="22"/>
        </w:rPr>
        <w:t>在每个离散时间步开始时，系统读取上一时间步结束后的状态并冻结为当前决策状态 Ω(t)。状态冻结的作用是使同一时间步内的路径组织从同一执行状态出发，避免由于批次处理顺序不同而随意改变节点占用、资源队列或下游接收能力。随后，系统识别当前可调度批次集合 B(t)，包括已经位于节点等待区的乘客、到达设施入口但尚未获得服务的乘客，以及在当前时刻释放到站内网络中的列车到达客流。</w:t>
      </w:r>
    </w:p>
    <w:p>
      <w:pPr>
        <w:ind w:firstLine="432"/>
        <w:jc w:val="both"/>
      </w:pPr>
      <w:r>
        <w:rPr>
          <w:rFonts w:ascii="Cambria Math" w:hAnsi="Cambria Math" w:eastAsia="宋体"/>
          <w:sz w:val="22"/>
        </w:rPr>
        <w:t>当前程序中的客流输入由线路、来源类型和释放位置共同定义。基础客流包含各线路站台等待、站厅滞留和换乘来源组；高负荷场景在此基础上叠加多线路列车到达释放客流。初始化过程将客流分配到车厢、站台等待区、站厅 staging 节点和换乘入口节点，并保留来源组标识。这样，后续统计可以区分站台、列车、站厅和换乘来源组在出口利用、设施暴露和清空时间上的差异。</w:t>
      </w:r>
    </w:p>
    <w:p>
      <w:pPr>
        <w:ind w:firstLine="432"/>
        <w:jc w:val="both"/>
      </w:pPr>
      <w:r>
        <w:rPr>
          <w:rFonts w:ascii="Cambria Math" w:hAnsi="Cambria Math" w:eastAsia="宋体"/>
          <w:sz w:val="22"/>
        </w:rPr>
        <w:t>对每个批次，路径组织层根据当前状态和候选出口集合生成路径意图。若某一批次选择路径 p</w:t>
      </w:r>
      <w:r>
        <w:rPr>
          <w:rFonts w:ascii="Cambria Math" w:hAnsi="Cambria Math" w:eastAsia="宋体"/>
          <w:sz w:val="22"/>
          <w:vertAlign w:val="subscript"/>
        </w:rPr>
        <w:t>b^</w:t>
      </w:r>
      <w:r>
        <w:rPr>
          <w:rFonts w:ascii="Cambria Math" w:hAnsi="Cambria Math" w:eastAsia="宋体"/>
          <w:sz w:val="22"/>
        </w:rPr>
        <w:t>*(t)，系统会记录其预计到达共享设施的时间、人数和来源组信息：</w:t>
      </w:r>
    </w:p>
    <w:p>
      <w:pPr>
        <w:pStyle w:val="Equation"/>
        <w:keepLines/>
        <w:jc w:val="center"/>
      </w:pPr>
      <w:r>
        <w:rPr>
          <w:rFonts w:ascii="Cambria Math" w:hAnsi="Cambria Math" w:eastAsia="宋体"/>
          <w:sz w:val="22"/>
        </w:rPr>
        <w:t>A</w:t>
      </w:r>
      <w:r>
        <w:rPr>
          <w:rFonts w:ascii="Cambria Math" w:hAnsi="Cambria Math" w:eastAsia="宋体"/>
          <w:sz w:val="22"/>
          <w:vertAlign w:val="subscript"/>
        </w:rPr>
        <w:t>r</w:t>
      </w:r>
      <w:r>
        <w:rPr>
          <w:rFonts w:ascii="Cambria Math" w:hAnsi="Cambria Math" w:eastAsia="宋体"/>
          <w:sz w:val="22"/>
        </w:rPr>
        <w:t>(t)← A</w:t>
      </w:r>
      <w:r>
        <w:rPr>
          <w:rFonts w:ascii="Cambria Math" w:hAnsi="Cambria Math" w:eastAsia="宋体"/>
          <w:sz w:val="22"/>
          <w:vertAlign w:val="subscript"/>
        </w:rPr>
        <w:t>r</w:t>
      </w:r>
      <w:r>
        <w:rPr>
          <w:rFonts w:ascii="Cambria Math" w:hAnsi="Cambria Math" w:eastAsia="宋体"/>
          <w:sz w:val="22"/>
        </w:rPr>
        <w:t>(t)∪(η</w:t>
      </w:r>
      <w:r>
        <w:rPr>
          <w:rFonts w:ascii="Cambria Math" w:hAnsi="Cambria Math" w:eastAsia="宋体"/>
          <w:sz w:val="22"/>
          <w:vertAlign w:val="subscript"/>
        </w:rPr>
        <w:t>brp</w:t>
      </w:r>
      <w:r>
        <w:rPr>
          <w:rFonts w:ascii="Cambria Math" w:hAnsi="Cambria Math" w:eastAsia="宋体"/>
          <w:sz w:val="22"/>
        </w:rPr>
        <w:t>,n</w:t>
      </w:r>
      <w:r>
        <w:rPr>
          <w:rFonts w:ascii="Cambria Math" w:hAnsi="Cambria Math" w:eastAsia="宋体"/>
          <w:sz w:val="22"/>
          <w:vertAlign w:val="subscript"/>
        </w:rPr>
        <w:t>b</w:t>
      </w:r>
      <w:r>
        <w:rPr>
          <w:rFonts w:ascii="Cambria Math" w:hAnsi="Cambria Math" w:eastAsia="宋体"/>
          <w:sz w:val="22"/>
        </w:rPr>
        <w:t>,g</w:t>
      </w:r>
      <w:r>
        <w:rPr>
          <w:rFonts w:ascii="Cambria Math" w:hAnsi="Cambria Math" w:eastAsia="宋体"/>
          <w:sz w:val="22"/>
          <w:vertAlign w:val="subscript"/>
        </w:rPr>
        <w:t>b</w:t>
      </w:r>
      <w:r>
        <w:rPr>
          <w:rFonts w:ascii="Cambria Math" w:hAnsi="Cambria Math" w:eastAsia="宋体"/>
          <w:sz w:val="22"/>
        </w:rPr>
        <w:t>,b).</w:t>
      </w:r>
    </w:p>
    <w:p>
      <w:pPr>
        <w:ind w:firstLine="432"/>
        <w:jc w:val="both"/>
      </w:pPr>
      <w:r>
        <w:rPr>
          <w:rFonts w:ascii="Cambria Math" w:hAnsi="Cambria Math" w:eastAsia="宋体"/>
          <w:sz w:val="22"/>
        </w:rPr>
        <w:t>该记录是本轮路径组织的未来到达承诺，使后续批次能够感知前序批次对同一设施容量的占用。需要强调的是，这只是路径组织层的预测信息，并不表示乘客已经通过该设施；实际通行仍由共享容量执行层决定。</w:t>
      </w:r>
    </w:p>
    <w:p>
      <w:pPr>
        <w:ind w:firstLine="432"/>
        <w:jc w:val="both"/>
      </w:pPr>
      <w:r>
        <w:rPr>
          <w:rFonts w:ascii="Cambria Math" w:hAnsi="Cambria Math" w:eastAsia="宋体"/>
          <w:sz w:val="22"/>
        </w:rPr>
        <w:t>一个时间步内的滚动决策流程包括六步：</w:t>
      </w:r>
    </w:p>
    <w:p>
      <w:pPr>
        <w:pStyle w:val="ListNumber"/>
        <w:jc w:val="both"/>
      </w:pPr>
      <w:r>
        <w:rPr>
          <w:rFonts w:ascii="Calibri" w:hAnsi="Calibri" w:eastAsia="宋体"/>
          <w:sz w:val="22"/>
        </w:rPr>
        <w:t>冻结当前节点占用、资源队列、在途客流和已登记未来到达事件；</w:t>
      </w:r>
    </w:p>
    <w:p>
      <w:pPr>
        <w:pStyle w:val="ListNumber"/>
        <w:jc w:val="both"/>
      </w:pPr>
      <w:r>
        <w:rPr>
          <w:rFonts w:ascii="Calibri" w:hAnsi="Calibri" w:eastAsia="宋体"/>
          <w:sz w:val="22"/>
        </w:rPr>
        <w:t>识别当前可参与路径组织的客流批次及其来源组；</w:t>
      </w:r>
    </w:p>
    <w:p>
      <w:pPr>
        <w:pStyle w:val="ListNumber"/>
        <w:jc w:val="both"/>
      </w:pPr>
      <w:r>
        <w:rPr>
          <w:rFonts w:ascii="Calibri" w:hAnsi="Calibri" w:eastAsia="宋体"/>
          <w:sz w:val="22"/>
        </w:rPr>
        <w:t>为批次生成候选出口和候选路径集合；</w:t>
      </w:r>
    </w:p>
    <w:p>
      <w:pPr>
        <w:pStyle w:val="ListNumber"/>
        <w:jc w:val="both"/>
      </w:pPr>
      <w:r>
        <w:rPr>
          <w:rFonts w:ascii="Calibri" w:hAnsi="Calibri" w:eastAsia="宋体"/>
          <w:sz w:val="22"/>
        </w:rPr>
        <w:t>调用当前状态 A* 对照方法或 AA 时间依赖搜索生成路径意图；</w:t>
      </w:r>
    </w:p>
    <w:p>
      <w:pPr>
        <w:pStyle w:val="ListNumber"/>
        <w:jc w:val="both"/>
      </w:pPr>
      <w:r>
        <w:rPr>
          <w:rFonts w:ascii="Calibri" w:hAnsi="Calibri" w:eastAsia="宋体"/>
          <w:sz w:val="22"/>
        </w:rPr>
        <w:t>把被接受路径上的预计资源到达写入未来到达事件集合；</w:t>
      </w:r>
    </w:p>
    <w:p>
      <w:pPr>
        <w:pStyle w:val="ListNumber"/>
        <w:jc w:val="both"/>
      </w:pPr>
      <w:r>
        <w:rPr>
          <w:rFonts w:ascii="Calibri" w:hAnsi="Calibri" w:eastAsia="宋体"/>
          <w:sz w:val="22"/>
        </w:rPr>
        <w:t>将全部路径意图交由共享容量执行层，更新下一时间步状态。</w:t>
      </w:r>
    </w:p>
    <w:p>
      <w:pPr>
        <w:ind w:firstLine="432"/>
        <w:jc w:val="both"/>
      </w:pPr>
      <w:r>
        <w:rPr>
          <w:rFonts w:ascii="Cambria Math" w:hAnsi="Cambria Math" w:eastAsia="宋体"/>
          <w:sz w:val="22"/>
        </w:rPr>
        <w:t>该流程对应本文“路径组织—共享容量执行—状态更新”的基本求解框架。</w:t>
      </w:r>
    </w:p>
    <w:p>
      <w:pPr>
        <w:pStyle w:val="Heading2"/>
        <w:keepNext/>
      </w:pPr>
      <w:r>
        <w:rPr>
          <w:rFonts w:ascii="Calibri" w:hAnsi="Calibri" w:eastAsia="黑体"/>
          <w:b/>
          <w:color w:val="2E74B5"/>
          <w:sz w:val="26"/>
        </w:rPr>
        <w:t>4.2 当前状态 A* 对照方法</w:t>
      </w:r>
    </w:p>
    <w:p>
      <w:pPr>
        <w:ind w:firstLine="432"/>
        <w:jc w:val="both"/>
      </w:pPr>
      <w:r>
        <w:rPr>
          <w:rFonts w:ascii="Cambria Math" w:hAnsi="Cambria Math" w:eastAsia="宋体"/>
          <w:sz w:val="22"/>
        </w:rPr>
        <w:t>A* 是在加权图上求解最小代价路径的启发式搜索方法。对处于节点 v 的搜索状态，A* 使用评价函数</w:t>
      </w:r>
    </w:p>
    <w:p>
      <w:pPr>
        <w:pStyle w:val="Equation"/>
        <w:keepLines/>
        <w:jc w:val="center"/>
      </w:pPr>
      <w:r>
        <w:rPr>
          <w:rFonts w:ascii="Cambria Math" w:hAnsi="Cambria Math" w:eastAsia="宋体"/>
          <w:sz w:val="22"/>
        </w:rPr>
        <w:t>f(v)=g(v)+h(v)</w:t>
      </w:r>
    </w:p>
    <w:p>
      <w:pPr>
        <w:ind w:firstLine="432"/>
        <w:jc w:val="both"/>
      </w:pPr>
      <w:r>
        <w:rPr>
          <w:rFonts w:ascii="Cambria Math" w:hAnsi="Cambria Math" w:eastAsia="宋体"/>
          <w:sz w:val="22"/>
        </w:rPr>
        <w:t>确定优先扩展顺序。其中，g(v) 为从起点到节点 v 的累计代价，h(v) 为从节点 v 到目标节点的剩余代价估计。若 h(v) 是真实剩余代价的下界，A* 能够在减少无效扩展的同时保持路径搜索的合理性。</w:t>
      </w:r>
    </w:p>
    <w:p>
      <w:pPr>
        <w:ind w:firstLine="432"/>
        <w:jc w:val="both"/>
      </w:pPr>
      <w:r>
        <w:rPr>
          <w:rFonts w:ascii="Cambria Math" w:hAnsi="Cambria Math" w:eastAsia="宋体"/>
          <w:sz w:val="22"/>
        </w:rPr>
        <w:t>在静态路径规划中，边代价通常由距离、自由流时间或固定通行阻抗给出，同一个节点只需保留当前最小的 g(v)。但在地铁站疏散中，乘客到达楼扶梯、闸机或出口前区的时刻会影响其面对的队列长度和等待时间。同一节点在不同时刻被到达时，后续边代价可能不同。因此，基础 A* 可以作为路径搜索骨架，但不能完整表达到达时刻设施竞争。</w:t>
      </w:r>
    </w:p>
    <w:p>
      <w:pPr>
        <w:ind w:firstLine="432"/>
        <w:jc w:val="both"/>
      </w:pPr>
      <w:r>
        <w:rPr>
          <w:rFonts w:ascii="Cambria Math" w:hAnsi="Cambria Math" w:eastAsia="宋体"/>
          <w:sz w:val="22"/>
        </w:rPr>
        <w:t>本文使用 ImprovedAStar 作为计算对照方法。该方法在相同站内网络、相同客流输入、相同速度模型、相同共享设施容量、相同下游接收约束和相同终止条件下运行，用于提供当前状态路径组织的比较基准。它的作用是说明：如果路径评价主要依据当前可见状态和即时边权，而不显式登记本轮前序批次的未来到达负荷，疏散执行层会形成怎样的出口利用、关键设施排队和尾部清空结果。ImprovedAStar 仅承担算法对照角色，不对应已核验的现场疏散方案。</w:t>
      </w:r>
    </w:p>
    <w:p>
      <w:pPr>
        <w:ind w:firstLine="432"/>
        <w:jc w:val="both"/>
      </w:pPr>
      <w:r>
        <w:rPr>
          <w:rFonts w:ascii="Cambria Math" w:hAnsi="Cambria Math" w:eastAsia="宋体"/>
          <w:sz w:val="22"/>
        </w:rPr>
        <w:t>为了与 AA 保持可比，当前状态 A* 对照方法同样不直接决定乘客最终疏散结果。它输出的路径也要进入共享容量执行层，接受同一设施服务能力和下游接收能力约束。这样，实验比较只把差异限制在路径组织层，而不是把网络、客流、容量或统计口径混在一起。</w:t>
      </w:r>
    </w:p>
    <w:p>
      <w:pPr>
        <w:pStyle w:val="Heading2"/>
        <w:keepNext/>
      </w:pPr>
      <w:r>
        <w:rPr>
          <w:rFonts w:ascii="Calibri" w:hAnsi="Calibri" w:eastAsia="黑体"/>
          <w:b/>
          <w:color w:val="2E74B5"/>
          <w:sz w:val="26"/>
        </w:rPr>
        <w:t>4.3 AA 时间依赖队列感知搜索</w:t>
      </w:r>
    </w:p>
    <w:p>
      <w:pPr>
        <w:ind w:firstLine="432"/>
        <w:jc w:val="both"/>
      </w:pPr>
      <w:r>
        <w:rPr>
          <w:rFonts w:ascii="Cambria Math" w:hAnsi="Cambria Math" w:eastAsia="宋体"/>
          <w:sz w:val="22"/>
        </w:rPr>
        <w:t>本文将到达时刻队列感知的路径搜索方法记为 AA，即 AdaptiveQueueAwareAStar。AA 并不是重新定义第 3 章的模型，而是在 A* 搜索框架中引入到达时刻队列预测，使路径代价能够反映批次真正到达共享设施时可能面对的等待。其核心扩展包括三点：状态由单一节点扩展为时间标签，边代价由固定阻抗扩展为时间依赖代价，本轮已承诺的未来到达事件会影响后续批次的路径评价。</w:t>
      </w:r>
    </w:p>
    <w:p>
      <w:pPr>
        <w:ind w:firstLine="432"/>
        <w:jc w:val="both"/>
      </w:pPr>
      <w:r>
        <w:rPr>
          <w:rFonts w:ascii="Cambria Math" w:hAnsi="Cambria Math" w:eastAsia="宋体"/>
          <w:sz w:val="22"/>
        </w:rPr>
        <w:t>AA 对批次 b 从当前节点 o</w:t>
      </w:r>
      <w:r>
        <w:rPr>
          <w:rFonts w:ascii="Cambria Math" w:hAnsi="Cambria Math" w:eastAsia="宋体"/>
          <w:sz w:val="22"/>
          <w:vertAlign w:val="subscript"/>
        </w:rPr>
        <w:t>b</w:t>
      </w:r>
      <w:r>
        <w:rPr>
          <w:rFonts w:ascii="Cambria Math" w:hAnsi="Cambria Math" w:eastAsia="宋体"/>
          <w:sz w:val="22"/>
        </w:rPr>
        <w:t xml:space="preserve"> 到目标出口集合 D</w:t>
      </w:r>
      <w:r>
        <w:rPr>
          <w:rFonts w:ascii="Cambria Math" w:hAnsi="Cambria Math" w:eastAsia="宋体"/>
          <w:sz w:val="22"/>
          <w:vertAlign w:val="subscript"/>
        </w:rPr>
        <w:t>b</w:t>
      </w:r>
      <w:r>
        <w:rPr>
          <w:rFonts w:ascii="Cambria Math" w:hAnsi="Cambria Math" w:eastAsia="宋体"/>
          <w:sz w:val="22"/>
        </w:rPr>
        <w:t xml:space="preserve"> 进行多标签搜索。搜索标签表示为</w:t>
      </w:r>
    </w:p>
    <w:p>
      <w:pPr>
        <w:pStyle w:val="Equation"/>
        <w:keepLines/>
        <w:jc w:val="center"/>
      </w:pPr>
      <w:r>
        <w:rPr>
          <w:rFonts w:ascii="Cambria Math" w:hAnsi="Cambria Math" w:eastAsia="宋体"/>
          <w:sz w:val="22"/>
        </w:rPr>
        <w:t>ℓ=(v,η,c,ψ,π),</w:t>
      </w:r>
    </w:p>
    <w:p>
      <w:pPr>
        <w:ind w:firstLine="432"/>
        <w:jc w:val="both"/>
      </w:pPr>
      <w:r>
        <w:rPr>
          <w:rFonts w:ascii="Cambria Math" w:hAnsi="Cambria Math" w:eastAsia="宋体"/>
          <w:sz w:val="22"/>
        </w:rPr>
        <w:t>其中，v 为标签所在节点，η 为预计到达该节点的时刻，c 为从起点到当前节点的累计广义代价，ψ 为累计拥挤暴露或风险代价，π 为前驱标签。同一节点上的两个标签即使位置相同，只要到达时刻不同，也可能面对不同的未来队列，因此不能简单按节点合并。AA 保留必要的时间标签，并通过支配关系删除明显劣势标签：若两个标签位于同一节点，且一个标签到达不晚、累计代价和拥挤暴露均不高，则另一个标签可被剔除。</w:t>
      </w:r>
    </w:p>
    <w:p>
      <w:pPr>
        <w:ind w:firstLine="432"/>
        <w:jc w:val="both"/>
      </w:pPr>
      <w:r>
        <w:rPr>
          <w:rFonts w:ascii="Cambria Math" w:hAnsi="Cambria Math" w:eastAsia="宋体"/>
          <w:sz w:val="22"/>
        </w:rPr>
        <w:t>当标签沿边 e=(u,v) 扩展时，首先计算物理行走时间 τ</w:t>
      </w:r>
      <w:r>
        <w:rPr>
          <w:rFonts w:ascii="Cambria Math" w:hAnsi="Cambria Math" w:eastAsia="宋体"/>
          <w:sz w:val="22"/>
          <w:vertAlign w:val="subscript"/>
        </w:rPr>
        <w:t>e</w:t>
      </w:r>
      <w:r>
        <w:rPr>
          <w:rFonts w:ascii="Cambria Math" w:hAnsi="Cambria Math" w:eastAsia="宋体"/>
          <w:sz w:val="22"/>
        </w:rPr>
        <w:t>(η)。若边 e 不对应共享设施，则新标签主要由行走时间更新；若 ρ(e)=r，则在预计进入资源的时刻 η 查询预测队列 Q̂</w:t>
      </w:r>
      <w:r>
        <w:rPr>
          <w:rFonts w:ascii="Cambria Math" w:hAnsi="Cambria Math" w:eastAsia="宋体"/>
          <w:sz w:val="22"/>
          <w:vertAlign w:val="subscript"/>
        </w:rPr>
        <w:t>r</w:t>
      </w:r>
      <w:r>
        <w:rPr>
          <w:rFonts w:ascii="Cambria Math" w:hAnsi="Cambria Math" w:eastAsia="宋体"/>
          <w:sz w:val="22"/>
        </w:rPr>
        <w:t>(η|t)，并加入预测等待 W</w:t>
      </w:r>
      <w:r>
        <w:rPr>
          <w:rFonts w:ascii="Cambria Math" w:hAnsi="Cambria Math" w:eastAsia="宋体"/>
          <w:sz w:val="22"/>
          <w:vertAlign w:val="subscript"/>
        </w:rPr>
        <w:t>r</w:t>
      </w:r>
      <w:r>
        <w:rPr>
          <w:rFonts w:ascii="Cambria Math" w:hAnsi="Cambria Math" w:eastAsia="宋体"/>
          <w:sz w:val="22"/>
        </w:rPr>
        <w:t>(η|t) 和批次自身服务占用 S</w:t>
      </w:r>
      <w:r>
        <w:rPr>
          <w:rFonts w:ascii="Cambria Math" w:hAnsi="Cambria Math" w:eastAsia="宋体"/>
          <w:sz w:val="22"/>
          <w:vertAlign w:val="subscript"/>
        </w:rPr>
        <w:t>r</w:t>
      </w:r>
      <w:r>
        <w:rPr>
          <w:rFonts w:ascii="Cambria Math" w:hAnsi="Cambria Math" w:eastAsia="宋体"/>
          <w:sz w:val="22"/>
        </w:rPr>
        <w:t>(n</w:t>
      </w:r>
      <w:r>
        <w:rPr>
          <w:rFonts w:ascii="Cambria Math" w:hAnsi="Cambria Math" w:eastAsia="宋体"/>
          <w:sz w:val="22"/>
          <w:vertAlign w:val="subscript"/>
        </w:rPr>
        <w:t>b</w:t>
      </w:r>
      <w:r>
        <w:rPr>
          <w:rFonts w:ascii="Cambria Math" w:hAnsi="Cambria Math" w:eastAsia="宋体"/>
          <w:sz w:val="22"/>
        </w:rPr>
        <w:t>)。标签扩展可概括为</w:t>
      </w:r>
    </w:p>
    <w:p>
      <w:pPr>
        <w:pStyle w:val="Equation"/>
        <w:keepLines/>
        <w:jc w:val="center"/>
      </w:pPr>
      <w:r>
        <w:rPr>
          <w:rFonts w:ascii="Cambria Math" w:hAnsi="Cambria Math" w:eastAsia="宋体"/>
          <w:sz w:val="22"/>
        </w:rPr>
        <w:t>c'=c+τ</w:t>
      </w:r>
      <w:r>
        <w:rPr>
          <w:rFonts w:ascii="Cambria Math" w:hAnsi="Cambria Math" w:eastAsia="宋体"/>
          <w:sz w:val="22"/>
          <w:vertAlign w:val="subscript"/>
        </w:rPr>
        <w:t>e</w:t>
      </w:r>
      <w:r>
        <w:rPr>
          <w:rFonts w:ascii="Cambria Math" w:hAnsi="Cambria Math" w:eastAsia="宋体"/>
          <w:sz w:val="22"/>
        </w:rPr>
        <w:t>(η)+ I</w:t>
      </w:r>
      <w:r>
        <w:rPr>
          <w:rFonts w:ascii="Cambria Math" w:hAnsi="Cambria Math" w:eastAsia="宋体"/>
          <w:sz w:val="22"/>
          <w:vertAlign w:val="subscript"/>
        </w:rPr>
        <w:t>ρ</w:t>
      </w:r>
      <w:r>
        <w:rPr>
          <w:rFonts w:ascii="Cambria Math" w:hAnsi="Cambria Math" w:eastAsia="宋体"/>
          <w:sz w:val="22"/>
        </w:rPr>
        <w:t>(e)∈ R ( W</w:t>
      </w:r>
      <w:r>
        <w:rPr>
          <w:rFonts w:ascii="Cambria Math" w:hAnsi="Cambria Math" w:eastAsia="宋体"/>
          <w:sz w:val="22"/>
          <w:vertAlign w:val="subscript"/>
        </w:rPr>
        <w:t>ρ</w:t>
      </w:r>
      <w:r>
        <w:rPr>
          <w:rFonts w:ascii="Cambria Math" w:hAnsi="Cambria Math" w:eastAsia="宋体"/>
          <w:sz w:val="22"/>
        </w:rPr>
        <w:t>(e)(η|t)+S</w:t>
      </w:r>
      <w:r>
        <w:rPr>
          <w:rFonts w:ascii="Cambria Math" w:hAnsi="Cambria Math" w:eastAsia="宋体"/>
          <w:sz w:val="22"/>
          <w:vertAlign w:val="subscript"/>
        </w:rPr>
        <w:t>ρ</w:t>
      </w:r>
      <w:r>
        <w:rPr>
          <w:rFonts w:ascii="Cambria Math" w:hAnsi="Cambria Math" w:eastAsia="宋体"/>
          <w:sz w:val="22"/>
        </w:rPr>
        <w:t>(e)(n</w:t>
      </w:r>
      <w:r>
        <w:rPr>
          <w:rFonts w:ascii="Cambria Math" w:hAnsi="Cambria Math" w:eastAsia="宋体"/>
          <w:sz w:val="22"/>
          <w:vertAlign w:val="subscript"/>
        </w:rPr>
        <w:t>b</w:t>
      </w:r>
      <w:r>
        <w:rPr>
          <w:rFonts w:ascii="Cambria Math" w:hAnsi="Cambria Math" w:eastAsia="宋体"/>
          <w:sz w:val="22"/>
        </w:rPr>
        <w:t>) ) +λ R</w:t>
      </w:r>
      <w:r>
        <w:rPr>
          <w:rFonts w:ascii="Cambria Math" w:hAnsi="Cambria Math" w:eastAsia="宋体"/>
          <w:sz w:val="22"/>
          <w:vertAlign w:val="subscript"/>
        </w:rPr>
        <w:t>e</w:t>
      </w:r>
      <w:r>
        <w:rPr>
          <w:rFonts w:ascii="Cambria Math" w:hAnsi="Cambria Math" w:eastAsia="宋体"/>
          <w:sz w:val="22"/>
        </w:rPr>
        <w:t>(η).</w:t>
      </w:r>
    </w:p>
    <w:p>
      <w:pPr>
        <w:ind w:firstLine="432"/>
        <w:jc w:val="both"/>
      </w:pPr>
      <w:r>
        <w:rPr>
          <w:rFonts w:ascii="Cambria Math" w:hAnsi="Cambria Math" w:eastAsia="宋体"/>
          <w:sz w:val="22"/>
        </w:rPr>
        <w:t>搜索使用自由流条件下到可用出口集合的最短剩余时间作为启发式下界：</w:t>
      </w:r>
    </w:p>
    <w:p>
      <w:pPr>
        <w:pStyle w:val="Equation"/>
        <w:keepLines/>
        <w:jc w:val="center"/>
      </w:pPr>
      <w:r>
        <w:rPr>
          <w:rFonts w:ascii="Cambria Math" w:hAnsi="Cambria Math" w:eastAsia="宋体"/>
          <w:sz w:val="22"/>
        </w:rPr>
        <w:t>h(v)=(d</w:t>
      </w:r>
      <w:r>
        <w:rPr>
          <w:rFonts w:ascii="Cambria Math" w:hAnsi="Cambria Math" w:eastAsia="宋体"/>
          <w:sz w:val="22"/>
          <w:vertAlign w:val="superscript"/>
        </w:rPr>
        <w:t>free</w:t>
      </w:r>
      <w:r>
        <w:rPr>
          <w:rFonts w:ascii="Cambria Math" w:hAnsi="Cambria Math" w:eastAsia="宋体"/>
          <w:sz w:val="22"/>
        </w:rPr>
        <w:t>(v,D</w:t>
      </w:r>
      <w:r>
        <w:rPr>
          <w:rFonts w:ascii="Cambria Math" w:hAnsi="Cambria Math" w:eastAsia="宋体"/>
          <w:sz w:val="22"/>
          <w:vertAlign w:val="subscript"/>
        </w:rPr>
        <w:t>b</w:t>
      </w:r>
      <w:r>
        <w:rPr>
          <w:rFonts w:ascii="Cambria Math" w:hAnsi="Cambria Math" w:eastAsia="宋体"/>
          <w:sz w:val="22"/>
        </w:rPr>
        <w:t>))/(v</w:t>
      </w:r>
      <w:r>
        <w:rPr>
          <w:rFonts w:ascii="Cambria Math" w:hAnsi="Cambria Math" w:eastAsia="宋体"/>
          <w:sz w:val="22"/>
          <w:vertAlign w:val="superscript"/>
        </w:rPr>
        <w:t>free</w:t>
      </w:r>
      <w:r>
        <w:rPr>
          <w:rFonts w:ascii="Cambria Math" w:hAnsi="Cambria Math" w:eastAsia="宋体"/>
          <w:sz w:val="22"/>
        </w:rPr>
        <w:t>).</w:t>
      </w:r>
    </w:p>
    <w:p>
      <w:pPr>
        <w:ind w:firstLine="432"/>
        <w:jc w:val="both"/>
      </w:pPr>
      <w:r>
        <w:rPr>
          <w:rFonts w:ascii="Cambria Math" w:hAnsi="Cambria Math" w:eastAsia="宋体"/>
          <w:sz w:val="22"/>
        </w:rPr>
        <w:t>该下界只用于限制搜索空间，不替代真实路径代价。真实路径代价仍由已递推的行走时间、预测设施等待、批次服务占用和拥挤暴露共同确定。</w:t>
      </w:r>
    </w:p>
    <w:p>
      <w:pPr>
        <w:ind w:firstLine="432"/>
        <w:jc w:val="both"/>
      </w:pPr>
      <w:r>
        <w:rPr>
          <w:rFonts w:ascii="Cambria Math" w:hAnsi="Cambria Math" w:eastAsia="宋体"/>
          <w:sz w:val="22"/>
        </w:rPr>
        <w:t>AA 输出的路径不仅包括节点序列，还包括该批次预计到达各共享设施的时间、人数和来源组信息。若该路径被接受，这些信息会登记到当前时间步的未来到达事件集合，使随后处理的批次能够感知同一设施即将承受的负荷。由此，AA 的“自适应”不是泛泛地根据拥堵调权，而是随前序批次的路径承诺更新到达时刻队列预测，再据此重新评价后续批次路径。</w:t>
      </w:r>
    </w:p>
    <w:p>
      <w:pPr>
        <w:pStyle w:val="Heading2"/>
        <w:keepNext/>
      </w:pPr>
      <w:r>
        <w:rPr>
          <w:rFonts w:ascii="Calibri" w:hAnsi="Calibri" w:eastAsia="黑体"/>
          <w:b/>
          <w:color w:val="2E74B5"/>
          <w:sz w:val="26"/>
        </w:rPr>
        <w:t>4.4 共享容量执行与结果导出</w:t>
      </w:r>
    </w:p>
    <w:p>
      <w:pPr>
        <w:ind w:firstLine="432"/>
        <w:jc w:val="both"/>
      </w:pPr>
      <w:r>
        <w:rPr>
          <w:rFonts w:ascii="Cambria Math" w:hAnsi="Cambria Math" w:eastAsia="宋体"/>
          <w:sz w:val="22"/>
        </w:rPr>
        <w:t>路径搜索得到的是路径组织意图，不能直接等同于乘客已经按该路径完成疏散。执行层按照资源服务率、下游接收能力和在途移动过程推进乘客，记录实际队列、实际通行、空间阻塞、出口通过量和来源组清空时间。若同一共享设施在当前时间步只能服务 C</w:t>
      </w:r>
      <w:r>
        <w:rPr>
          <w:rFonts w:ascii="Cambria Math" w:hAnsi="Cambria Math" w:eastAsia="宋体"/>
          <w:sz w:val="22"/>
          <w:vertAlign w:val="subscript"/>
        </w:rPr>
        <w:t>r</w:t>
      </w:r>
      <w:r>
        <w:rPr>
          <w:rFonts w:ascii="Cambria Math" w:hAnsi="Cambria Math" w:eastAsia="宋体"/>
          <w:sz w:val="22"/>
        </w:rPr>
        <w:t>(t) 人，则所有到达该设施入口的来源组共同竞争这一容量；若下游节点已达到接收上限，乘客即使获得服务也不能无限进入下游空间，而应在上游形成等待。</w:t>
      </w:r>
    </w:p>
    <w:p>
      <w:pPr>
        <w:ind w:firstLine="432"/>
        <w:jc w:val="both"/>
      </w:pPr>
      <w:r>
        <w:rPr>
          <w:rFonts w:ascii="Cambria Math" w:hAnsi="Cambria Math" w:eastAsia="宋体"/>
          <w:sz w:val="22"/>
        </w:rPr>
        <w:t>共享容量执行层的意义在于把第 3 章的设施竞争问题落到真实约束下检验。若路径组织阶段对某设施的未来负荷判断准确，执行层中该设施的队列峰值和持续时间应相应变化；若预测与执行发生偏差，下一时间步会根据更新后的状态重新组织路径。因此，本文比较 AA 与 ImprovedAStar 时，不能只看搜索得到的路径长度，而必须看路径进入执行层后的实际疏散曲线、设施队列和出口使用结果。</w:t>
      </w:r>
    </w:p>
    <w:p>
      <w:pPr>
        <w:ind w:firstLine="432"/>
        <w:jc w:val="both"/>
      </w:pPr>
      <w:r>
        <w:rPr>
          <w:rFonts w:ascii="Cambria Math" w:hAnsi="Cambria Math" w:eastAsia="宋体"/>
          <w:sz w:val="22"/>
        </w:rPr>
        <w:t>执行层输出包括总体疏散指标、线路清空时间、来源组出口分布、关键设施通过量、候选路径代价、负荷均衡指标和 Pathfinder 路径分配文件。这些输出决定第 5 章的实验顺序：先分析换乘及跨线客流如何被分配到不同出口和设施，再分析这种分配是否降低停滞等待和尾部清空，最后用 Pathfinder 趋势对照和敏感性分析检查结论边界。</w:t>
      </w:r>
    </w:p>
    <w:p>
      <w:pPr>
        <w:pStyle w:val="Heading1"/>
        <w:keepNext/>
      </w:pPr>
      <w:r>
        <w:rPr>
          <w:rFonts w:ascii="Calibri" w:hAnsi="Calibri" w:eastAsia="黑体"/>
          <w:b/>
          <w:color w:val="2E74B5"/>
          <w:sz w:val="32"/>
        </w:rPr>
        <w:t>5 龙阳路站案例研究与机制验证</w:t>
      </w:r>
    </w:p>
    <w:p>
      <w:pPr>
        <w:ind w:firstLine="432"/>
        <w:jc w:val="both"/>
      </w:pPr>
      <w:r>
        <w:rPr>
          <w:rFonts w:ascii="Cambria Math" w:hAnsi="Cambria Math" w:eastAsia="宋体"/>
          <w:sz w:val="22"/>
        </w:rPr>
        <w:t>本章以龙阳路站为案例，检验第 3 章提出的多来源客流共享设施服务链问题，以及第 4 章 AA 到达时刻队列感知路径组织方法的执行效果。案例研究的目的不是单纯比较两个算法名称下的总疏散时间，而是检验队列感知路径组织是否能够改变大型换乘站高负荷疏散中的客流加载方式，并由此影响全站尾部清空和等待暴露。为避免把偶然的总时间差异误读为机制有效，本文先分析换乘及跨线客流的出口和设施分配，再分析总体疏散时间、线路清空和关键设施负荷，最后通过 Pathfinder 微观趋势对照和敏感性分析讨论结论边界。</w:t>
      </w:r>
    </w:p>
    <w:p>
      <w:pPr>
        <w:pStyle w:val="Heading2"/>
        <w:keepNext/>
      </w:pPr>
      <w:r>
        <w:rPr>
          <w:rFonts w:ascii="Calibri" w:hAnsi="Calibri" w:eastAsia="黑体"/>
          <w:b/>
          <w:color w:val="2E74B5"/>
          <w:sz w:val="26"/>
        </w:rPr>
        <w:t>5.1 案例站、客流输入与场景设置</w:t>
      </w:r>
    </w:p>
    <w:p>
      <w:pPr>
        <w:ind w:firstLine="432"/>
        <w:jc w:val="both"/>
      </w:pPr>
      <w:r>
        <w:rPr>
          <w:rFonts w:ascii="Cambria Math" w:hAnsi="Cambria Math" w:eastAsia="宋体"/>
          <w:sz w:val="22"/>
        </w:rPr>
        <w:t>龙阳路站为多线换乘车站，站内包含多个线路站台、换乘通道、站厅、楼扶梯、闸机区和地面出口。案例网络根据 CAD 图纸和当前节点边关系建立；设施宽度、长度、连接关系和出口位置应在参数表中区分 CAD 可量测值、模型设定值、文献取值和必要假设值。尚未完成来源核验的设施容量和行为参数，不应写成实测值或官方值。速度—密度关系仅作为基础运动时间估计的一部分，本文实验不把它作为主要敏感性分析对象。</w:t>
      </w:r>
    </w:p>
    <w:p>
      <w:pPr>
        <w:ind w:firstLine="432"/>
        <w:jc w:val="both"/>
      </w:pPr>
      <w:r>
        <w:rPr>
          <w:rFonts w:ascii="Cambria Math" w:hAnsi="Cambria Math" w:eastAsia="宋体"/>
          <w:sz w:val="22"/>
        </w:rPr>
        <w:t>案例设置低负荷基础疏散场景和高负荷列车叠加疏散场景。低负荷场景包含站台等待、站厅滞留和换乘客流，用于观察共享设施竞争较弱时队列感知机制是否稳定；高负荷场景在基础客流上叠加多线路列车释放客流，用于放大多来源客流的到达重叠和共享设施容量竞争。根据当前模型配置，低负荷场景总人数为 2187 人，高负荷场景总人数为 17905 人；若后续仿真输入冻结时发生修改，正式结果表应同步更新。</w:t>
      </w:r>
    </w:p>
    <w:p>
      <w:pPr>
        <w:spacing w:before="80" w:after="80"/>
        <w:jc w:val="center"/>
      </w:pPr>
      <w:r>
        <w:rPr>
          <w:rFonts w:ascii="Calibri" w:hAnsi="Calibri" w:eastAsia="宋体"/>
          <w:b/>
          <w:sz w:val="20"/>
        </w:rPr>
        <w:t>案例场景设置</w:t>
      </w:r>
    </w:p>
    <w:tbl>
      <w:tblPr>
        <w:tblStyle w:val="TableGrid"/>
        <w:tblW w:type="dxa" w:w="9360"/>
        <w:jc w:val="left"/>
        <w:tblLayout w:type="fixed"/>
        <w:tblLook w:firstColumn="1" w:firstRow="1" w:lastColumn="0" w:lastRow="0" w:noHBand="0" w:noVBand="1" w:val="04A0"/>
        <w:tblInd w:w="120" w:type="dxa"/>
        <w:tblBorders>
          <w:top w:val="single" w:sz="4" w:space="0" w:color="B7C4D2"/>
          <w:left w:val="single" w:sz="4" w:space="0" w:color="B7C4D2"/>
          <w:bottom w:val="single" w:sz="4" w:space="0" w:color="B7C4D2"/>
          <w:right w:val="single" w:sz="4" w:space="0" w:color="B7C4D2"/>
          <w:insideH w:val="single" w:sz="4" w:space="0" w:color="B7C4D2"/>
          <w:insideV w:val="single" w:sz="4" w:space="0" w:color="B7C4D2"/>
        </w:tblBorders>
      </w:tblPr>
      <w:tblGrid>
        <w:gridCol w:w="2100"/>
        <w:gridCol w:w="3200"/>
        <w:gridCol w:w="4060"/>
      </w:tblGrid>
      <w:tr>
        <w:trPr>
          <w:cantSplit/>
          <w:tblHeader w:val="true"/>
        </w:trPr>
        <w:tc>
          <w:tcPr>
            <w:tcW w:type="dxa" w:w="2100"/>
            <w:tcMar>
              <w:top w:w="80" w:type="dxa"/>
              <w:start w:w="120" w:type="dxa"/>
              <w:bottom w:w="80" w:type="dxa"/>
              <w:end w:w="120" w:type="dxa"/>
            </w:tcMar>
            <w:vAlign w:val="center"/>
            <w:shd w:fill="F4F6F9"/>
          </w:tcPr>
          <w:p>
            <w:pPr>
              <w:spacing w:after="0" w:line="252" w:lineRule="auto"/>
              <w:jc w:val="center"/>
            </w:pPr>
            <w:r/>
            <w:r>
              <w:rPr>
                <w:rFonts w:ascii="Cambria Math" w:hAnsi="Cambria Math" w:eastAsia="宋体"/>
                <w:b/>
                <w:sz w:val="18"/>
              </w:rPr>
              <w:t>场景</w:t>
            </w:r>
          </w:p>
        </w:tc>
        <w:tc>
          <w:tcPr>
            <w:tcW w:type="dxa" w:w="3200"/>
            <w:tcMar>
              <w:top w:w="80" w:type="dxa"/>
              <w:start w:w="120" w:type="dxa"/>
              <w:bottom w:w="80" w:type="dxa"/>
              <w:end w:w="120" w:type="dxa"/>
            </w:tcMar>
            <w:vAlign w:val="center"/>
            <w:shd w:fill="F4F6F9"/>
          </w:tcPr>
          <w:p>
            <w:pPr>
              <w:spacing w:after="0" w:line="252" w:lineRule="auto"/>
              <w:jc w:val="center"/>
            </w:pPr>
            <w:r/>
            <w:r>
              <w:rPr>
                <w:rFonts w:ascii="Cambria Math" w:hAnsi="Cambria Math" w:eastAsia="宋体"/>
                <w:b/>
                <w:sz w:val="18"/>
              </w:rPr>
              <w:t>客流组成</w:t>
            </w:r>
          </w:p>
        </w:tc>
        <w:tc>
          <w:tcPr>
            <w:tcW w:type="dxa" w:w="4060"/>
            <w:tcMar>
              <w:top w:w="80" w:type="dxa"/>
              <w:start w:w="120" w:type="dxa"/>
              <w:bottom w:w="80" w:type="dxa"/>
              <w:end w:w="120" w:type="dxa"/>
            </w:tcMar>
            <w:vAlign w:val="center"/>
            <w:shd w:fill="F4F6F9"/>
          </w:tcPr>
          <w:p>
            <w:pPr>
              <w:spacing w:after="0" w:line="252" w:lineRule="auto"/>
              <w:jc w:val="center"/>
            </w:pPr>
            <w:r/>
            <w:r>
              <w:rPr>
                <w:rFonts w:ascii="Cambria Math" w:hAnsi="Cambria Math" w:eastAsia="宋体"/>
                <w:b/>
                <w:sz w:val="18"/>
              </w:rPr>
              <w:t>验证目的</w:t>
            </w:r>
          </w:p>
        </w:tc>
      </w:tr>
      <w:tr>
        <w:trPr>
          <w:cantSplit/>
        </w:trPr>
        <w:tc>
          <w:tcPr>
            <w:tcW w:type="dxa" w:w="2100"/>
            <w:tcMar>
              <w:top w:w="80" w:type="dxa"/>
              <w:start w:w="120" w:type="dxa"/>
              <w:bottom w:w="80" w:type="dxa"/>
              <w:end w:w="120" w:type="dxa"/>
            </w:tcMar>
            <w:vAlign w:val="center"/>
          </w:tcPr>
          <w:p>
            <w:pPr>
              <w:spacing w:after="0" w:line="252" w:lineRule="auto"/>
              <w:jc w:val="left"/>
            </w:pPr>
            <w:r/>
            <w:r>
              <w:rPr>
                <w:rFonts w:ascii="Cambria Math" w:hAnsi="Cambria Math" w:eastAsia="宋体"/>
                <w:b w:val="0"/>
                <w:sz w:val="18"/>
              </w:rPr>
              <w:t>低负荷基础疏散场景</w:t>
            </w:r>
          </w:p>
        </w:tc>
        <w:tc>
          <w:tcPr>
            <w:tcW w:type="dxa" w:w="3200"/>
            <w:tcMar>
              <w:top w:w="80" w:type="dxa"/>
              <w:start w:w="120" w:type="dxa"/>
              <w:bottom w:w="80" w:type="dxa"/>
              <w:end w:w="120" w:type="dxa"/>
            </w:tcMar>
            <w:vAlign w:val="center"/>
          </w:tcPr>
          <w:p>
            <w:pPr>
              <w:spacing w:after="0" w:line="252" w:lineRule="auto"/>
              <w:jc w:val="left"/>
            </w:pPr>
            <w:r/>
            <w:r>
              <w:rPr>
                <w:rFonts w:ascii="Cambria Math" w:hAnsi="Cambria Math" w:eastAsia="宋体"/>
                <w:b w:val="0"/>
                <w:sz w:val="18"/>
              </w:rPr>
              <w:t>站台等待客流、站厅滞留客流和换乘客流；当前模型配置总人数为 2187 人</w:t>
            </w:r>
          </w:p>
        </w:tc>
        <w:tc>
          <w:tcPr>
            <w:tcW w:type="dxa" w:w="4060"/>
            <w:tcMar>
              <w:top w:w="80" w:type="dxa"/>
              <w:start w:w="120" w:type="dxa"/>
              <w:bottom w:w="80" w:type="dxa"/>
              <w:end w:w="120" w:type="dxa"/>
            </w:tcMar>
            <w:vAlign w:val="center"/>
          </w:tcPr>
          <w:p>
            <w:pPr>
              <w:spacing w:after="0" w:line="252" w:lineRule="auto"/>
              <w:jc w:val="center"/>
            </w:pPr>
            <w:r/>
            <w:r>
              <w:rPr>
                <w:rFonts w:ascii="Cambria Math" w:hAnsi="Cambria Math" w:eastAsia="宋体"/>
                <w:b w:val="0"/>
                <w:sz w:val="18"/>
              </w:rPr>
              <w:t>检查共享设施竞争较弱时，AA 是否保持稳定路径组织，避免为预测队列引入无必要绕行或额外等待</w:t>
            </w:r>
          </w:p>
        </w:tc>
      </w:tr>
      <w:tr>
        <w:trPr>
          <w:cantSplit/>
        </w:trPr>
        <w:tc>
          <w:tcPr>
            <w:tcW w:type="dxa" w:w="2100"/>
            <w:tcMar>
              <w:top w:w="80" w:type="dxa"/>
              <w:start w:w="120" w:type="dxa"/>
              <w:bottom w:w="80" w:type="dxa"/>
              <w:end w:w="120" w:type="dxa"/>
            </w:tcMar>
            <w:vAlign w:val="center"/>
          </w:tcPr>
          <w:p>
            <w:pPr>
              <w:spacing w:after="0" w:line="252" w:lineRule="auto"/>
              <w:jc w:val="left"/>
            </w:pPr>
            <w:r/>
            <w:r>
              <w:rPr>
                <w:rFonts w:ascii="Cambria Math" w:hAnsi="Cambria Math" w:eastAsia="宋体"/>
                <w:b w:val="0"/>
                <w:sz w:val="18"/>
              </w:rPr>
              <w:t>高负荷列车叠加疏散场景</w:t>
            </w:r>
          </w:p>
        </w:tc>
        <w:tc>
          <w:tcPr>
            <w:tcW w:type="dxa" w:w="3200"/>
            <w:tcMar>
              <w:top w:w="80" w:type="dxa"/>
              <w:start w:w="120" w:type="dxa"/>
              <w:bottom w:w="80" w:type="dxa"/>
              <w:end w:w="120" w:type="dxa"/>
            </w:tcMar>
            <w:vAlign w:val="center"/>
          </w:tcPr>
          <w:p>
            <w:pPr>
              <w:spacing w:after="0" w:line="252" w:lineRule="auto"/>
              <w:jc w:val="left"/>
            </w:pPr>
            <w:r/>
            <w:r>
              <w:rPr>
                <w:rFonts w:ascii="Cambria Math" w:hAnsi="Cambria Math" w:eastAsia="宋体"/>
                <w:b w:val="0"/>
                <w:sz w:val="18"/>
              </w:rPr>
              <w:t>基础客流叠加多线路列车到达释放客流；当前模型配置总人数为 17905 人</w:t>
            </w:r>
          </w:p>
        </w:tc>
        <w:tc>
          <w:tcPr>
            <w:tcW w:type="dxa" w:w="4060"/>
            <w:tcMar>
              <w:top w:w="80" w:type="dxa"/>
              <w:start w:w="120" w:type="dxa"/>
              <w:bottom w:w="80" w:type="dxa"/>
              <w:end w:w="120" w:type="dxa"/>
            </w:tcMar>
            <w:vAlign w:val="center"/>
          </w:tcPr>
          <w:p>
            <w:pPr>
              <w:spacing w:after="0" w:line="252" w:lineRule="auto"/>
              <w:jc w:val="center"/>
            </w:pPr>
            <w:r/>
            <w:r>
              <w:rPr>
                <w:rFonts w:ascii="Cambria Math" w:hAnsi="Cambria Math" w:eastAsia="宋体"/>
                <w:b w:val="0"/>
                <w:sz w:val="18"/>
              </w:rPr>
              <w:t>放大多来源客流到达重叠，检验到达时刻队列预测对关键设施负荷、等待暴露和尾部清空的作用</w:t>
            </w:r>
          </w:p>
        </w:tc>
      </w:tr>
    </w:tbl>
    <w:p>
      <w:pPr>
        <w:spacing w:after="40"/>
      </w:pPr>
    </w:p>
    <w:p>
      <w:pPr>
        <w:ind w:firstLine="432"/>
        <w:jc w:val="both"/>
      </w:pPr>
      <w:r>
        <w:rPr>
          <w:rFonts w:ascii="Cambria Math" w:hAnsi="Cambria Math" w:eastAsia="宋体"/>
          <w:sz w:val="22"/>
        </w:rPr>
        <w:t>两种路径组织方法采用相同站内网络、相同客流输入、相同设施容量、相同下游接收约束和相同统计指标。ImprovedAStar 作为当前状态 A* 计算对照方法，AA 作为到达时刻队列感知方法。这样设置的目的是把差异集中在路径组织层，便于解释 AA 是否通过改变多来源客流的设施加载方式影响整体疏散。</w:t>
      </w:r>
    </w:p>
    <w:p>
      <w:pPr>
        <w:pStyle w:val="Heading2"/>
        <w:keepNext/>
      </w:pPr>
      <w:r>
        <w:rPr>
          <w:rFonts w:ascii="Calibri" w:hAnsi="Calibri" w:eastAsia="黑体"/>
          <w:b/>
          <w:color w:val="2E74B5"/>
          <w:sz w:val="26"/>
        </w:rPr>
        <w:t>5.2 换乘与跨线客流分配结果分析</w:t>
      </w:r>
    </w:p>
    <w:p>
      <w:pPr>
        <w:ind w:firstLine="432"/>
        <w:jc w:val="both"/>
      </w:pPr>
      <w:r>
        <w:rPr>
          <w:rFonts w:ascii="Cambria Math" w:hAnsi="Cambria Math" w:eastAsia="宋体"/>
          <w:sz w:val="22"/>
        </w:rPr>
        <w:t>本节先分析客流分配，而不是直接报告总疏散时间。这样安排是因为本文的核心结论应由“路径组织如何改变共享设施负荷”支撑。如果只比较 T</w:t>
      </w:r>
      <w:r>
        <w:rPr>
          <w:rFonts w:ascii="Cambria Math" w:hAnsi="Cambria Math" w:eastAsia="宋体"/>
          <w:sz w:val="22"/>
          <w:vertAlign w:val="subscript"/>
        </w:rPr>
        <w:t>100，读者无法判断改善来自换乘流分散、出口利用均衡、关键楼扶梯排队降低，还是来自其他偶然因素。因此，实验首先比较两种方法下各线路、各来源组和跨线客流的最终出口分布，以及关键共享设施的通过量和队列暴露。</w:t>
      </w:r>
    </w:p>
    <w:p>
      <w:pPr>
        <w:ind w:firstLine="432"/>
        <w:jc w:val="both"/>
      </w:pPr>
      <w:r>
        <w:rPr>
          <w:rFonts w:ascii="Cambria Math" w:hAnsi="Cambria Math" w:eastAsia="宋体"/>
          <w:sz w:val="22"/>
        </w:rPr>
        <w:t>对每个来源组 g，统计其最终出口集合、跨线出口比例、经过关键共享设施的人数和离站曲线。跨线出口在这里不是评价某类乘客是否“被影响”的指标，而是判断路径组织是否改变了多线换乘站中服务链加载方式的证据。如果 AA 在高负荷场景中引导部分客流避开未来队列峰值较高的设施，并使用其他尚有余量的出口或通道，则应在出口分布和关键设施通过量上体现出来。</w:t>
      </w:r>
    </w:p>
    <w:p>
      <w:pPr>
        <w:spacing w:before="80" w:after="80"/>
        <w:jc w:val="center"/>
      </w:pPr>
      <w:r>
        <w:rPr>
          <w:rFonts w:ascii="Calibri" w:hAnsi="Calibri" w:eastAsia="宋体"/>
          <w:b/>
          <w:sz w:val="20"/>
        </w:rPr>
        <w:t>换乘与跨线客流分配结果记录表</w:t>
      </w:r>
    </w:p>
    <w:tbl>
      <w:tblPr>
        <w:tblStyle w:val="TableGrid"/>
        <w:tblW w:type="dxa" w:w="9360"/>
        <w:jc w:val="left"/>
        <w:tblLayout w:type="fixed"/>
        <w:tblLook w:firstColumn="1" w:firstRow="1" w:lastColumn="0" w:lastRow="0" w:noHBand="0" w:noVBand="1" w:val="04A0"/>
        <w:tblInd w:w="120" w:type="dxa"/>
        <w:tblBorders>
          <w:top w:val="single" w:sz="4" w:space="0" w:color="B7C4D2"/>
          <w:left w:val="single" w:sz="4" w:space="0" w:color="B7C4D2"/>
          <w:bottom w:val="single" w:sz="4" w:space="0" w:color="B7C4D2"/>
          <w:right w:val="single" w:sz="4" w:space="0" w:color="B7C4D2"/>
          <w:insideH w:val="single" w:sz="4" w:space="0" w:color="B7C4D2"/>
          <w:insideV w:val="single" w:sz="4" w:space="0" w:color="B7C4D2"/>
        </w:tblBorders>
      </w:tblPr>
      <w:tblGrid>
        <w:gridCol w:w="780"/>
        <w:gridCol w:w="1450"/>
        <w:gridCol w:w="620"/>
        <w:gridCol w:w="760"/>
        <w:gridCol w:w="5750"/>
      </w:tblGrid>
      <w:tr>
        <w:trPr>
          <w:cantSplit/>
          <w:tblHeader w:val="true"/>
        </w:trPr>
        <w:tc>
          <w:tcPr>
            <w:tcW w:type="dxa" w:w="780"/>
            <w:tcMar>
              <w:top w:w="80" w:type="dxa"/>
              <w:start w:w="120" w:type="dxa"/>
              <w:bottom w:w="80" w:type="dxa"/>
              <w:end w:w="120" w:type="dxa"/>
            </w:tcMar>
            <w:vAlign w:val="center"/>
            <w:shd w:fill="F4F6F9"/>
          </w:tcPr>
          <w:p>
            <w:pPr>
              <w:spacing w:after="0" w:line="252" w:lineRule="auto"/>
              <w:jc w:val="center"/>
            </w:pPr>
            <w:r/>
            <w:r>
              <w:rPr>
                <w:rFonts w:ascii="Cambria Math" w:hAnsi="Cambria Math" w:eastAsia="宋体"/>
                <w:b/>
                <w:sz w:val="17"/>
              </w:rPr>
              <w:t>场景</w:t>
            </w:r>
          </w:p>
        </w:tc>
        <w:tc>
          <w:tcPr>
            <w:tcW w:type="dxa" w:w="1450"/>
            <w:tcMar>
              <w:top w:w="80" w:type="dxa"/>
              <w:start w:w="120" w:type="dxa"/>
              <w:bottom w:w="80" w:type="dxa"/>
              <w:end w:w="120" w:type="dxa"/>
            </w:tcMar>
            <w:vAlign w:val="center"/>
            <w:shd w:fill="F4F6F9"/>
          </w:tcPr>
          <w:p>
            <w:pPr>
              <w:spacing w:after="0" w:line="252" w:lineRule="auto"/>
              <w:jc w:val="center"/>
            </w:pPr>
            <w:r/>
            <w:r>
              <w:rPr>
                <w:rFonts w:ascii="Cambria Math" w:hAnsi="Cambria Math" w:eastAsia="宋体"/>
                <w:b/>
                <w:sz w:val="17"/>
              </w:rPr>
              <w:t>方法</w:t>
            </w:r>
          </w:p>
        </w:tc>
        <w:tc>
          <w:tcPr>
            <w:tcW w:type="dxa" w:w="620"/>
            <w:tcMar>
              <w:top w:w="80" w:type="dxa"/>
              <w:start w:w="120" w:type="dxa"/>
              <w:bottom w:w="80" w:type="dxa"/>
              <w:end w:w="120" w:type="dxa"/>
            </w:tcMar>
            <w:vAlign w:val="center"/>
            <w:shd w:fill="F4F6F9"/>
          </w:tcPr>
          <w:p>
            <w:pPr>
              <w:spacing w:after="0" w:line="252" w:lineRule="auto"/>
              <w:jc w:val="center"/>
            </w:pPr>
            <w:r/>
            <w:r>
              <w:rPr>
                <w:rFonts w:ascii="Cambria Math" w:hAnsi="Cambria Math" w:eastAsia="宋体"/>
                <w:b/>
                <w:sz w:val="17"/>
              </w:rPr>
              <w:t>跨线客流规模</w:t>
            </w:r>
          </w:p>
        </w:tc>
        <w:tc>
          <w:tcPr>
            <w:tcW w:type="dxa" w:w="760"/>
            <w:tcMar>
              <w:top w:w="80" w:type="dxa"/>
              <w:start w:w="120" w:type="dxa"/>
              <w:bottom w:w="80" w:type="dxa"/>
              <w:end w:w="120" w:type="dxa"/>
            </w:tcMar>
            <w:vAlign w:val="center"/>
            <w:shd w:fill="F4F6F9"/>
          </w:tcPr>
          <w:p>
            <w:pPr>
              <w:spacing w:after="0" w:line="252" w:lineRule="auto"/>
              <w:jc w:val="center"/>
            </w:pPr>
            <w:r/>
            <w:r>
              <w:rPr>
                <w:rFonts w:ascii="Cambria Math" w:hAnsi="Cambria Math" w:eastAsia="宋体"/>
                <w:b/>
                <w:sz w:val="17"/>
              </w:rPr>
              <w:t>主要变化位置</w:t>
            </w:r>
          </w:p>
        </w:tc>
        <w:tc>
          <w:tcPr>
            <w:tcW w:type="dxa" w:w="5750"/>
            <w:tcMar>
              <w:top w:w="80" w:type="dxa"/>
              <w:start w:w="120" w:type="dxa"/>
              <w:bottom w:w="80" w:type="dxa"/>
              <w:end w:w="120" w:type="dxa"/>
            </w:tcMar>
            <w:vAlign w:val="center"/>
            <w:shd w:fill="F4F6F9"/>
          </w:tcPr>
          <w:p>
            <w:pPr>
              <w:spacing w:after="0" w:line="252" w:lineRule="auto"/>
              <w:jc w:val="center"/>
            </w:pPr>
            <w:r/>
            <w:r>
              <w:rPr>
                <w:rFonts w:ascii="Cambria Math" w:hAnsi="Cambria Math" w:eastAsia="宋体"/>
                <w:b/>
                <w:sz w:val="17"/>
              </w:rPr>
              <w:t>解释重点</w:t>
            </w:r>
          </w:p>
        </w:tc>
      </w:tr>
      <w:tr>
        <w:trPr>
          <w:cantSplit/>
        </w:trPr>
        <w:tc>
          <w:tcPr>
            <w:tcW w:type="dxa" w:w="780"/>
            <w:tcMar>
              <w:top w:w="80" w:type="dxa"/>
              <w:start w:w="120" w:type="dxa"/>
              <w:bottom w:w="80" w:type="dxa"/>
              <w:end w:w="120" w:type="dxa"/>
            </w:tcMar>
            <w:vAlign w:val="center"/>
          </w:tcPr>
          <w:p>
            <w:pPr>
              <w:spacing w:after="0" w:line="252" w:lineRule="auto"/>
              <w:jc w:val="left"/>
            </w:pPr>
            <w:r/>
            <w:r>
              <w:rPr>
                <w:rFonts w:ascii="Cambria Math" w:hAnsi="Cambria Math" w:eastAsia="宋体"/>
                <w:b w:val="0"/>
                <w:sz w:val="17"/>
              </w:rPr>
              <w:t>低负荷基础疏散</w:t>
            </w:r>
          </w:p>
        </w:tc>
        <w:tc>
          <w:tcPr>
            <w:tcW w:type="dxa" w:w="1450"/>
            <w:tcMar>
              <w:top w:w="80" w:type="dxa"/>
              <w:start w:w="120" w:type="dxa"/>
              <w:bottom w:w="80" w:type="dxa"/>
              <w:end w:w="120" w:type="dxa"/>
            </w:tcMar>
            <w:vAlign w:val="center"/>
          </w:tcPr>
          <w:p>
            <w:pPr>
              <w:spacing w:after="0" w:line="252" w:lineRule="auto"/>
              <w:jc w:val="left"/>
            </w:pPr>
            <w:r/>
            <w:r>
              <w:rPr>
                <w:rFonts w:ascii="Cambria Math" w:hAnsi="Cambria Math" w:eastAsia="宋体"/>
                <w:b w:val="0"/>
                <w:sz w:val="17"/>
              </w:rPr>
              <w:t>ImprovedAStar</w:t>
            </w:r>
          </w:p>
        </w:tc>
        <w:tc>
          <w:tcPr>
            <w:tcW w:type="dxa" w:w="620"/>
            <w:tcMar>
              <w:top w:w="80" w:type="dxa"/>
              <w:start w:w="120" w:type="dxa"/>
              <w:bottom w:w="80" w:type="dxa"/>
              <w:end w:w="120" w:type="dxa"/>
            </w:tcMar>
            <w:vAlign w:val="center"/>
          </w:tcPr>
          <w:p>
            <w:pPr>
              <w:spacing w:after="0" w:line="252" w:lineRule="auto"/>
              <w:jc w:val="center"/>
            </w:pPr>
            <w:r/>
            <w:r>
              <w:rPr>
                <w:rFonts w:ascii="Cambria Math" w:hAnsi="Cambria Math" w:eastAsia="宋体"/>
                <w:b w:val="0"/>
                <w:sz w:val="17"/>
              </w:rPr>
              <w:t>待冻结</w:t>
            </w:r>
          </w:p>
        </w:tc>
        <w:tc>
          <w:tcPr>
            <w:tcW w:type="dxa" w:w="760"/>
            <w:tcMar>
              <w:top w:w="80" w:type="dxa"/>
              <w:start w:w="120" w:type="dxa"/>
              <w:bottom w:w="80" w:type="dxa"/>
              <w:end w:w="120" w:type="dxa"/>
            </w:tcMar>
            <w:vAlign w:val="center"/>
          </w:tcPr>
          <w:p>
            <w:pPr>
              <w:spacing w:after="0" w:line="252" w:lineRule="auto"/>
              <w:jc w:val="center"/>
            </w:pPr>
            <w:r/>
            <w:r>
              <w:rPr>
                <w:rFonts w:ascii="Cambria Math" w:hAnsi="Cambria Math" w:eastAsia="宋体"/>
                <w:b w:val="0"/>
                <w:sz w:val="17"/>
              </w:rPr>
              <w:t>待冻结</w:t>
            </w:r>
          </w:p>
        </w:tc>
        <w:tc>
          <w:tcPr>
            <w:tcW w:type="dxa" w:w="5750"/>
            <w:tcMar>
              <w:top w:w="80" w:type="dxa"/>
              <w:start w:w="120" w:type="dxa"/>
              <w:bottom w:w="80" w:type="dxa"/>
              <w:end w:w="120" w:type="dxa"/>
            </w:tcMar>
            <w:vAlign w:val="center"/>
          </w:tcPr>
          <w:p>
            <w:pPr>
              <w:spacing w:after="0" w:line="252" w:lineRule="auto"/>
              <w:jc w:val="center"/>
            </w:pPr>
            <w:r/>
            <w:r>
              <w:rPr>
                <w:rFonts w:ascii="Cambria Math" w:hAnsi="Cambria Math" w:eastAsia="宋体"/>
                <w:b w:val="0"/>
                <w:sz w:val="17"/>
              </w:rPr>
              <w:t>当前状态路径组织下的基础出口分布</w:t>
            </w:r>
          </w:p>
        </w:tc>
      </w:tr>
      <w:tr>
        <w:trPr>
          <w:cantSplit/>
        </w:trPr>
        <w:tc>
          <w:tcPr>
            <w:tcW w:type="dxa" w:w="780"/>
            <w:tcMar>
              <w:top w:w="80" w:type="dxa"/>
              <w:start w:w="120" w:type="dxa"/>
              <w:bottom w:w="80" w:type="dxa"/>
              <w:end w:w="120" w:type="dxa"/>
            </w:tcMar>
            <w:vAlign w:val="center"/>
          </w:tcPr>
          <w:p>
            <w:pPr>
              <w:spacing w:after="0" w:line="252" w:lineRule="auto"/>
              <w:jc w:val="left"/>
            </w:pPr>
            <w:r/>
            <w:r>
              <w:rPr>
                <w:rFonts w:ascii="Cambria Math" w:hAnsi="Cambria Math" w:eastAsia="宋体"/>
                <w:b w:val="0"/>
                <w:sz w:val="17"/>
              </w:rPr>
              <w:t>低负荷基础疏散</w:t>
            </w:r>
          </w:p>
        </w:tc>
        <w:tc>
          <w:tcPr>
            <w:tcW w:type="dxa" w:w="1450"/>
            <w:tcMar>
              <w:top w:w="80" w:type="dxa"/>
              <w:start w:w="120" w:type="dxa"/>
              <w:bottom w:w="80" w:type="dxa"/>
              <w:end w:w="120" w:type="dxa"/>
            </w:tcMar>
            <w:vAlign w:val="center"/>
          </w:tcPr>
          <w:p>
            <w:pPr>
              <w:spacing w:after="0" w:line="252" w:lineRule="auto"/>
              <w:jc w:val="left"/>
            </w:pPr>
            <w:r/>
            <w:r>
              <w:rPr>
                <w:rFonts w:ascii="Cambria Math" w:hAnsi="Cambria Math" w:eastAsia="宋体"/>
                <w:b w:val="0"/>
                <w:sz w:val="17"/>
              </w:rPr>
              <w:t>AA</w:t>
            </w:r>
          </w:p>
        </w:tc>
        <w:tc>
          <w:tcPr>
            <w:tcW w:type="dxa" w:w="620"/>
            <w:tcMar>
              <w:top w:w="80" w:type="dxa"/>
              <w:start w:w="120" w:type="dxa"/>
              <w:bottom w:w="80" w:type="dxa"/>
              <w:end w:w="120" w:type="dxa"/>
            </w:tcMar>
            <w:vAlign w:val="center"/>
          </w:tcPr>
          <w:p>
            <w:pPr>
              <w:spacing w:after="0" w:line="252" w:lineRule="auto"/>
              <w:jc w:val="center"/>
            </w:pPr>
            <w:r/>
            <w:r>
              <w:rPr>
                <w:rFonts w:ascii="Cambria Math" w:hAnsi="Cambria Math" w:eastAsia="宋体"/>
                <w:b w:val="0"/>
                <w:sz w:val="17"/>
              </w:rPr>
              <w:t>待冻结</w:t>
            </w:r>
          </w:p>
        </w:tc>
        <w:tc>
          <w:tcPr>
            <w:tcW w:type="dxa" w:w="760"/>
            <w:tcMar>
              <w:top w:w="80" w:type="dxa"/>
              <w:start w:w="120" w:type="dxa"/>
              <w:bottom w:w="80" w:type="dxa"/>
              <w:end w:w="120" w:type="dxa"/>
            </w:tcMar>
            <w:vAlign w:val="center"/>
          </w:tcPr>
          <w:p>
            <w:pPr>
              <w:spacing w:after="0" w:line="252" w:lineRule="auto"/>
              <w:jc w:val="center"/>
            </w:pPr>
            <w:r/>
            <w:r>
              <w:rPr>
                <w:rFonts w:ascii="Cambria Math" w:hAnsi="Cambria Math" w:eastAsia="宋体"/>
                <w:b w:val="0"/>
                <w:sz w:val="17"/>
              </w:rPr>
              <w:t>待冻结</w:t>
            </w:r>
          </w:p>
        </w:tc>
        <w:tc>
          <w:tcPr>
            <w:tcW w:type="dxa" w:w="5750"/>
            <w:tcMar>
              <w:top w:w="80" w:type="dxa"/>
              <w:start w:w="120" w:type="dxa"/>
              <w:bottom w:w="80" w:type="dxa"/>
              <w:end w:w="120" w:type="dxa"/>
            </w:tcMar>
            <w:vAlign w:val="center"/>
          </w:tcPr>
          <w:p>
            <w:pPr>
              <w:spacing w:after="0" w:line="252" w:lineRule="auto"/>
              <w:jc w:val="center"/>
            </w:pPr>
            <w:r/>
            <w:r>
              <w:rPr>
                <w:rFonts w:ascii="Cambria Math" w:hAnsi="Cambria Math" w:eastAsia="宋体"/>
                <w:b w:val="0"/>
                <w:sz w:val="17"/>
              </w:rPr>
              <w:t>检查非强瓶颈条件下是否出现过度分流</w:t>
            </w:r>
          </w:p>
        </w:tc>
      </w:tr>
      <w:tr>
        <w:trPr>
          <w:cantSplit/>
        </w:trPr>
        <w:tc>
          <w:tcPr>
            <w:tcW w:type="dxa" w:w="780"/>
            <w:tcMar>
              <w:top w:w="80" w:type="dxa"/>
              <w:start w:w="120" w:type="dxa"/>
              <w:bottom w:w="80" w:type="dxa"/>
              <w:end w:w="120" w:type="dxa"/>
            </w:tcMar>
            <w:vAlign w:val="center"/>
          </w:tcPr>
          <w:p>
            <w:pPr>
              <w:spacing w:after="0" w:line="252" w:lineRule="auto"/>
              <w:jc w:val="left"/>
            </w:pPr>
            <w:r/>
            <w:r>
              <w:rPr>
                <w:rFonts w:ascii="Cambria Math" w:hAnsi="Cambria Math" w:eastAsia="宋体"/>
                <w:b w:val="0"/>
                <w:sz w:val="17"/>
              </w:rPr>
              <w:t>高负荷列车叠加</w:t>
            </w:r>
          </w:p>
        </w:tc>
        <w:tc>
          <w:tcPr>
            <w:tcW w:type="dxa" w:w="1450"/>
            <w:tcMar>
              <w:top w:w="80" w:type="dxa"/>
              <w:start w:w="120" w:type="dxa"/>
              <w:bottom w:w="80" w:type="dxa"/>
              <w:end w:w="120" w:type="dxa"/>
            </w:tcMar>
            <w:vAlign w:val="center"/>
          </w:tcPr>
          <w:p>
            <w:pPr>
              <w:spacing w:after="0" w:line="252" w:lineRule="auto"/>
              <w:jc w:val="left"/>
            </w:pPr>
            <w:r/>
            <w:r>
              <w:rPr>
                <w:rFonts w:ascii="Cambria Math" w:hAnsi="Cambria Math" w:eastAsia="宋体"/>
                <w:b w:val="0"/>
                <w:sz w:val="17"/>
              </w:rPr>
              <w:t>ImprovedAStar</w:t>
            </w:r>
          </w:p>
        </w:tc>
        <w:tc>
          <w:tcPr>
            <w:tcW w:type="dxa" w:w="620"/>
            <w:tcMar>
              <w:top w:w="80" w:type="dxa"/>
              <w:start w:w="120" w:type="dxa"/>
              <w:bottom w:w="80" w:type="dxa"/>
              <w:end w:w="120" w:type="dxa"/>
            </w:tcMar>
            <w:vAlign w:val="center"/>
          </w:tcPr>
          <w:p>
            <w:pPr>
              <w:spacing w:after="0" w:line="252" w:lineRule="auto"/>
              <w:jc w:val="center"/>
            </w:pPr>
            <w:r/>
            <w:r>
              <w:rPr>
                <w:rFonts w:ascii="Cambria Math" w:hAnsi="Cambria Math" w:eastAsia="宋体"/>
                <w:b w:val="0"/>
                <w:sz w:val="17"/>
              </w:rPr>
              <w:t>待冻结</w:t>
            </w:r>
          </w:p>
        </w:tc>
        <w:tc>
          <w:tcPr>
            <w:tcW w:type="dxa" w:w="760"/>
            <w:tcMar>
              <w:top w:w="80" w:type="dxa"/>
              <w:start w:w="120" w:type="dxa"/>
              <w:bottom w:w="80" w:type="dxa"/>
              <w:end w:w="120" w:type="dxa"/>
            </w:tcMar>
            <w:vAlign w:val="center"/>
          </w:tcPr>
          <w:p>
            <w:pPr>
              <w:spacing w:after="0" w:line="252" w:lineRule="auto"/>
              <w:jc w:val="center"/>
            </w:pPr>
            <w:r/>
            <w:r>
              <w:rPr>
                <w:rFonts w:ascii="Cambria Math" w:hAnsi="Cambria Math" w:eastAsia="宋体"/>
                <w:b w:val="0"/>
                <w:sz w:val="17"/>
              </w:rPr>
              <w:t>待冻结</w:t>
            </w:r>
          </w:p>
        </w:tc>
        <w:tc>
          <w:tcPr>
            <w:tcW w:type="dxa" w:w="5750"/>
            <w:tcMar>
              <w:top w:w="80" w:type="dxa"/>
              <w:start w:w="120" w:type="dxa"/>
              <w:bottom w:w="80" w:type="dxa"/>
              <w:end w:w="120" w:type="dxa"/>
            </w:tcMar>
            <w:vAlign w:val="center"/>
          </w:tcPr>
          <w:p>
            <w:pPr>
              <w:spacing w:after="0" w:line="252" w:lineRule="auto"/>
              <w:jc w:val="center"/>
            </w:pPr>
            <w:r/>
            <w:r>
              <w:rPr>
                <w:rFonts w:ascii="Cambria Math" w:hAnsi="Cambria Math" w:eastAsia="宋体"/>
                <w:b w:val="0"/>
                <w:sz w:val="17"/>
              </w:rPr>
              <w:t>识别多来源客流是否集中加载少数共享设施</w:t>
            </w:r>
          </w:p>
        </w:tc>
      </w:tr>
      <w:tr>
        <w:trPr>
          <w:cantSplit/>
        </w:trPr>
        <w:tc>
          <w:tcPr>
            <w:tcW w:type="dxa" w:w="780"/>
            <w:tcMar>
              <w:top w:w="80" w:type="dxa"/>
              <w:start w:w="120" w:type="dxa"/>
              <w:bottom w:w="80" w:type="dxa"/>
              <w:end w:w="120" w:type="dxa"/>
            </w:tcMar>
            <w:vAlign w:val="center"/>
          </w:tcPr>
          <w:p>
            <w:pPr>
              <w:spacing w:after="0" w:line="252" w:lineRule="auto"/>
              <w:jc w:val="left"/>
            </w:pPr>
            <w:r/>
            <w:r>
              <w:rPr>
                <w:rFonts w:ascii="Cambria Math" w:hAnsi="Cambria Math" w:eastAsia="宋体"/>
                <w:b w:val="0"/>
                <w:sz w:val="17"/>
              </w:rPr>
              <w:t>高负荷列车叠加</w:t>
            </w:r>
          </w:p>
        </w:tc>
        <w:tc>
          <w:tcPr>
            <w:tcW w:type="dxa" w:w="1450"/>
            <w:tcMar>
              <w:top w:w="80" w:type="dxa"/>
              <w:start w:w="120" w:type="dxa"/>
              <w:bottom w:w="80" w:type="dxa"/>
              <w:end w:w="120" w:type="dxa"/>
            </w:tcMar>
            <w:vAlign w:val="center"/>
          </w:tcPr>
          <w:p>
            <w:pPr>
              <w:spacing w:after="0" w:line="252" w:lineRule="auto"/>
              <w:jc w:val="left"/>
            </w:pPr>
            <w:r/>
            <w:r>
              <w:rPr>
                <w:rFonts w:ascii="Cambria Math" w:hAnsi="Cambria Math" w:eastAsia="宋体"/>
                <w:b w:val="0"/>
                <w:sz w:val="17"/>
              </w:rPr>
              <w:t>AA</w:t>
            </w:r>
          </w:p>
        </w:tc>
        <w:tc>
          <w:tcPr>
            <w:tcW w:type="dxa" w:w="620"/>
            <w:tcMar>
              <w:top w:w="80" w:type="dxa"/>
              <w:start w:w="120" w:type="dxa"/>
              <w:bottom w:w="80" w:type="dxa"/>
              <w:end w:w="120" w:type="dxa"/>
            </w:tcMar>
            <w:vAlign w:val="center"/>
          </w:tcPr>
          <w:p>
            <w:pPr>
              <w:spacing w:after="0" w:line="252" w:lineRule="auto"/>
              <w:jc w:val="center"/>
            </w:pPr>
            <w:r/>
            <w:r>
              <w:rPr>
                <w:rFonts w:ascii="Cambria Math" w:hAnsi="Cambria Math" w:eastAsia="宋体"/>
                <w:b w:val="0"/>
                <w:sz w:val="17"/>
              </w:rPr>
              <w:t>待冻结</w:t>
            </w:r>
          </w:p>
        </w:tc>
        <w:tc>
          <w:tcPr>
            <w:tcW w:type="dxa" w:w="760"/>
            <w:tcMar>
              <w:top w:w="80" w:type="dxa"/>
              <w:start w:w="120" w:type="dxa"/>
              <w:bottom w:w="80" w:type="dxa"/>
              <w:end w:w="120" w:type="dxa"/>
            </w:tcMar>
            <w:vAlign w:val="center"/>
          </w:tcPr>
          <w:p>
            <w:pPr>
              <w:spacing w:after="0" w:line="252" w:lineRule="auto"/>
              <w:jc w:val="center"/>
            </w:pPr>
            <w:r/>
            <w:r>
              <w:rPr>
                <w:rFonts w:ascii="Cambria Math" w:hAnsi="Cambria Math" w:eastAsia="宋体"/>
                <w:b w:val="0"/>
                <w:sz w:val="17"/>
              </w:rPr>
              <w:t>待冻结</w:t>
            </w:r>
          </w:p>
        </w:tc>
        <w:tc>
          <w:tcPr>
            <w:tcW w:type="dxa" w:w="5750"/>
            <w:tcMar>
              <w:top w:w="80" w:type="dxa"/>
              <w:start w:w="120" w:type="dxa"/>
              <w:bottom w:w="80" w:type="dxa"/>
              <w:end w:w="120" w:type="dxa"/>
            </w:tcMar>
            <w:vAlign w:val="center"/>
          </w:tcPr>
          <w:p>
            <w:pPr>
              <w:spacing w:after="0" w:line="252" w:lineRule="auto"/>
              <w:jc w:val="center"/>
            </w:pPr>
            <w:r/>
            <w:r>
              <w:rPr>
                <w:rFonts w:ascii="Cambria Math" w:hAnsi="Cambria Math" w:eastAsia="宋体"/>
                <w:b w:val="0"/>
                <w:sz w:val="17"/>
              </w:rPr>
              <w:t>判断到达时刻队列预测是否改变跨线与换乘相关服务链分配</w:t>
            </w:r>
          </w:p>
        </w:tc>
      </w:tr>
    </w:tbl>
    <w:p>
      <w:pPr>
        <w:spacing w:after="40"/>
      </w:pPr>
    </w:p>
    <w:p>
      <w:pPr>
        <w:ind w:firstLine="432"/>
        <w:jc w:val="both"/>
      </w:pPr>
      <w:r>
        <w:rPr>
          <w:rFonts w:ascii="Cambria Math" w:hAnsi="Cambria Math" w:eastAsia="宋体"/>
          <w:sz w:val="22"/>
        </w:rPr>
        <w:t>结果解释应围绕三个问题展开。第一，换乘流是否与列车释放流共同进入同一楼扶梯、通道、闸机或出口前区；第二，AA 是否降低了少数设施的集中加载，并提高出口或关键设施负荷均衡性；第三，这种分配变化是否为后续尾部清空和停滞等待变化提供机制解释。只有当分配证据和效率证据方向一致时，才能把 AA 的改善解释为队列感知路径组织的作用。</w:t>
      </w:r>
    </w:p>
    <w:p>
      <w:pPr>
        <w:pStyle w:val="Heading2"/>
        <w:keepNext/>
      </w:pPr>
      <w:r>
        <w:rPr>
          <w:rFonts w:ascii="Calibri" w:hAnsi="Calibri" w:eastAsia="黑体"/>
          <w:b/>
          <w:color w:val="2E74B5"/>
          <w:sz w:val="26"/>
        </w:rPr>
        <w:t>5.3 全站疏散效率与瓶颈转移分析</w:t>
      </w:r>
    </w:p>
    <w:p>
      <w:pPr>
        <w:ind w:firstLine="432"/>
        <w:jc w:val="both"/>
      </w:pPr>
      <w:r>
        <w:rPr>
          <w:rFonts w:ascii="Cambria Math" w:hAnsi="Cambria Math" w:eastAsia="宋体"/>
          <w:sz w:val="22"/>
        </w:rPr>
        <w:t>在完成分配机制分析后，本节比较整体疏散效率和关键瓶颈变化。整体效率指标包括 T</w:t>
      </w:r>
      <w:r>
        <w:rPr>
          <w:rFonts w:ascii="Cambria Math" w:hAnsi="Cambria Math" w:eastAsia="宋体"/>
          <w:sz w:val="22"/>
          <w:vertAlign w:val="subscript"/>
        </w:rPr>
        <w:t>50、T_80、T_95、T_99、T_100、平均疏散时间、累计静止人秒和平均站点通过率。低负荷场景的重点不是追求显著差异，而是检查两种方法在瓶颈较弱时是否得到接近的总清空结果；高负荷场景的重点是检验</w:t>
      </w:r>
      <w:r>
        <w:rPr>
          <w:rFonts w:ascii="Cambria Math" w:hAnsi="Cambria Math" w:eastAsia="宋体"/>
          <w:sz w:val="22"/>
        </w:rPr>
        <w:t xml:space="preserve"> AA 是否降低尾部清空、累计停滞和关键设施排队。</w:t>
      </w:r>
    </w:p>
    <w:p>
      <w:pPr>
        <w:ind w:firstLine="432"/>
        <w:jc w:val="both"/>
      </w:pPr>
      <w:r>
        <w:rPr>
          <w:rFonts w:ascii="Cambria Math" w:hAnsi="Cambria Math" w:eastAsia="宋体"/>
          <w:sz w:val="22"/>
        </w:rPr>
        <w:t>下表中的“待填”表示相应结果在最终仿真输出冻结后填入。</w:t>
      </w:r>
    </w:p>
    <w:p>
      <w:pPr>
        <w:spacing w:before="80" w:after="80"/>
        <w:jc w:val="center"/>
      </w:pPr>
      <w:r>
        <w:rPr>
          <w:rFonts w:ascii="Calibri" w:hAnsi="Calibri" w:eastAsia="宋体"/>
          <w:b/>
          <w:sz w:val="20"/>
        </w:rPr>
        <w:t>整体疏散效率比较</w:t>
      </w:r>
    </w:p>
    <w:tbl>
      <w:tblPr>
        <w:tblStyle w:val="TableGrid"/>
        <w:tblW w:type="dxa" w:w="9360"/>
        <w:jc w:val="left"/>
        <w:tblLayout w:type="fixed"/>
        <w:tblLook w:firstColumn="1" w:firstRow="1" w:lastColumn="0" w:lastRow="0" w:noHBand="0" w:noVBand="1" w:val="04A0"/>
        <w:tblInd w:w="120" w:type="dxa"/>
        <w:tblBorders>
          <w:top w:val="single" w:sz="4" w:space="0" w:color="B7C4D2"/>
          <w:left w:val="single" w:sz="4" w:space="0" w:color="B7C4D2"/>
          <w:bottom w:val="single" w:sz="4" w:space="0" w:color="B7C4D2"/>
          <w:right w:val="single" w:sz="4" w:space="0" w:color="B7C4D2"/>
          <w:insideH w:val="single" w:sz="4" w:space="0" w:color="B7C4D2"/>
          <w:insideV w:val="single" w:sz="4" w:space="0" w:color="B7C4D2"/>
        </w:tblBorders>
      </w:tblPr>
      <w:tblGrid>
        <w:gridCol w:w="780"/>
        <w:gridCol w:w="1450"/>
        <w:gridCol w:w="620"/>
        <w:gridCol w:w="760"/>
        <w:gridCol w:w="760"/>
        <w:gridCol w:w="760"/>
        <w:gridCol w:w="4230"/>
      </w:tblGrid>
      <w:tr>
        <w:trPr>
          <w:cantSplit/>
          <w:tblHeader w:val="true"/>
        </w:trPr>
        <w:tc>
          <w:tcPr>
            <w:tcW w:type="dxa" w:w="780"/>
            <w:tcMar>
              <w:top w:w="80" w:type="dxa"/>
              <w:start w:w="120" w:type="dxa"/>
              <w:bottom w:w="80" w:type="dxa"/>
              <w:end w:w="120" w:type="dxa"/>
            </w:tcMar>
            <w:vAlign w:val="center"/>
            <w:shd w:fill="F4F6F9"/>
          </w:tcPr>
          <w:p>
            <w:pPr>
              <w:spacing w:after="0" w:line="252" w:lineRule="auto"/>
              <w:jc w:val="center"/>
            </w:pPr>
            <w:r/>
            <w:r>
              <w:rPr>
                <w:rFonts w:ascii="Cambria Math" w:hAnsi="Cambria Math" w:eastAsia="宋体"/>
                <w:b/>
                <w:sz w:val="17"/>
              </w:rPr>
              <w:t>场景</w:t>
            </w:r>
          </w:p>
        </w:tc>
        <w:tc>
          <w:tcPr>
            <w:tcW w:type="dxa" w:w="1450"/>
            <w:tcMar>
              <w:top w:w="80" w:type="dxa"/>
              <w:start w:w="120" w:type="dxa"/>
              <w:bottom w:w="80" w:type="dxa"/>
              <w:end w:w="120" w:type="dxa"/>
            </w:tcMar>
            <w:vAlign w:val="center"/>
            <w:shd w:fill="F4F6F9"/>
          </w:tcPr>
          <w:p>
            <w:pPr>
              <w:spacing w:after="0" w:line="252" w:lineRule="auto"/>
              <w:jc w:val="center"/>
            </w:pPr>
            <w:r/>
            <w:r>
              <w:rPr>
                <w:rFonts w:ascii="Cambria Math" w:hAnsi="Cambria Math" w:eastAsia="宋体"/>
                <w:b/>
                <w:sz w:val="17"/>
              </w:rPr>
              <w:t>方法</w:t>
            </w:r>
          </w:p>
        </w:tc>
        <w:tc>
          <w:tcPr>
            <w:tcW w:type="dxa" w:w="620"/>
            <w:tcMar>
              <w:top w:w="80" w:type="dxa"/>
              <w:start w:w="120" w:type="dxa"/>
              <w:bottom w:w="80" w:type="dxa"/>
              <w:end w:w="120" w:type="dxa"/>
            </w:tcMar>
            <w:vAlign w:val="center"/>
            <w:shd w:fill="F4F6F9"/>
          </w:tcPr>
          <w:p>
            <w:pPr>
              <w:spacing w:after="0" w:line="252" w:lineRule="auto"/>
              <w:jc w:val="center"/>
            </w:pPr>
            <w:r/>
            <w:r>
              <w:rPr>
                <w:rFonts w:ascii="Cambria Math" w:hAnsi="Cambria Math" w:eastAsia="宋体"/>
                <w:b/>
                <w:sz w:val="17"/>
              </w:rPr>
              <w:t>T</w:t>
            </w:r>
            <w:r>
              <w:rPr>
                <w:rFonts w:ascii="Cambria Math" w:hAnsi="Cambria Math" w:eastAsia="宋体"/>
                <w:b/>
                <w:sz w:val="17"/>
                <w:vertAlign w:val="subscript"/>
              </w:rPr>
              <w:t>50</w:t>
            </w:r>
          </w:p>
        </w:tc>
        <w:tc>
          <w:tcPr>
            <w:tcW w:type="dxa" w:w="760"/>
            <w:tcMar>
              <w:top w:w="80" w:type="dxa"/>
              <w:start w:w="120" w:type="dxa"/>
              <w:bottom w:w="80" w:type="dxa"/>
              <w:end w:w="120" w:type="dxa"/>
            </w:tcMar>
            <w:vAlign w:val="center"/>
            <w:shd w:fill="F4F6F9"/>
          </w:tcPr>
          <w:p>
            <w:pPr>
              <w:spacing w:after="0" w:line="252" w:lineRule="auto"/>
              <w:jc w:val="center"/>
            </w:pPr>
            <w:r/>
            <w:r>
              <w:rPr>
                <w:rFonts w:ascii="Cambria Math" w:hAnsi="Cambria Math" w:eastAsia="宋体"/>
                <w:b/>
                <w:sz w:val="17"/>
              </w:rPr>
              <w:t>T</w:t>
            </w:r>
            <w:r>
              <w:rPr>
                <w:rFonts w:ascii="Cambria Math" w:hAnsi="Cambria Math" w:eastAsia="宋体"/>
                <w:b/>
                <w:sz w:val="17"/>
                <w:vertAlign w:val="subscript"/>
              </w:rPr>
              <w:t>95</w:t>
            </w:r>
          </w:p>
        </w:tc>
        <w:tc>
          <w:tcPr>
            <w:tcW w:type="dxa" w:w="760"/>
            <w:tcMar>
              <w:top w:w="80" w:type="dxa"/>
              <w:start w:w="120" w:type="dxa"/>
              <w:bottom w:w="80" w:type="dxa"/>
              <w:end w:w="120" w:type="dxa"/>
            </w:tcMar>
            <w:vAlign w:val="center"/>
            <w:shd w:fill="F4F6F9"/>
          </w:tcPr>
          <w:p>
            <w:pPr>
              <w:spacing w:after="0" w:line="252" w:lineRule="auto"/>
              <w:jc w:val="center"/>
            </w:pPr>
            <w:r/>
            <w:r>
              <w:rPr>
                <w:rFonts w:ascii="Cambria Math" w:hAnsi="Cambria Math" w:eastAsia="宋体"/>
                <w:b/>
                <w:sz w:val="17"/>
              </w:rPr>
              <w:t>T</w:t>
            </w:r>
            <w:r>
              <w:rPr>
                <w:rFonts w:ascii="Cambria Math" w:hAnsi="Cambria Math" w:eastAsia="宋体"/>
                <w:b/>
                <w:sz w:val="17"/>
                <w:vertAlign w:val="subscript"/>
              </w:rPr>
              <w:t>99</w:t>
            </w:r>
          </w:p>
        </w:tc>
        <w:tc>
          <w:tcPr>
            <w:tcW w:type="dxa" w:w="760"/>
            <w:tcMar>
              <w:top w:w="80" w:type="dxa"/>
              <w:start w:w="120" w:type="dxa"/>
              <w:bottom w:w="80" w:type="dxa"/>
              <w:end w:w="120" w:type="dxa"/>
            </w:tcMar>
            <w:vAlign w:val="center"/>
            <w:shd w:fill="F4F6F9"/>
          </w:tcPr>
          <w:p>
            <w:pPr>
              <w:spacing w:after="0" w:line="252" w:lineRule="auto"/>
              <w:jc w:val="center"/>
            </w:pPr>
            <w:r/>
            <w:r>
              <w:rPr>
                <w:rFonts w:ascii="Cambria Math" w:hAnsi="Cambria Math" w:eastAsia="宋体"/>
                <w:b/>
                <w:sz w:val="17"/>
              </w:rPr>
              <w:t>T</w:t>
            </w:r>
            <w:r>
              <w:rPr>
                <w:rFonts w:ascii="Cambria Math" w:hAnsi="Cambria Math" w:eastAsia="宋体"/>
                <w:b/>
                <w:sz w:val="17"/>
                <w:vertAlign w:val="subscript"/>
              </w:rPr>
              <w:t>100</w:t>
            </w:r>
          </w:p>
        </w:tc>
        <w:tc>
          <w:tcPr>
            <w:tcW w:type="dxa" w:w="4230"/>
            <w:tcMar>
              <w:top w:w="80" w:type="dxa"/>
              <w:start w:w="120" w:type="dxa"/>
              <w:bottom w:w="80" w:type="dxa"/>
              <w:end w:w="120" w:type="dxa"/>
            </w:tcMar>
            <w:vAlign w:val="center"/>
            <w:shd w:fill="F4F6F9"/>
          </w:tcPr>
          <w:p>
            <w:pPr>
              <w:spacing w:after="0" w:line="252" w:lineRule="auto"/>
              <w:jc w:val="center"/>
            </w:pPr>
            <w:r/>
            <w:r>
              <w:rPr>
                <w:rFonts w:ascii="Cambria Math" w:hAnsi="Cambria Math" w:eastAsia="宋体"/>
                <w:b/>
                <w:sz w:val="17"/>
              </w:rPr>
              <w:t>解释重点</w:t>
            </w:r>
          </w:p>
        </w:tc>
      </w:tr>
      <w:tr>
        <w:trPr>
          <w:cantSplit/>
        </w:trPr>
        <w:tc>
          <w:tcPr>
            <w:tcW w:type="dxa" w:w="780"/>
            <w:tcMar>
              <w:top w:w="80" w:type="dxa"/>
              <w:start w:w="120" w:type="dxa"/>
              <w:bottom w:w="80" w:type="dxa"/>
              <w:end w:w="120" w:type="dxa"/>
            </w:tcMar>
            <w:vAlign w:val="center"/>
          </w:tcPr>
          <w:p>
            <w:pPr>
              <w:spacing w:after="0" w:line="252" w:lineRule="auto"/>
              <w:jc w:val="left"/>
            </w:pPr>
            <w:r/>
            <w:r>
              <w:rPr>
                <w:rFonts w:ascii="Cambria Math" w:hAnsi="Cambria Math" w:eastAsia="宋体"/>
                <w:b w:val="0"/>
                <w:sz w:val="17"/>
              </w:rPr>
              <w:t>低负荷</w:t>
            </w:r>
          </w:p>
        </w:tc>
        <w:tc>
          <w:tcPr>
            <w:tcW w:type="dxa" w:w="1450"/>
            <w:tcMar>
              <w:top w:w="80" w:type="dxa"/>
              <w:start w:w="120" w:type="dxa"/>
              <w:bottom w:w="80" w:type="dxa"/>
              <w:end w:w="120" w:type="dxa"/>
            </w:tcMar>
            <w:vAlign w:val="center"/>
          </w:tcPr>
          <w:p>
            <w:pPr>
              <w:spacing w:after="0" w:line="252" w:lineRule="auto"/>
              <w:jc w:val="left"/>
            </w:pPr>
            <w:r/>
            <w:r>
              <w:rPr>
                <w:rFonts w:ascii="Cambria Math" w:hAnsi="Cambria Math" w:eastAsia="宋体"/>
                <w:b w:val="0"/>
                <w:sz w:val="17"/>
              </w:rPr>
              <w:t>ImprovedAStar</w:t>
            </w:r>
          </w:p>
        </w:tc>
        <w:tc>
          <w:tcPr>
            <w:tcW w:type="dxa" w:w="620"/>
            <w:tcMar>
              <w:top w:w="80" w:type="dxa"/>
              <w:start w:w="120" w:type="dxa"/>
              <w:bottom w:w="80" w:type="dxa"/>
              <w:end w:w="120" w:type="dxa"/>
            </w:tcMar>
            <w:vAlign w:val="center"/>
          </w:tcPr>
          <w:p>
            <w:pPr>
              <w:spacing w:after="0" w:line="252" w:lineRule="auto"/>
              <w:jc w:val="center"/>
            </w:pPr>
            <w:r/>
            <w:r>
              <w:rPr>
                <w:rFonts w:ascii="Cambria Math" w:hAnsi="Cambria Math" w:eastAsia="宋体"/>
                <w:b w:val="0"/>
                <w:sz w:val="17"/>
              </w:rPr>
              <w:t>待填</w:t>
            </w:r>
          </w:p>
        </w:tc>
        <w:tc>
          <w:tcPr>
            <w:tcW w:type="dxa" w:w="760"/>
            <w:tcMar>
              <w:top w:w="80" w:type="dxa"/>
              <w:start w:w="120" w:type="dxa"/>
              <w:bottom w:w="80" w:type="dxa"/>
              <w:end w:w="120" w:type="dxa"/>
            </w:tcMar>
            <w:vAlign w:val="center"/>
          </w:tcPr>
          <w:p>
            <w:pPr>
              <w:spacing w:after="0" w:line="252" w:lineRule="auto"/>
              <w:jc w:val="center"/>
            </w:pPr>
            <w:r/>
            <w:r>
              <w:rPr>
                <w:rFonts w:ascii="Cambria Math" w:hAnsi="Cambria Math" w:eastAsia="宋体"/>
                <w:b w:val="0"/>
                <w:sz w:val="17"/>
              </w:rPr>
              <w:t>待填</w:t>
            </w:r>
          </w:p>
        </w:tc>
        <w:tc>
          <w:tcPr>
            <w:tcW w:type="dxa" w:w="760"/>
            <w:tcMar>
              <w:top w:w="80" w:type="dxa"/>
              <w:start w:w="120" w:type="dxa"/>
              <w:bottom w:w="80" w:type="dxa"/>
              <w:end w:w="120" w:type="dxa"/>
            </w:tcMar>
            <w:vAlign w:val="center"/>
          </w:tcPr>
          <w:p>
            <w:pPr>
              <w:spacing w:after="0" w:line="252" w:lineRule="auto"/>
              <w:jc w:val="center"/>
            </w:pPr>
            <w:r/>
            <w:r>
              <w:rPr>
                <w:rFonts w:ascii="Cambria Math" w:hAnsi="Cambria Math" w:eastAsia="宋体"/>
                <w:b w:val="0"/>
                <w:sz w:val="17"/>
              </w:rPr>
              <w:t>待填</w:t>
            </w:r>
          </w:p>
        </w:tc>
        <w:tc>
          <w:tcPr>
            <w:tcW w:type="dxa" w:w="760"/>
            <w:tcMar>
              <w:top w:w="80" w:type="dxa"/>
              <w:start w:w="120" w:type="dxa"/>
              <w:bottom w:w="80" w:type="dxa"/>
              <w:end w:w="120" w:type="dxa"/>
            </w:tcMar>
            <w:vAlign w:val="center"/>
          </w:tcPr>
          <w:p>
            <w:pPr>
              <w:spacing w:after="0" w:line="252" w:lineRule="auto"/>
              <w:jc w:val="center"/>
            </w:pPr>
            <w:r/>
            <w:r>
              <w:rPr>
                <w:rFonts w:ascii="Cambria Math" w:hAnsi="Cambria Math" w:eastAsia="宋体"/>
                <w:b w:val="0"/>
                <w:sz w:val="17"/>
              </w:rPr>
              <w:t>待填</w:t>
            </w:r>
          </w:p>
        </w:tc>
        <w:tc>
          <w:tcPr>
            <w:tcW w:type="dxa" w:w="4230"/>
            <w:tcMar>
              <w:top w:w="80" w:type="dxa"/>
              <w:start w:w="120" w:type="dxa"/>
              <w:bottom w:w="80" w:type="dxa"/>
              <w:end w:w="120" w:type="dxa"/>
            </w:tcMar>
            <w:vAlign w:val="center"/>
          </w:tcPr>
          <w:p>
            <w:pPr>
              <w:spacing w:after="0" w:line="252" w:lineRule="auto"/>
              <w:jc w:val="center"/>
            </w:pPr>
            <w:r/>
            <w:r>
              <w:rPr>
                <w:rFonts w:ascii="Cambria Math" w:hAnsi="Cambria Math" w:eastAsia="宋体"/>
                <w:b w:val="0"/>
                <w:sz w:val="17"/>
              </w:rPr>
              <w:t>计算对照基准</w:t>
            </w:r>
          </w:p>
        </w:tc>
      </w:tr>
      <w:tr>
        <w:trPr>
          <w:cantSplit/>
        </w:trPr>
        <w:tc>
          <w:tcPr>
            <w:tcW w:type="dxa" w:w="780"/>
            <w:tcMar>
              <w:top w:w="80" w:type="dxa"/>
              <w:start w:w="120" w:type="dxa"/>
              <w:bottom w:w="80" w:type="dxa"/>
              <w:end w:w="120" w:type="dxa"/>
            </w:tcMar>
            <w:vAlign w:val="center"/>
          </w:tcPr>
          <w:p>
            <w:pPr>
              <w:spacing w:after="0" w:line="252" w:lineRule="auto"/>
              <w:jc w:val="left"/>
            </w:pPr>
            <w:r/>
            <w:r>
              <w:rPr>
                <w:rFonts w:ascii="Cambria Math" w:hAnsi="Cambria Math" w:eastAsia="宋体"/>
                <w:b w:val="0"/>
                <w:sz w:val="17"/>
              </w:rPr>
              <w:t>低负荷</w:t>
            </w:r>
          </w:p>
        </w:tc>
        <w:tc>
          <w:tcPr>
            <w:tcW w:type="dxa" w:w="1450"/>
            <w:tcMar>
              <w:top w:w="80" w:type="dxa"/>
              <w:start w:w="120" w:type="dxa"/>
              <w:bottom w:w="80" w:type="dxa"/>
              <w:end w:w="120" w:type="dxa"/>
            </w:tcMar>
            <w:vAlign w:val="center"/>
          </w:tcPr>
          <w:p>
            <w:pPr>
              <w:spacing w:after="0" w:line="252" w:lineRule="auto"/>
              <w:jc w:val="left"/>
            </w:pPr>
            <w:r/>
            <w:r>
              <w:rPr>
                <w:rFonts w:ascii="Cambria Math" w:hAnsi="Cambria Math" w:eastAsia="宋体"/>
                <w:b w:val="0"/>
                <w:sz w:val="17"/>
              </w:rPr>
              <w:t>AA</w:t>
            </w:r>
          </w:p>
        </w:tc>
        <w:tc>
          <w:tcPr>
            <w:tcW w:type="dxa" w:w="620"/>
            <w:tcMar>
              <w:top w:w="80" w:type="dxa"/>
              <w:start w:w="120" w:type="dxa"/>
              <w:bottom w:w="80" w:type="dxa"/>
              <w:end w:w="120" w:type="dxa"/>
            </w:tcMar>
            <w:vAlign w:val="center"/>
          </w:tcPr>
          <w:p>
            <w:pPr>
              <w:spacing w:after="0" w:line="252" w:lineRule="auto"/>
              <w:jc w:val="center"/>
            </w:pPr>
            <w:r/>
            <w:r>
              <w:rPr>
                <w:rFonts w:ascii="Cambria Math" w:hAnsi="Cambria Math" w:eastAsia="宋体"/>
                <w:b w:val="0"/>
                <w:sz w:val="17"/>
              </w:rPr>
              <w:t>待填</w:t>
            </w:r>
          </w:p>
        </w:tc>
        <w:tc>
          <w:tcPr>
            <w:tcW w:type="dxa" w:w="760"/>
            <w:tcMar>
              <w:top w:w="80" w:type="dxa"/>
              <w:start w:w="120" w:type="dxa"/>
              <w:bottom w:w="80" w:type="dxa"/>
              <w:end w:w="120" w:type="dxa"/>
            </w:tcMar>
            <w:vAlign w:val="center"/>
          </w:tcPr>
          <w:p>
            <w:pPr>
              <w:spacing w:after="0" w:line="252" w:lineRule="auto"/>
              <w:jc w:val="center"/>
            </w:pPr>
            <w:r/>
            <w:r>
              <w:rPr>
                <w:rFonts w:ascii="Cambria Math" w:hAnsi="Cambria Math" w:eastAsia="宋体"/>
                <w:b w:val="0"/>
                <w:sz w:val="17"/>
              </w:rPr>
              <w:t>待填</w:t>
            </w:r>
          </w:p>
        </w:tc>
        <w:tc>
          <w:tcPr>
            <w:tcW w:type="dxa" w:w="760"/>
            <w:tcMar>
              <w:top w:w="80" w:type="dxa"/>
              <w:start w:w="120" w:type="dxa"/>
              <w:bottom w:w="80" w:type="dxa"/>
              <w:end w:w="120" w:type="dxa"/>
            </w:tcMar>
            <w:vAlign w:val="center"/>
          </w:tcPr>
          <w:p>
            <w:pPr>
              <w:spacing w:after="0" w:line="252" w:lineRule="auto"/>
              <w:jc w:val="center"/>
            </w:pPr>
            <w:r/>
            <w:r>
              <w:rPr>
                <w:rFonts w:ascii="Cambria Math" w:hAnsi="Cambria Math" w:eastAsia="宋体"/>
                <w:b w:val="0"/>
                <w:sz w:val="17"/>
              </w:rPr>
              <w:t>待填</w:t>
            </w:r>
          </w:p>
        </w:tc>
        <w:tc>
          <w:tcPr>
            <w:tcW w:type="dxa" w:w="760"/>
            <w:tcMar>
              <w:top w:w="80" w:type="dxa"/>
              <w:start w:w="120" w:type="dxa"/>
              <w:bottom w:w="80" w:type="dxa"/>
              <w:end w:w="120" w:type="dxa"/>
            </w:tcMar>
            <w:vAlign w:val="center"/>
          </w:tcPr>
          <w:p>
            <w:pPr>
              <w:spacing w:after="0" w:line="252" w:lineRule="auto"/>
              <w:jc w:val="center"/>
            </w:pPr>
            <w:r/>
            <w:r>
              <w:rPr>
                <w:rFonts w:ascii="Cambria Math" w:hAnsi="Cambria Math" w:eastAsia="宋体"/>
                <w:b w:val="0"/>
                <w:sz w:val="17"/>
              </w:rPr>
              <w:t>待填</w:t>
            </w:r>
          </w:p>
        </w:tc>
        <w:tc>
          <w:tcPr>
            <w:tcW w:type="dxa" w:w="4230"/>
            <w:tcMar>
              <w:top w:w="80" w:type="dxa"/>
              <w:start w:w="120" w:type="dxa"/>
              <w:bottom w:w="80" w:type="dxa"/>
              <w:end w:w="120" w:type="dxa"/>
            </w:tcMar>
            <w:vAlign w:val="center"/>
          </w:tcPr>
          <w:p>
            <w:pPr>
              <w:spacing w:after="0" w:line="252" w:lineRule="auto"/>
              <w:jc w:val="center"/>
            </w:pPr>
            <w:r/>
            <w:r>
              <w:rPr>
                <w:rFonts w:ascii="Cambria Math" w:hAnsi="Cambria Math" w:eastAsia="宋体"/>
                <w:b w:val="0"/>
                <w:sz w:val="17"/>
              </w:rPr>
              <w:t>检查稳定性和额外代价</w:t>
            </w:r>
          </w:p>
        </w:tc>
      </w:tr>
      <w:tr>
        <w:trPr>
          <w:cantSplit/>
        </w:trPr>
        <w:tc>
          <w:tcPr>
            <w:tcW w:type="dxa" w:w="780"/>
            <w:tcMar>
              <w:top w:w="80" w:type="dxa"/>
              <w:start w:w="120" w:type="dxa"/>
              <w:bottom w:w="80" w:type="dxa"/>
              <w:end w:w="120" w:type="dxa"/>
            </w:tcMar>
            <w:vAlign w:val="center"/>
          </w:tcPr>
          <w:p>
            <w:pPr>
              <w:spacing w:after="0" w:line="252" w:lineRule="auto"/>
              <w:jc w:val="left"/>
            </w:pPr>
            <w:r/>
            <w:r>
              <w:rPr>
                <w:rFonts w:ascii="Cambria Math" w:hAnsi="Cambria Math" w:eastAsia="宋体"/>
                <w:b w:val="0"/>
                <w:sz w:val="17"/>
              </w:rPr>
              <w:t>高负荷</w:t>
            </w:r>
          </w:p>
        </w:tc>
        <w:tc>
          <w:tcPr>
            <w:tcW w:type="dxa" w:w="1450"/>
            <w:tcMar>
              <w:top w:w="80" w:type="dxa"/>
              <w:start w:w="120" w:type="dxa"/>
              <w:bottom w:w="80" w:type="dxa"/>
              <w:end w:w="120" w:type="dxa"/>
            </w:tcMar>
            <w:vAlign w:val="center"/>
          </w:tcPr>
          <w:p>
            <w:pPr>
              <w:spacing w:after="0" w:line="252" w:lineRule="auto"/>
              <w:jc w:val="left"/>
            </w:pPr>
            <w:r/>
            <w:r>
              <w:rPr>
                <w:rFonts w:ascii="Cambria Math" w:hAnsi="Cambria Math" w:eastAsia="宋体"/>
                <w:b w:val="0"/>
                <w:sz w:val="17"/>
              </w:rPr>
              <w:t>ImprovedAStar</w:t>
            </w:r>
          </w:p>
        </w:tc>
        <w:tc>
          <w:tcPr>
            <w:tcW w:type="dxa" w:w="620"/>
            <w:tcMar>
              <w:top w:w="80" w:type="dxa"/>
              <w:start w:w="120" w:type="dxa"/>
              <w:bottom w:w="80" w:type="dxa"/>
              <w:end w:w="120" w:type="dxa"/>
            </w:tcMar>
            <w:vAlign w:val="center"/>
          </w:tcPr>
          <w:p>
            <w:pPr>
              <w:spacing w:after="0" w:line="252" w:lineRule="auto"/>
              <w:jc w:val="center"/>
            </w:pPr>
            <w:r/>
            <w:r>
              <w:rPr>
                <w:rFonts w:ascii="Cambria Math" w:hAnsi="Cambria Math" w:eastAsia="宋体"/>
                <w:b w:val="0"/>
                <w:sz w:val="17"/>
              </w:rPr>
              <w:t>待填</w:t>
            </w:r>
          </w:p>
        </w:tc>
        <w:tc>
          <w:tcPr>
            <w:tcW w:type="dxa" w:w="760"/>
            <w:tcMar>
              <w:top w:w="80" w:type="dxa"/>
              <w:start w:w="120" w:type="dxa"/>
              <w:bottom w:w="80" w:type="dxa"/>
              <w:end w:w="120" w:type="dxa"/>
            </w:tcMar>
            <w:vAlign w:val="center"/>
          </w:tcPr>
          <w:p>
            <w:pPr>
              <w:spacing w:after="0" w:line="252" w:lineRule="auto"/>
              <w:jc w:val="center"/>
            </w:pPr>
            <w:r/>
            <w:r>
              <w:rPr>
                <w:rFonts w:ascii="Cambria Math" w:hAnsi="Cambria Math" w:eastAsia="宋体"/>
                <w:b w:val="0"/>
                <w:sz w:val="17"/>
              </w:rPr>
              <w:t>待填</w:t>
            </w:r>
          </w:p>
        </w:tc>
        <w:tc>
          <w:tcPr>
            <w:tcW w:type="dxa" w:w="760"/>
            <w:tcMar>
              <w:top w:w="80" w:type="dxa"/>
              <w:start w:w="120" w:type="dxa"/>
              <w:bottom w:w="80" w:type="dxa"/>
              <w:end w:w="120" w:type="dxa"/>
            </w:tcMar>
            <w:vAlign w:val="center"/>
          </w:tcPr>
          <w:p>
            <w:pPr>
              <w:spacing w:after="0" w:line="252" w:lineRule="auto"/>
              <w:jc w:val="center"/>
            </w:pPr>
            <w:r/>
            <w:r>
              <w:rPr>
                <w:rFonts w:ascii="Cambria Math" w:hAnsi="Cambria Math" w:eastAsia="宋体"/>
                <w:b w:val="0"/>
                <w:sz w:val="17"/>
              </w:rPr>
              <w:t>待填</w:t>
            </w:r>
          </w:p>
        </w:tc>
        <w:tc>
          <w:tcPr>
            <w:tcW w:type="dxa" w:w="760"/>
            <w:tcMar>
              <w:top w:w="80" w:type="dxa"/>
              <w:start w:w="120" w:type="dxa"/>
              <w:bottom w:w="80" w:type="dxa"/>
              <w:end w:w="120" w:type="dxa"/>
            </w:tcMar>
            <w:vAlign w:val="center"/>
          </w:tcPr>
          <w:p>
            <w:pPr>
              <w:spacing w:after="0" w:line="252" w:lineRule="auto"/>
              <w:jc w:val="center"/>
            </w:pPr>
            <w:r/>
            <w:r>
              <w:rPr>
                <w:rFonts w:ascii="Cambria Math" w:hAnsi="Cambria Math" w:eastAsia="宋体"/>
                <w:b w:val="0"/>
                <w:sz w:val="17"/>
              </w:rPr>
              <w:t>待填</w:t>
            </w:r>
          </w:p>
        </w:tc>
        <w:tc>
          <w:tcPr>
            <w:tcW w:type="dxa" w:w="4230"/>
            <w:tcMar>
              <w:top w:w="80" w:type="dxa"/>
              <w:start w:w="120" w:type="dxa"/>
              <w:bottom w:w="80" w:type="dxa"/>
              <w:end w:w="120" w:type="dxa"/>
            </w:tcMar>
            <w:vAlign w:val="center"/>
          </w:tcPr>
          <w:p>
            <w:pPr>
              <w:spacing w:after="0" w:line="252" w:lineRule="auto"/>
              <w:jc w:val="center"/>
            </w:pPr>
            <w:r/>
            <w:r>
              <w:rPr>
                <w:rFonts w:ascii="Cambria Math" w:hAnsi="Cambria Math" w:eastAsia="宋体"/>
                <w:b w:val="0"/>
                <w:sz w:val="17"/>
              </w:rPr>
              <w:t>当前状态路径组织下的尾部表现</w:t>
            </w:r>
          </w:p>
        </w:tc>
      </w:tr>
      <w:tr>
        <w:trPr>
          <w:cantSplit/>
        </w:trPr>
        <w:tc>
          <w:tcPr>
            <w:tcW w:type="dxa" w:w="780"/>
            <w:tcMar>
              <w:top w:w="80" w:type="dxa"/>
              <w:start w:w="120" w:type="dxa"/>
              <w:bottom w:w="80" w:type="dxa"/>
              <w:end w:w="120" w:type="dxa"/>
            </w:tcMar>
            <w:vAlign w:val="center"/>
          </w:tcPr>
          <w:p>
            <w:pPr>
              <w:spacing w:after="0" w:line="252" w:lineRule="auto"/>
              <w:jc w:val="left"/>
            </w:pPr>
            <w:r/>
            <w:r>
              <w:rPr>
                <w:rFonts w:ascii="Cambria Math" w:hAnsi="Cambria Math" w:eastAsia="宋体"/>
                <w:b w:val="0"/>
                <w:sz w:val="17"/>
              </w:rPr>
              <w:t>高负荷</w:t>
            </w:r>
          </w:p>
        </w:tc>
        <w:tc>
          <w:tcPr>
            <w:tcW w:type="dxa" w:w="1450"/>
            <w:tcMar>
              <w:top w:w="80" w:type="dxa"/>
              <w:start w:w="120" w:type="dxa"/>
              <w:bottom w:w="80" w:type="dxa"/>
              <w:end w:w="120" w:type="dxa"/>
            </w:tcMar>
            <w:vAlign w:val="center"/>
          </w:tcPr>
          <w:p>
            <w:pPr>
              <w:spacing w:after="0" w:line="252" w:lineRule="auto"/>
              <w:jc w:val="left"/>
            </w:pPr>
            <w:r/>
            <w:r>
              <w:rPr>
                <w:rFonts w:ascii="Cambria Math" w:hAnsi="Cambria Math" w:eastAsia="宋体"/>
                <w:b w:val="0"/>
                <w:sz w:val="17"/>
              </w:rPr>
              <w:t>AA</w:t>
            </w:r>
          </w:p>
        </w:tc>
        <w:tc>
          <w:tcPr>
            <w:tcW w:type="dxa" w:w="620"/>
            <w:tcMar>
              <w:top w:w="80" w:type="dxa"/>
              <w:start w:w="120" w:type="dxa"/>
              <w:bottom w:w="80" w:type="dxa"/>
              <w:end w:w="120" w:type="dxa"/>
            </w:tcMar>
            <w:vAlign w:val="center"/>
          </w:tcPr>
          <w:p>
            <w:pPr>
              <w:spacing w:after="0" w:line="252" w:lineRule="auto"/>
              <w:jc w:val="center"/>
            </w:pPr>
            <w:r/>
            <w:r>
              <w:rPr>
                <w:rFonts w:ascii="Cambria Math" w:hAnsi="Cambria Math" w:eastAsia="宋体"/>
                <w:b w:val="0"/>
                <w:sz w:val="17"/>
              </w:rPr>
              <w:t>待填</w:t>
            </w:r>
          </w:p>
        </w:tc>
        <w:tc>
          <w:tcPr>
            <w:tcW w:type="dxa" w:w="760"/>
            <w:tcMar>
              <w:top w:w="80" w:type="dxa"/>
              <w:start w:w="120" w:type="dxa"/>
              <w:bottom w:w="80" w:type="dxa"/>
              <w:end w:w="120" w:type="dxa"/>
            </w:tcMar>
            <w:vAlign w:val="center"/>
          </w:tcPr>
          <w:p>
            <w:pPr>
              <w:spacing w:after="0" w:line="252" w:lineRule="auto"/>
              <w:jc w:val="center"/>
            </w:pPr>
            <w:r/>
            <w:r>
              <w:rPr>
                <w:rFonts w:ascii="Cambria Math" w:hAnsi="Cambria Math" w:eastAsia="宋体"/>
                <w:b w:val="0"/>
                <w:sz w:val="17"/>
              </w:rPr>
              <w:t>待填</w:t>
            </w:r>
          </w:p>
        </w:tc>
        <w:tc>
          <w:tcPr>
            <w:tcW w:type="dxa" w:w="760"/>
            <w:tcMar>
              <w:top w:w="80" w:type="dxa"/>
              <w:start w:w="120" w:type="dxa"/>
              <w:bottom w:w="80" w:type="dxa"/>
              <w:end w:w="120" w:type="dxa"/>
            </w:tcMar>
            <w:vAlign w:val="center"/>
          </w:tcPr>
          <w:p>
            <w:pPr>
              <w:spacing w:after="0" w:line="252" w:lineRule="auto"/>
              <w:jc w:val="center"/>
            </w:pPr>
            <w:r/>
            <w:r>
              <w:rPr>
                <w:rFonts w:ascii="Cambria Math" w:hAnsi="Cambria Math" w:eastAsia="宋体"/>
                <w:b w:val="0"/>
                <w:sz w:val="17"/>
              </w:rPr>
              <w:t>待填</w:t>
            </w:r>
          </w:p>
        </w:tc>
        <w:tc>
          <w:tcPr>
            <w:tcW w:type="dxa" w:w="760"/>
            <w:tcMar>
              <w:top w:w="80" w:type="dxa"/>
              <w:start w:w="120" w:type="dxa"/>
              <w:bottom w:w="80" w:type="dxa"/>
              <w:end w:w="120" w:type="dxa"/>
            </w:tcMar>
            <w:vAlign w:val="center"/>
          </w:tcPr>
          <w:p>
            <w:pPr>
              <w:spacing w:after="0" w:line="252" w:lineRule="auto"/>
              <w:jc w:val="center"/>
            </w:pPr>
            <w:r/>
            <w:r>
              <w:rPr>
                <w:rFonts w:ascii="Cambria Math" w:hAnsi="Cambria Math" w:eastAsia="宋体"/>
                <w:b w:val="0"/>
                <w:sz w:val="17"/>
              </w:rPr>
              <w:t>待填</w:t>
            </w:r>
          </w:p>
        </w:tc>
        <w:tc>
          <w:tcPr>
            <w:tcW w:type="dxa" w:w="4230"/>
            <w:tcMar>
              <w:top w:w="80" w:type="dxa"/>
              <w:start w:w="120" w:type="dxa"/>
              <w:bottom w:w="80" w:type="dxa"/>
              <w:end w:w="120" w:type="dxa"/>
            </w:tcMar>
            <w:vAlign w:val="center"/>
          </w:tcPr>
          <w:p>
            <w:pPr>
              <w:spacing w:after="0" w:line="252" w:lineRule="auto"/>
              <w:jc w:val="center"/>
            </w:pPr>
            <w:r/>
            <w:r>
              <w:rPr>
                <w:rFonts w:ascii="Cambria Math" w:hAnsi="Cambria Math" w:eastAsia="宋体"/>
                <w:b w:val="0"/>
                <w:sz w:val="17"/>
              </w:rPr>
              <w:t>到达时刻队列预测下的尾部变化</w:t>
            </w:r>
          </w:p>
        </w:tc>
      </w:tr>
    </w:tbl>
    <w:p>
      <w:pPr>
        <w:spacing w:after="40"/>
      </w:pPr>
    </w:p>
    <w:p>
      <w:pPr>
        <w:ind w:firstLine="432"/>
        <w:jc w:val="both"/>
      </w:pPr>
      <w:r>
        <w:rPr>
          <w:rFonts w:ascii="Cambria Math" w:hAnsi="Cambria Math" w:eastAsia="宋体"/>
          <w:sz w:val="22"/>
        </w:rPr>
        <w:t>除总疏散时间外，还应比较队列暴露和方法代价。当前最新未冻结输出显示，高负荷场景中 AA 的尾部清空和累计静止人秒呈下降趋势，同时总移动距离和墙钟计算时间增加。正式稿在结果冻结后应把该现象写成“等待暴露降低与绕行、计算代价之间的权衡”，而不是写成 AA 在所有指标上均优。低负荷场景中，若 T</w:t>
      </w:r>
      <w:r>
        <w:rPr>
          <w:rFonts w:ascii="Cambria Math" w:hAnsi="Cambria Math" w:eastAsia="宋体"/>
          <w:sz w:val="22"/>
          <w:vertAlign w:val="subscript"/>
        </w:rPr>
        <w:t>100</w:t>
      </w:r>
      <w:r>
        <w:rPr>
          <w:rFonts w:ascii="Cambria Math" w:hAnsi="Cambria Math" w:eastAsia="宋体"/>
          <w:sz w:val="22"/>
        </w:rPr>
        <w:t xml:space="preserve"> 接近或相同，应解释为瓶颈不强时队列预测机制的边际收益有限，这恰好说明低负荷场景用于稳定性和边界检验，而不是用来证明显著提效。</w:t>
      </w:r>
    </w:p>
    <w:p>
      <w:pPr>
        <w:spacing w:before="80" w:after="80"/>
        <w:jc w:val="center"/>
      </w:pPr>
      <w:r>
        <w:rPr>
          <w:rFonts w:ascii="Calibri" w:hAnsi="Calibri" w:eastAsia="宋体"/>
          <w:b/>
          <w:sz w:val="20"/>
        </w:rPr>
        <w:t>瓶颈暴露与方法代价比较</w:t>
      </w:r>
    </w:p>
    <w:tbl>
      <w:tblPr>
        <w:tblStyle w:val="TableGrid"/>
        <w:tblW w:type="dxa" w:w="9360"/>
        <w:jc w:val="left"/>
        <w:tblLayout w:type="fixed"/>
        <w:tblLook w:firstColumn="1" w:firstRow="1" w:lastColumn="0" w:lastRow="0" w:noHBand="0" w:noVBand="1" w:val="04A0"/>
        <w:tblInd w:w="120" w:type="dxa"/>
        <w:tblBorders>
          <w:top w:val="single" w:sz="4" w:space="0" w:color="B7C4D2"/>
          <w:left w:val="single" w:sz="4" w:space="0" w:color="B7C4D2"/>
          <w:bottom w:val="single" w:sz="4" w:space="0" w:color="B7C4D2"/>
          <w:right w:val="single" w:sz="4" w:space="0" w:color="B7C4D2"/>
          <w:insideH w:val="single" w:sz="4" w:space="0" w:color="B7C4D2"/>
          <w:insideV w:val="single" w:sz="4" w:space="0" w:color="B7C4D2"/>
        </w:tblBorders>
      </w:tblPr>
      <w:tblGrid>
        <w:gridCol w:w="780"/>
        <w:gridCol w:w="1450"/>
        <w:gridCol w:w="620"/>
        <w:gridCol w:w="760"/>
        <w:gridCol w:w="760"/>
        <w:gridCol w:w="760"/>
        <w:gridCol w:w="4230"/>
      </w:tblGrid>
      <w:tr>
        <w:trPr>
          <w:cantSplit/>
          <w:tblHeader w:val="true"/>
        </w:trPr>
        <w:tc>
          <w:tcPr>
            <w:tcW w:type="dxa" w:w="780"/>
            <w:tcMar>
              <w:top w:w="80" w:type="dxa"/>
              <w:start w:w="120" w:type="dxa"/>
              <w:bottom w:w="80" w:type="dxa"/>
              <w:end w:w="120" w:type="dxa"/>
            </w:tcMar>
            <w:vAlign w:val="center"/>
            <w:shd w:fill="F4F6F9"/>
          </w:tcPr>
          <w:p>
            <w:pPr>
              <w:spacing w:after="0" w:line="252" w:lineRule="auto"/>
              <w:jc w:val="center"/>
            </w:pPr>
            <w:r/>
            <w:r>
              <w:rPr>
                <w:rFonts w:ascii="Cambria Math" w:hAnsi="Cambria Math" w:eastAsia="宋体"/>
                <w:b/>
                <w:sz w:val="17"/>
              </w:rPr>
              <w:t>场景</w:t>
            </w:r>
          </w:p>
        </w:tc>
        <w:tc>
          <w:tcPr>
            <w:tcW w:type="dxa" w:w="1450"/>
            <w:tcMar>
              <w:top w:w="80" w:type="dxa"/>
              <w:start w:w="120" w:type="dxa"/>
              <w:bottom w:w="80" w:type="dxa"/>
              <w:end w:w="120" w:type="dxa"/>
            </w:tcMar>
            <w:vAlign w:val="center"/>
            <w:shd w:fill="F4F6F9"/>
          </w:tcPr>
          <w:p>
            <w:pPr>
              <w:spacing w:after="0" w:line="252" w:lineRule="auto"/>
              <w:jc w:val="center"/>
            </w:pPr>
            <w:r/>
            <w:r>
              <w:rPr>
                <w:rFonts w:ascii="Cambria Math" w:hAnsi="Cambria Math" w:eastAsia="宋体"/>
                <w:b/>
                <w:sz w:val="17"/>
              </w:rPr>
              <w:t>方法</w:t>
            </w:r>
          </w:p>
        </w:tc>
        <w:tc>
          <w:tcPr>
            <w:tcW w:type="dxa" w:w="620"/>
            <w:tcMar>
              <w:top w:w="80" w:type="dxa"/>
              <w:start w:w="120" w:type="dxa"/>
              <w:bottom w:w="80" w:type="dxa"/>
              <w:end w:w="120" w:type="dxa"/>
            </w:tcMar>
            <w:vAlign w:val="center"/>
            <w:shd w:fill="F4F6F9"/>
          </w:tcPr>
          <w:p>
            <w:pPr>
              <w:spacing w:after="0" w:line="252" w:lineRule="auto"/>
              <w:jc w:val="center"/>
            </w:pPr>
            <w:r/>
            <w:r>
              <w:rPr>
                <w:rFonts w:ascii="Cambria Math" w:hAnsi="Cambria Math" w:eastAsia="宋体"/>
                <w:b/>
                <w:sz w:val="17"/>
              </w:rPr>
              <w:t>累计静止人秒</w:t>
            </w:r>
          </w:p>
        </w:tc>
        <w:tc>
          <w:tcPr>
            <w:tcW w:type="dxa" w:w="760"/>
            <w:tcMar>
              <w:top w:w="80" w:type="dxa"/>
              <w:start w:w="120" w:type="dxa"/>
              <w:bottom w:w="80" w:type="dxa"/>
              <w:end w:w="120" w:type="dxa"/>
            </w:tcMar>
            <w:vAlign w:val="center"/>
            <w:shd w:fill="F4F6F9"/>
          </w:tcPr>
          <w:p>
            <w:pPr>
              <w:spacing w:after="0" w:line="252" w:lineRule="auto"/>
              <w:jc w:val="center"/>
            </w:pPr>
            <w:r/>
            <w:r>
              <w:rPr>
                <w:rFonts w:ascii="Cambria Math" w:hAnsi="Cambria Math" w:eastAsia="宋体"/>
                <w:b/>
                <w:sz w:val="17"/>
              </w:rPr>
              <w:t>关键设施 Jain 指数</w:t>
            </w:r>
          </w:p>
        </w:tc>
        <w:tc>
          <w:tcPr>
            <w:tcW w:type="dxa" w:w="760"/>
            <w:tcMar>
              <w:top w:w="80" w:type="dxa"/>
              <w:start w:w="120" w:type="dxa"/>
              <w:bottom w:w="80" w:type="dxa"/>
              <w:end w:w="120" w:type="dxa"/>
            </w:tcMar>
            <w:vAlign w:val="center"/>
            <w:shd w:fill="F4F6F9"/>
          </w:tcPr>
          <w:p>
            <w:pPr>
              <w:spacing w:after="0" w:line="252" w:lineRule="auto"/>
              <w:jc w:val="center"/>
            </w:pPr>
            <w:r/>
            <w:r>
              <w:rPr>
                <w:rFonts w:ascii="Cambria Math" w:hAnsi="Cambria Math" w:eastAsia="宋体"/>
                <w:b/>
                <w:sz w:val="17"/>
              </w:rPr>
              <w:t>出口 Jain 指数</w:t>
            </w:r>
          </w:p>
        </w:tc>
        <w:tc>
          <w:tcPr>
            <w:tcW w:type="dxa" w:w="760"/>
            <w:tcMar>
              <w:top w:w="80" w:type="dxa"/>
              <w:start w:w="120" w:type="dxa"/>
              <w:bottom w:w="80" w:type="dxa"/>
              <w:end w:w="120" w:type="dxa"/>
            </w:tcMar>
            <w:vAlign w:val="center"/>
            <w:shd w:fill="F4F6F9"/>
          </w:tcPr>
          <w:p>
            <w:pPr>
              <w:spacing w:after="0" w:line="252" w:lineRule="auto"/>
              <w:jc w:val="center"/>
            </w:pPr>
            <w:r/>
            <w:r>
              <w:rPr>
                <w:rFonts w:ascii="Cambria Math" w:hAnsi="Cambria Math" w:eastAsia="宋体"/>
                <w:b/>
                <w:sz w:val="17"/>
              </w:rPr>
              <w:t>总移动距离</w:t>
            </w:r>
          </w:p>
        </w:tc>
        <w:tc>
          <w:tcPr>
            <w:tcW w:type="dxa" w:w="4230"/>
            <w:tcMar>
              <w:top w:w="80" w:type="dxa"/>
              <w:start w:w="120" w:type="dxa"/>
              <w:bottom w:w="80" w:type="dxa"/>
              <w:end w:w="120" w:type="dxa"/>
            </w:tcMar>
            <w:vAlign w:val="center"/>
            <w:shd w:fill="F4F6F9"/>
          </w:tcPr>
          <w:p>
            <w:pPr>
              <w:spacing w:after="0" w:line="252" w:lineRule="auto"/>
              <w:jc w:val="center"/>
            </w:pPr>
            <w:r/>
            <w:r>
              <w:rPr>
                <w:rFonts w:ascii="Cambria Math" w:hAnsi="Cambria Math" w:eastAsia="宋体"/>
                <w:b/>
                <w:sz w:val="17"/>
              </w:rPr>
              <w:t>计算耗时</w:t>
            </w:r>
          </w:p>
        </w:tc>
      </w:tr>
      <w:tr>
        <w:trPr>
          <w:cantSplit/>
        </w:trPr>
        <w:tc>
          <w:tcPr>
            <w:tcW w:type="dxa" w:w="780"/>
            <w:tcMar>
              <w:top w:w="80" w:type="dxa"/>
              <w:start w:w="120" w:type="dxa"/>
              <w:bottom w:w="80" w:type="dxa"/>
              <w:end w:w="120" w:type="dxa"/>
            </w:tcMar>
            <w:vAlign w:val="center"/>
          </w:tcPr>
          <w:p>
            <w:pPr>
              <w:spacing w:after="0" w:line="252" w:lineRule="auto"/>
              <w:jc w:val="left"/>
            </w:pPr>
            <w:r/>
            <w:r>
              <w:rPr>
                <w:rFonts w:ascii="Cambria Math" w:hAnsi="Cambria Math" w:eastAsia="宋体"/>
                <w:b w:val="0"/>
                <w:sz w:val="17"/>
              </w:rPr>
              <w:t>低负荷</w:t>
            </w:r>
          </w:p>
        </w:tc>
        <w:tc>
          <w:tcPr>
            <w:tcW w:type="dxa" w:w="1450"/>
            <w:tcMar>
              <w:top w:w="80" w:type="dxa"/>
              <w:start w:w="120" w:type="dxa"/>
              <w:bottom w:w="80" w:type="dxa"/>
              <w:end w:w="120" w:type="dxa"/>
            </w:tcMar>
            <w:vAlign w:val="center"/>
          </w:tcPr>
          <w:p>
            <w:pPr>
              <w:spacing w:after="0" w:line="252" w:lineRule="auto"/>
              <w:jc w:val="left"/>
            </w:pPr>
            <w:r/>
            <w:r>
              <w:rPr>
                <w:rFonts w:ascii="Cambria Math" w:hAnsi="Cambria Math" w:eastAsia="宋体"/>
                <w:b w:val="0"/>
                <w:sz w:val="17"/>
              </w:rPr>
              <w:t>ImprovedAStar</w:t>
            </w:r>
          </w:p>
        </w:tc>
        <w:tc>
          <w:tcPr>
            <w:tcW w:type="dxa" w:w="620"/>
            <w:tcMar>
              <w:top w:w="80" w:type="dxa"/>
              <w:start w:w="120" w:type="dxa"/>
              <w:bottom w:w="80" w:type="dxa"/>
              <w:end w:w="120" w:type="dxa"/>
            </w:tcMar>
            <w:vAlign w:val="center"/>
          </w:tcPr>
          <w:p>
            <w:pPr>
              <w:spacing w:after="0" w:line="252" w:lineRule="auto"/>
              <w:jc w:val="center"/>
            </w:pPr>
            <w:r/>
            <w:r>
              <w:rPr>
                <w:rFonts w:ascii="Cambria Math" w:hAnsi="Cambria Math" w:eastAsia="宋体"/>
                <w:b w:val="0"/>
                <w:sz w:val="17"/>
              </w:rPr>
              <w:t>待冻结</w:t>
            </w:r>
          </w:p>
        </w:tc>
        <w:tc>
          <w:tcPr>
            <w:tcW w:type="dxa" w:w="760"/>
            <w:tcMar>
              <w:top w:w="80" w:type="dxa"/>
              <w:start w:w="120" w:type="dxa"/>
              <w:bottom w:w="80" w:type="dxa"/>
              <w:end w:w="120" w:type="dxa"/>
            </w:tcMar>
            <w:vAlign w:val="center"/>
          </w:tcPr>
          <w:p>
            <w:pPr>
              <w:spacing w:after="0" w:line="252" w:lineRule="auto"/>
              <w:jc w:val="center"/>
            </w:pPr>
            <w:r/>
            <w:r>
              <w:rPr>
                <w:rFonts w:ascii="Cambria Math" w:hAnsi="Cambria Math" w:eastAsia="宋体"/>
                <w:b w:val="0"/>
                <w:sz w:val="17"/>
              </w:rPr>
              <w:t>待冻结</w:t>
            </w:r>
          </w:p>
        </w:tc>
        <w:tc>
          <w:tcPr>
            <w:tcW w:type="dxa" w:w="760"/>
            <w:tcMar>
              <w:top w:w="80" w:type="dxa"/>
              <w:start w:w="120" w:type="dxa"/>
              <w:bottom w:w="80" w:type="dxa"/>
              <w:end w:w="120" w:type="dxa"/>
            </w:tcMar>
            <w:vAlign w:val="center"/>
          </w:tcPr>
          <w:p>
            <w:pPr>
              <w:spacing w:after="0" w:line="252" w:lineRule="auto"/>
              <w:jc w:val="center"/>
            </w:pPr>
            <w:r/>
            <w:r>
              <w:rPr>
                <w:rFonts w:ascii="Cambria Math" w:hAnsi="Cambria Math" w:eastAsia="宋体"/>
                <w:b w:val="0"/>
                <w:sz w:val="17"/>
              </w:rPr>
              <w:t>待冻结</w:t>
            </w:r>
          </w:p>
        </w:tc>
        <w:tc>
          <w:tcPr>
            <w:tcW w:type="dxa" w:w="760"/>
            <w:tcMar>
              <w:top w:w="80" w:type="dxa"/>
              <w:start w:w="120" w:type="dxa"/>
              <w:bottom w:w="80" w:type="dxa"/>
              <w:end w:w="120" w:type="dxa"/>
            </w:tcMar>
            <w:vAlign w:val="center"/>
          </w:tcPr>
          <w:p>
            <w:pPr>
              <w:spacing w:after="0" w:line="252" w:lineRule="auto"/>
              <w:jc w:val="center"/>
            </w:pPr>
            <w:r/>
            <w:r>
              <w:rPr>
                <w:rFonts w:ascii="Cambria Math" w:hAnsi="Cambria Math" w:eastAsia="宋体"/>
                <w:b w:val="0"/>
                <w:sz w:val="17"/>
              </w:rPr>
              <w:t>待冻结</w:t>
            </w:r>
          </w:p>
        </w:tc>
        <w:tc>
          <w:tcPr>
            <w:tcW w:type="dxa" w:w="4230"/>
            <w:tcMar>
              <w:top w:w="80" w:type="dxa"/>
              <w:start w:w="120" w:type="dxa"/>
              <w:bottom w:w="80" w:type="dxa"/>
              <w:end w:w="120" w:type="dxa"/>
            </w:tcMar>
            <w:vAlign w:val="center"/>
          </w:tcPr>
          <w:p>
            <w:pPr>
              <w:spacing w:after="0" w:line="252" w:lineRule="auto"/>
              <w:jc w:val="center"/>
            </w:pPr>
            <w:r/>
            <w:r>
              <w:rPr>
                <w:rFonts w:ascii="Cambria Math" w:hAnsi="Cambria Math" w:eastAsia="宋体"/>
                <w:b w:val="0"/>
                <w:sz w:val="17"/>
              </w:rPr>
              <w:t>待冻结</w:t>
            </w:r>
          </w:p>
        </w:tc>
      </w:tr>
      <w:tr>
        <w:trPr>
          <w:cantSplit/>
        </w:trPr>
        <w:tc>
          <w:tcPr>
            <w:tcW w:type="dxa" w:w="780"/>
            <w:tcMar>
              <w:top w:w="80" w:type="dxa"/>
              <w:start w:w="120" w:type="dxa"/>
              <w:bottom w:w="80" w:type="dxa"/>
              <w:end w:w="120" w:type="dxa"/>
            </w:tcMar>
            <w:vAlign w:val="center"/>
          </w:tcPr>
          <w:p>
            <w:pPr>
              <w:spacing w:after="0" w:line="252" w:lineRule="auto"/>
              <w:jc w:val="left"/>
            </w:pPr>
            <w:r/>
            <w:r>
              <w:rPr>
                <w:rFonts w:ascii="Cambria Math" w:hAnsi="Cambria Math" w:eastAsia="宋体"/>
                <w:b w:val="0"/>
                <w:sz w:val="17"/>
              </w:rPr>
              <w:t>低负荷</w:t>
            </w:r>
          </w:p>
        </w:tc>
        <w:tc>
          <w:tcPr>
            <w:tcW w:type="dxa" w:w="1450"/>
            <w:tcMar>
              <w:top w:w="80" w:type="dxa"/>
              <w:start w:w="120" w:type="dxa"/>
              <w:bottom w:w="80" w:type="dxa"/>
              <w:end w:w="120" w:type="dxa"/>
            </w:tcMar>
            <w:vAlign w:val="center"/>
          </w:tcPr>
          <w:p>
            <w:pPr>
              <w:spacing w:after="0" w:line="252" w:lineRule="auto"/>
              <w:jc w:val="left"/>
            </w:pPr>
            <w:r/>
            <w:r>
              <w:rPr>
                <w:rFonts w:ascii="Cambria Math" w:hAnsi="Cambria Math" w:eastAsia="宋体"/>
                <w:b w:val="0"/>
                <w:sz w:val="17"/>
              </w:rPr>
              <w:t>AA</w:t>
            </w:r>
          </w:p>
        </w:tc>
        <w:tc>
          <w:tcPr>
            <w:tcW w:type="dxa" w:w="620"/>
            <w:tcMar>
              <w:top w:w="80" w:type="dxa"/>
              <w:start w:w="120" w:type="dxa"/>
              <w:bottom w:w="80" w:type="dxa"/>
              <w:end w:w="120" w:type="dxa"/>
            </w:tcMar>
            <w:vAlign w:val="center"/>
          </w:tcPr>
          <w:p>
            <w:pPr>
              <w:spacing w:after="0" w:line="252" w:lineRule="auto"/>
              <w:jc w:val="center"/>
            </w:pPr>
            <w:r/>
            <w:r>
              <w:rPr>
                <w:rFonts w:ascii="Cambria Math" w:hAnsi="Cambria Math" w:eastAsia="宋体"/>
                <w:b w:val="0"/>
                <w:sz w:val="17"/>
              </w:rPr>
              <w:t>待冻结</w:t>
            </w:r>
          </w:p>
        </w:tc>
        <w:tc>
          <w:tcPr>
            <w:tcW w:type="dxa" w:w="760"/>
            <w:tcMar>
              <w:top w:w="80" w:type="dxa"/>
              <w:start w:w="120" w:type="dxa"/>
              <w:bottom w:w="80" w:type="dxa"/>
              <w:end w:w="120" w:type="dxa"/>
            </w:tcMar>
            <w:vAlign w:val="center"/>
          </w:tcPr>
          <w:p>
            <w:pPr>
              <w:spacing w:after="0" w:line="252" w:lineRule="auto"/>
              <w:jc w:val="center"/>
            </w:pPr>
            <w:r/>
            <w:r>
              <w:rPr>
                <w:rFonts w:ascii="Cambria Math" w:hAnsi="Cambria Math" w:eastAsia="宋体"/>
                <w:b w:val="0"/>
                <w:sz w:val="17"/>
              </w:rPr>
              <w:t>待冻结</w:t>
            </w:r>
          </w:p>
        </w:tc>
        <w:tc>
          <w:tcPr>
            <w:tcW w:type="dxa" w:w="760"/>
            <w:tcMar>
              <w:top w:w="80" w:type="dxa"/>
              <w:start w:w="120" w:type="dxa"/>
              <w:bottom w:w="80" w:type="dxa"/>
              <w:end w:w="120" w:type="dxa"/>
            </w:tcMar>
            <w:vAlign w:val="center"/>
          </w:tcPr>
          <w:p>
            <w:pPr>
              <w:spacing w:after="0" w:line="252" w:lineRule="auto"/>
              <w:jc w:val="center"/>
            </w:pPr>
            <w:r/>
            <w:r>
              <w:rPr>
                <w:rFonts w:ascii="Cambria Math" w:hAnsi="Cambria Math" w:eastAsia="宋体"/>
                <w:b w:val="0"/>
                <w:sz w:val="17"/>
              </w:rPr>
              <w:t>待冻结</w:t>
            </w:r>
          </w:p>
        </w:tc>
        <w:tc>
          <w:tcPr>
            <w:tcW w:type="dxa" w:w="760"/>
            <w:tcMar>
              <w:top w:w="80" w:type="dxa"/>
              <w:start w:w="120" w:type="dxa"/>
              <w:bottom w:w="80" w:type="dxa"/>
              <w:end w:w="120" w:type="dxa"/>
            </w:tcMar>
            <w:vAlign w:val="center"/>
          </w:tcPr>
          <w:p>
            <w:pPr>
              <w:spacing w:after="0" w:line="252" w:lineRule="auto"/>
              <w:jc w:val="center"/>
            </w:pPr>
            <w:r/>
            <w:r>
              <w:rPr>
                <w:rFonts w:ascii="Cambria Math" w:hAnsi="Cambria Math" w:eastAsia="宋体"/>
                <w:b w:val="0"/>
                <w:sz w:val="17"/>
              </w:rPr>
              <w:t>待冻结</w:t>
            </w:r>
          </w:p>
        </w:tc>
        <w:tc>
          <w:tcPr>
            <w:tcW w:type="dxa" w:w="4230"/>
            <w:tcMar>
              <w:top w:w="80" w:type="dxa"/>
              <w:start w:w="120" w:type="dxa"/>
              <w:bottom w:w="80" w:type="dxa"/>
              <w:end w:w="120" w:type="dxa"/>
            </w:tcMar>
            <w:vAlign w:val="center"/>
          </w:tcPr>
          <w:p>
            <w:pPr>
              <w:spacing w:after="0" w:line="252" w:lineRule="auto"/>
              <w:jc w:val="center"/>
            </w:pPr>
            <w:r/>
            <w:r>
              <w:rPr>
                <w:rFonts w:ascii="Cambria Math" w:hAnsi="Cambria Math" w:eastAsia="宋体"/>
                <w:b w:val="0"/>
                <w:sz w:val="17"/>
              </w:rPr>
              <w:t>待冻结</w:t>
            </w:r>
          </w:p>
        </w:tc>
      </w:tr>
      <w:tr>
        <w:trPr>
          <w:cantSplit/>
        </w:trPr>
        <w:tc>
          <w:tcPr>
            <w:tcW w:type="dxa" w:w="780"/>
            <w:tcMar>
              <w:top w:w="80" w:type="dxa"/>
              <w:start w:w="120" w:type="dxa"/>
              <w:bottom w:w="80" w:type="dxa"/>
              <w:end w:w="120" w:type="dxa"/>
            </w:tcMar>
            <w:vAlign w:val="center"/>
          </w:tcPr>
          <w:p>
            <w:pPr>
              <w:spacing w:after="0" w:line="252" w:lineRule="auto"/>
              <w:jc w:val="left"/>
            </w:pPr>
            <w:r/>
            <w:r>
              <w:rPr>
                <w:rFonts w:ascii="Cambria Math" w:hAnsi="Cambria Math" w:eastAsia="宋体"/>
                <w:b w:val="0"/>
                <w:sz w:val="17"/>
              </w:rPr>
              <w:t>高负荷</w:t>
            </w:r>
          </w:p>
        </w:tc>
        <w:tc>
          <w:tcPr>
            <w:tcW w:type="dxa" w:w="1450"/>
            <w:tcMar>
              <w:top w:w="80" w:type="dxa"/>
              <w:start w:w="120" w:type="dxa"/>
              <w:bottom w:w="80" w:type="dxa"/>
              <w:end w:w="120" w:type="dxa"/>
            </w:tcMar>
            <w:vAlign w:val="center"/>
          </w:tcPr>
          <w:p>
            <w:pPr>
              <w:spacing w:after="0" w:line="252" w:lineRule="auto"/>
              <w:jc w:val="left"/>
            </w:pPr>
            <w:r/>
            <w:r>
              <w:rPr>
                <w:rFonts w:ascii="Cambria Math" w:hAnsi="Cambria Math" w:eastAsia="宋体"/>
                <w:b w:val="0"/>
                <w:sz w:val="17"/>
              </w:rPr>
              <w:t>ImprovedAStar</w:t>
            </w:r>
          </w:p>
        </w:tc>
        <w:tc>
          <w:tcPr>
            <w:tcW w:type="dxa" w:w="620"/>
            <w:tcMar>
              <w:top w:w="80" w:type="dxa"/>
              <w:start w:w="120" w:type="dxa"/>
              <w:bottom w:w="80" w:type="dxa"/>
              <w:end w:w="120" w:type="dxa"/>
            </w:tcMar>
            <w:vAlign w:val="center"/>
          </w:tcPr>
          <w:p>
            <w:pPr>
              <w:spacing w:after="0" w:line="252" w:lineRule="auto"/>
              <w:jc w:val="center"/>
            </w:pPr>
            <w:r/>
            <w:r>
              <w:rPr>
                <w:rFonts w:ascii="Cambria Math" w:hAnsi="Cambria Math" w:eastAsia="宋体"/>
                <w:b w:val="0"/>
                <w:sz w:val="17"/>
              </w:rPr>
              <w:t>待冻结</w:t>
            </w:r>
          </w:p>
        </w:tc>
        <w:tc>
          <w:tcPr>
            <w:tcW w:type="dxa" w:w="760"/>
            <w:tcMar>
              <w:top w:w="80" w:type="dxa"/>
              <w:start w:w="120" w:type="dxa"/>
              <w:bottom w:w="80" w:type="dxa"/>
              <w:end w:w="120" w:type="dxa"/>
            </w:tcMar>
            <w:vAlign w:val="center"/>
          </w:tcPr>
          <w:p>
            <w:pPr>
              <w:spacing w:after="0" w:line="252" w:lineRule="auto"/>
              <w:jc w:val="center"/>
            </w:pPr>
            <w:r/>
            <w:r>
              <w:rPr>
                <w:rFonts w:ascii="Cambria Math" w:hAnsi="Cambria Math" w:eastAsia="宋体"/>
                <w:b w:val="0"/>
                <w:sz w:val="17"/>
              </w:rPr>
              <w:t>待冻结</w:t>
            </w:r>
          </w:p>
        </w:tc>
        <w:tc>
          <w:tcPr>
            <w:tcW w:type="dxa" w:w="760"/>
            <w:tcMar>
              <w:top w:w="80" w:type="dxa"/>
              <w:start w:w="120" w:type="dxa"/>
              <w:bottom w:w="80" w:type="dxa"/>
              <w:end w:w="120" w:type="dxa"/>
            </w:tcMar>
            <w:vAlign w:val="center"/>
          </w:tcPr>
          <w:p>
            <w:pPr>
              <w:spacing w:after="0" w:line="252" w:lineRule="auto"/>
              <w:jc w:val="center"/>
            </w:pPr>
            <w:r/>
            <w:r>
              <w:rPr>
                <w:rFonts w:ascii="Cambria Math" w:hAnsi="Cambria Math" w:eastAsia="宋体"/>
                <w:b w:val="0"/>
                <w:sz w:val="17"/>
              </w:rPr>
              <w:t>待冻结</w:t>
            </w:r>
          </w:p>
        </w:tc>
        <w:tc>
          <w:tcPr>
            <w:tcW w:type="dxa" w:w="760"/>
            <w:tcMar>
              <w:top w:w="80" w:type="dxa"/>
              <w:start w:w="120" w:type="dxa"/>
              <w:bottom w:w="80" w:type="dxa"/>
              <w:end w:w="120" w:type="dxa"/>
            </w:tcMar>
            <w:vAlign w:val="center"/>
          </w:tcPr>
          <w:p>
            <w:pPr>
              <w:spacing w:after="0" w:line="252" w:lineRule="auto"/>
              <w:jc w:val="center"/>
            </w:pPr>
            <w:r/>
            <w:r>
              <w:rPr>
                <w:rFonts w:ascii="Cambria Math" w:hAnsi="Cambria Math" w:eastAsia="宋体"/>
                <w:b w:val="0"/>
                <w:sz w:val="17"/>
              </w:rPr>
              <w:t>待冻结</w:t>
            </w:r>
          </w:p>
        </w:tc>
        <w:tc>
          <w:tcPr>
            <w:tcW w:type="dxa" w:w="4230"/>
            <w:tcMar>
              <w:top w:w="80" w:type="dxa"/>
              <w:start w:w="120" w:type="dxa"/>
              <w:bottom w:w="80" w:type="dxa"/>
              <w:end w:w="120" w:type="dxa"/>
            </w:tcMar>
            <w:vAlign w:val="center"/>
          </w:tcPr>
          <w:p>
            <w:pPr>
              <w:spacing w:after="0" w:line="252" w:lineRule="auto"/>
              <w:jc w:val="center"/>
            </w:pPr>
            <w:r/>
            <w:r>
              <w:rPr>
                <w:rFonts w:ascii="Cambria Math" w:hAnsi="Cambria Math" w:eastAsia="宋体"/>
                <w:b w:val="0"/>
                <w:sz w:val="17"/>
              </w:rPr>
              <w:t>待冻结</w:t>
            </w:r>
          </w:p>
        </w:tc>
      </w:tr>
      <w:tr>
        <w:trPr>
          <w:cantSplit/>
        </w:trPr>
        <w:tc>
          <w:tcPr>
            <w:tcW w:type="dxa" w:w="780"/>
            <w:tcMar>
              <w:top w:w="80" w:type="dxa"/>
              <w:start w:w="120" w:type="dxa"/>
              <w:bottom w:w="80" w:type="dxa"/>
              <w:end w:w="120" w:type="dxa"/>
            </w:tcMar>
            <w:vAlign w:val="center"/>
          </w:tcPr>
          <w:p>
            <w:pPr>
              <w:spacing w:after="0" w:line="252" w:lineRule="auto"/>
              <w:jc w:val="left"/>
            </w:pPr>
            <w:r/>
            <w:r>
              <w:rPr>
                <w:rFonts w:ascii="Cambria Math" w:hAnsi="Cambria Math" w:eastAsia="宋体"/>
                <w:b w:val="0"/>
                <w:sz w:val="17"/>
              </w:rPr>
              <w:t>高负荷</w:t>
            </w:r>
          </w:p>
        </w:tc>
        <w:tc>
          <w:tcPr>
            <w:tcW w:type="dxa" w:w="1450"/>
            <w:tcMar>
              <w:top w:w="80" w:type="dxa"/>
              <w:start w:w="120" w:type="dxa"/>
              <w:bottom w:w="80" w:type="dxa"/>
              <w:end w:w="120" w:type="dxa"/>
            </w:tcMar>
            <w:vAlign w:val="center"/>
          </w:tcPr>
          <w:p>
            <w:pPr>
              <w:spacing w:after="0" w:line="252" w:lineRule="auto"/>
              <w:jc w:val="left"/>
            </w:pPr>
            <w:r/>
            <w:r>
              <w:rPr>
                <w:rFonts w:ascii="Cambria Math" w:hAnsi="Cambria Math" w:eastAsia="宋体"/>
                <w:b w:val="0"/>
                <w:sz w:val="17"/>
              </w:rPr>
              <w:t>AA</w:t>
            </w:r>
          </w:p>
        </w:tc>
        <w:tc>
          <w:tcPr>
            <w:tcW w:type="dxa" w:w="620"/>
            <w:tcMar>
              <w:top w:w="80" w:type="dxa"/>
              <w:start w:w="120" w:type="dxa"/>
              <w:bottom w:w="80" w:type="dxa"/>
              <w:end w:w="120" w:type="dxa"/>
            </w:tcMar>
            <w:vAlign w:val="center"/>
          </w:tcPr>
          <w:p>
            <w:pPr>
              <w:spacing w:after="0" w:line="252" w:lineRule="auto"/>
              <w:jc w:val="center"/>
            </w:pPr>
            <w:r/>
            <w:r>
              <w:rPr>
                <w:rFonts w:ascii="Cambria Math" w:hAnsi="Cambria Math" w:eastAsia="宋体"/>
                <w:b w:val="0"/>
                <w:sz w:val="17"/>
              </w:rPr>
              <w:t>待冻结</w:t>
            </w:r>
          </w:p>
        </w:tc>
        <w:tc>
          <w:tcPr>
            <w:tcW w:type="dxa" w:w="760"/>
            <w:tcMar>
              <w:top w:w="80" w:type="dxa"/>
              <w:start w:w="120" w:type="dxa"/>
              <w:bottom w:w="80" w:type="dxa"/>
              <w:end w:w="120" w:type="dxa"/>
            </w:tcMar>
            <w:vAlign w:val="center"/>
          </w:tcPr>
          <w:p>
            <w:pPr>
              <w:spacing w:after="0" w:line="252" w:lineRule="auto"/>
              <w:jc w:val="center"/>
            </w:pPr>
            <w:r/>
            <w:r>
              <w:rPr>
                <w:rFonts w:ascii="Cambria Math" w:hAnsi="Cambria Math" w:eastAsia="宋体"/>
                <w:b w:val="0"/>
                <w:sz w:val="17"/>
              </w:rPr>
              <w:t>待冻结</w:t>
            </w:r>
          </w:p>
        </w:tc>
        <w:tc>
          <w:tcPr>
            <w:tcW w:type="dxa" w:w="760"/>
            <w:tcMar>
              <w:top w:w="80" w:type="dxa"/>
              <w:start w:w="120" w:type="dxa"/>
              <w:bottom w:w="80" w:type="dxa"/>
              <w:end w:w="120" w:type="dxa"/>
            </w:tcMar>
            <w:vAlign w:val="center"/>
          </w:tcPr>
          <w:p>
            <w:pPr>
              <w:spacing w:after="0" w:line="252" w:lineRule="auto"/>
              <w:jc w:val="center"/>
            </w:pPr>
            <w:r/>
            <w:r>
              <w:rPr>
                <w:rFonts w:ascii="Cambria Math" w:hAnsi="Cambria Math" w:eastAsia="宋体"/>
                <w:b w:val="0"/>
                <w:sz w:val="17"/>
              </w:rPr>
              <w:t>待冻结</w:t>
            </w:r>
          </w:p>
        </w:tc>
        <w:tc>
          <w:tcPr>
            <w:tcW w:type="dxa" w:w="760"/>
            <w:tcMar>
              <w:top w:w="80" w:type="dxa"/>
              <w:start w:w="120" w:type="dxa"/>
              <w:bottom w:w="80" w:type="dxa"/>
              <w:end w:w="120" w:type="dxa"/>
            </w:tcMar>
            <w:vAlign w:val="center"/>
          </w:tcPr>
          <w:p>
            <w:pPr>
              <w:spacing w:after="0" w:line="252" w:lineRule="auto"/>
              <w:jc w:val="center"/>
            </w:pPr>
            <w:r/>
            <w:r>
              <w:rPr>
                <w:rFonts w:ascii="Cambria Math" w:hAnsi="Cambria Math" w:eastAsia="宋体"/>
                <w:b w:val="0"/>
                <w:sz w:val="17"/>
              </w:rPr>
              <w:t>待冻结</w:t>
            </w:r>
          </w:p>
        </w:tc>
        <w:tc>
          <w:tcPr>
            <w:tcW w:type="dxa" w:w="4230"/>
            <w:tcMar>
              <w:top w:w="80" w:type="dxa"/>
              <w:start w:w="120" w:type="dxa"/>
              <w:bottom w:w="80" w:type="dxa"/>
              <w:end w:w="120" w:type="dxa"/>
            </w:tcMar>
            <w:vAlign w:val="center"/>
          </w:tcPr>
          <w:p>
            <w:pPr>
              <w:spacing w:after="0" w:line="252" w:lineRule="auto"/>
              <w:jc w:val="center"/>
            </w:pPr>
            <w:r/>
            <w:r>
              <w:rPr>
                <w:rFonts w:ascii="Cambria Math" w:hAnsi="Cambria Math" w:eastAsia="宋体"/>
                <w:b w:val="0"/>
                <w:sz w:val="17"/>
              </w:rPr>
              <w:t>待冻结</w:t>
            </w:r>
          </w:p>
        </w:tc>
      </w:tr>
    </w:tbl>
    <w:p>
      <w:pPr>
        <w:spacing w:after="40"/>
      </w:pPr>
    </w:p>
    <w:p>
      <w:pPr>
        <w:ind w:firstLine="432"/>
        <w:jc w:val="both"/>
      </w:pPr>
      <w:r>
        <w:rPr>
          <w:rFonts w:ascii="Cambria Math" w:hAnsi="Cambria Math" w:eastAsia="宋体"/>
          <w:sz w:val="22"/>
        </w:rPr>
        <w:t>线路清空结果用于进一步判断尾部滞留是否集中在特定线路或来源组。若高负荷场景中最后清空线路在两种方法下保持一致，但 AA 缩短了该线路尾部时间，则说明方法主要缓解了最后阶段的排队释放；若最后清空线路发生变化，则应分析瓶颈是否从原有设施转移到新的共享设施，避免把瓶颈转移误写成瓶颈消除。</w:t>
      </w:r>
    </w:p>
    <w:p>
      <w:pPr>
        <w:pStyle w:val="Heading2"/>
        <w:keepNext/>
      </w:pPr>
      <w:r>
        <w:rPr>
          <w:rFonts w:ascii="Calibri" w:hAnsi="Calibri" w:eastAsia="黑体"/>
          <w:b/>
          <w:color w:val="2E74B5"/>
          <w:sz w:val="26"/>
        </w:rPr>
        <w:t>5.4 Pathfinder 微观对照与敏感性分析</w:t>
      </w:r>
    </w:p>
    <w:p>
      <w:pPr>
        <w:ind w:firstLine="432"/>
        <w:jc w:val="both"/>
      </w:pPr>
      <w:r>
        <w:rPr>
          <w:rFonts w:ascii="Cambria Math" w:hAnsi="Cambria Math" w:eastAsia="宋体"/>
          <w:sz w:val="22"/>
        </w:rPr>
        <w:t>Pathfinder 对照用于检查图模型结论在微观行人仿真中的趋势表现。对照内容包括疏散曲线、拥堵位置、出口利用和来源组滞留特征。由于 Pathfinder 的个体避让、局部冲突和空间占用机制与图模型不同，本文不应把它写成逐个乘客轨迹的严格校准，而应说明两类模型是否在关键瓶颈位置、拥堵持续时段和总体疏散曲线形态上保持一致。</w:t>
      </w:r>
    </w:p>
    <w:p>
      <w:pPr>
        <w:spacing w:before="80" w:after="80"/>
        <w:jc w:val="center"/>
      </w:pPr>
      <w:r>
        <w:rPr>
          <w:rFonts w:ascii="Calibri" w:hAnsi="Calibri" w:eastAsia="宋体"/>
          <w:b/>
          <w:sz w:val="20"/>
        </w:rPr>
        <w:t>图模型与 Pathfinder 对照维度</w:t>
      </w:r>
    </w:p>
    <w:tbl>
      <w:tblPr>
        <w:tblStyle w:val="TableGrid"/>
        <w:tblW w:type="dxa" w:w="9360"/>
        <w:jc w:val="left"/>
        <w:tblLayout w:type="fixed"/>
        <w:tblLook w:firstColumn="1" w:firstRow="1" w:lastColumn="0" w:lastRow="0" w:noHBand="0" w:noVBand="1" w:val="04A0"/>
        <w:tblInd w:w="120" w:type="dxa"/>
        <w:tblBorders>
          <w:top w:val="single" w:sz="4" w:space="0" w:color="B7C4D2"/>
          <w:left w:val="single" w:sz="4" w:space="0" w:color="B7C4D2"/>
          <w:bottom w:val="single" w:sz="4" w:space="0" w:color="B7C4D2"/>
          <w:right w:val="single" w:sz="4" w:space="0" w:color="B7C4D2"/>
          <w:insideH w:val="single" w:sz="4" w:space="0" w:color="B7C4D2"/>
          <w:insideV w:val="single" w:sz="4" w:space="0" w:color="B7C4D2"/>
        </w:tblBorders>
      </w:tblPr>
      <w:tblGrid>
        <w:gridCol w:w="2100"/>
        <w:gridCol w:w="3200"/>
        <w:gridCol w:w="4060"/>
      </w:tblGrid>
      <w:tr>
        <w:trPr>
          <w:cantSplit/>
          <w:tblHeader w:val="true"/>
        </w:trPr>
        <w:tc>
          <w:tcPr>
            <w:tcW w:type="dxa" w:w="2100"/>
            <w:tcMar>
              <w:top w:w="80" w:type="dxa"/>
              <w:start w:w="120" w:type="dxa"/>
              <w:bottom w:w="80" w:type="dxa"/>
              <w:end w:w="120" w:type="dxa"/>
            </w:tcMar>
            <w:vAlign w:val="center"/>
            <w:shd w:fill="F4F6F9"/>
          </w:tcPr>
          <w:p>
            <w:pPr>
              <w:spacing w:after="0" w:line="252" w:lineRule="auto"/>
              <w:jc w:val="center"/>
            </w:pPr>
            <w:r/>
            <w:r>
              <w:rPr>
                <w:rFonts w:ascii="Cambria Math" w:hAnsi="Cambria Math" w:eastAsia="宋体"/>
                <w:b/>
                <w:sz w:val="18"/>
              </w:rPr>
              <w:t>对照维度</w:t>
            </w:r>
          </w:p>
        </w:tc>
        <w:tc>
          <w:tcPr>
            <w:tcW w:type="dxa" w:w="3200"/>
            <w:tcMar>
              <w:top w:w="80" w:type="dxa"/>
              <w:start w:w="120" w:type="dxa"/>
              <w:bottom w:w="80" w:type="dxa"/>
              <w:end w:w="120" w:type="dxa"/>
            </w:tcMar>
            <w:vAlign w:val="center"/>
            <w:shd w:fill="F4F6F9"/>
          </w:tcPr>
          <w:p>
            <w:pPr>
              <w:spacing w:after="0" w:line="252" w:lineRule="auto"/>
              <w:jc w:val="center"/>
            </w:pPr>
            <w:r/>
            <w:r>
              <w:rPr>
                <w:rFonts w:ascii="Cambria Math" w:hAnsi="Cambria Math" w:eastAsia="宋体"/>
                <w:b/>
                <w:sz w:val="18"/>
              </w:rPr>
              <w:t>图模型输出</w:t>
            </w:r>
          </w:p>
        </w:tc>
        <w:tc>
          <w:tcPr>
            <w:tcW w:type="dxa" w:w="4060"/>
            <w:tcMar>
              <w:top w:w="80" w:type="dxa"/>
              <w:start w:w="120" w:type="dxa"/>
              <w:bottom w:w="80" w:type="dxa"/>
              <w:end w:w="120" w:type="dxa"/>
            </w:tcMar>
            <w:vAlign w:val="center"/>
            <w:shd w:fill="F4F6F9"/>
          </w:tcPr>
          <w:p>
            <w:pPr>
              <w:spacing w:after="0" w:line="252" w:lineRule="auto"/>
              <w:jc w:val="center"/>
            </w:pPr>
            <w:r/>
            <w:r>
              <w:rPr>
                <w:rFonts w:ascii="Cambria Math" w:hAnsi="Cambria Math" w:eastAsia="宋体"/>
                <w:b/>
                <w:sz w:val="18"/>
              </w:rPr>
              <w:t>Pathfinder 输出</w:t>
            </w:r>
          </w:p>
        </w:tc>
      </w:tr>
      <w:tr>
        <w:trPr>
          <w:cantSplit/>
        </w:trPr>
        <w:tc>
          <w:tcPr>
            <w:tcW w:type="dxa" w:w="2100"/>
            <w:tcMar>
              <w:top w:w="80" w:type="dxa"/>
              <w:start w:w="120" w:type="dxa"/>
              <w:bottom w:w="80" w:type="dxa"/>
              <w:end w:w="120" w:type="dxa"/>
            </w:tcMar>
            <w:vAlign w:val="center"/>
          </w:tcPr>
          <w:p>
            <w:pPr>
              <w:spacing w:after="0" w:line="252" w:lineRule="auto"/>
              <w:jc w:val="left"/>
            </w:pPr>
            <w:r/>
            <w:r>
              <w:rPr>
                <w:rFonts w:ascii="Cambria Math" w:hAnsi="Cambria Math" w:eastAsia="宋体"/>
                <w:b w:val="0"/>
                <w:sz w:val="18"/>
              </w:rPr>
              <w:t>疏散曲线</w:t>
            </w:r>
          </w:p>
        </w:tc>
        <w:tc>
          <w:tcPr>
            <w:tcW w:type="dxa" w:w="3200"/>
            <w:tcMar>
              <w:top w:w="80" w:type="dxa"/>
              <w:start w:w="120" w:type="dxa"/>
              <w:bottom w:w="80" w:type="dxa"/>
              <w:end w:w="120" w:type="dxa"/>
            </w:tcMar>
            <w:vAlign w:val="center"/>
          </w:tcPr>
          <w:p>
            <w:pPr>
              <w:spacing w:after="0" w:line="252" w:lineRule="auto"/>
              <w:jc w:val="left"/>
            </w:pPr>
            <w:r/>
            <w:r>
              <w:rPr>
                <w:rFonts w:ascii="Cambria Math" w:hAnsi="Cambria Math" w:eastAsia="宋体"/>
                <w:b w:val="0"/>
                <w:sz w:val="18"/>
              </w:rPr>
              <w:t>累计疏散人数、T</w:t>
            </w:r>
            <w:r>
              <w:rPr>
                <w:rFonts w:ascii="Cambria Math" w:hAnsi="Cambria Math" w:eastAsia="宋体"/>
                <w:b w:val="0"/>
                <w:sz w:val="18"/>
                <w:vertAlign w:val="subscript"/>
              </w:rPr>
              <w:t>95、T_99、T_100</w:t>
            </w:r>
          </w:p>
        </w:tc>
        <w:tc>
          <w:tcPr>
            <w:tcW w:type="dxa" w:w="4060"/>
            <w:tcMar>
              <w:top w:w="80" w:type="dxa"/>
              <w:start w:w="120" w:type="dxa"/>
              <w:bottom w:w="80" w:type="dxa"/>
              <w:end w:w="120" w:type="dxa"/>
            </w:tcMar>
            <w:vAlign w:val="center"/>
          </w:tcPr>
          <w:p>
            <w:pPr>
              <w:spacing w:after="0" w:line="252" w:lineRule="auto"/>
              <w:jc w:val="center"/>
            </w:pPr>
            <w:r/>
            <w:r>
              <w:rPr>
                <w:rFonts w:ascii="Cambria Math" w:hAnsi="Cambria Math" w:eastAsia="宋体"/>
                <w:b w:val="0"/>
                <w:sz w:val="18"/>
              </w:rPr>
              <w:t>个体离站时间分布和累计疏散曲线</w:t>
            </w:r>
          </w:p>
        </w:tc>
      </w:tr>
      <w:tr>
        <w:trPr>
          <w:cantSplit/>
        </w:trPr>
        <w:tc>
          <w:tcPr>
            <w:tcW w:type="dxa" w:w="2100"/>
            <w:tcMar>
              <w:top w:w="80" w:type="dxa"/>
              <w:start w:w="120" w:type="dxa"/>
              <w:bottom w:w="80" w:type="dxa"/>
              <w:end w:w="120" w:type="dxa"/>
            </w:tcMar>
            <w:vAlign w:val="center"/>
          </w:tcPr>
          <w:p>
            <w:pPr>
              <w:spacing w:after="0" w:line="252" w:lineRule="auto"/>
              <w:jc w:val="left"/>
            </w:pPr>
            <w:r/>
            <w:r>
              <w:rPr>
                <w:rFonts w:ascii="Cambria Math" w:hAnsi="Cambria Math" w:eastAsia="宋体"/>
                <w:b w:val="0"/>
                <w:sz w:val="18"/>
              </w:rPr>
              <w:t>拥堵位置</w:t>
            </w:r>
          </w:p>
        </w:tc>
        <w:tc>
          <w:tcPr>
            <w:tcW w:type="dxa" w:w="3200"/>
            <w:tcMar>
              <w:top w:w="80" w:type="dxa"/>
              <w:start w:w="120" w:type="dxa"/>
              <w:bottom w:w="80" w:type="dxa"/>
              <w:end w:w="120" w:type="dxa"/>
            </w:tcMar>
            <w:vAlign w:val="center"/>
          </w:tcPr>
          <w:p>
            <w:pPr>
              <w:spacing w:after="0" w:line="252" w:lineRule="auto"/>
              <w:jc w:val="left"/>
            </w:pPr>
            <w:r/>
            <w:r>
              <w:rPr>
                <w:rFonts w:ascii="Cambria Math" w:hAnsi="Cambria Math" w:eastAsia="宋体"/>
                <w:b w:val="0"/>
                <w:sz w:val="18"/>
              </w:rPr>
              <w:t>关键设施队列峰值、队列人秒和空间阻塞人秒</w:t>
            </w:r>
          </w:p>
        </w:tc>
        <w:tc>
          <w:tcPr>
            <w:tcW w:type="dxa" w:w="4060"/>
            <w:tcMar>
              <w:top w:w="80" w:type="dxa"/>
              <w:start w:w="120" w:type="dxa"/>
              <w:bottom w:w="80" w:type="dxa"/>
              <w:end w:w="120" w:type="dxa"/>
            </w:tcMar>
            <w:vAlign w:val="center"/>
          </w:tcPr>
          <w:p>
            <w:pPr>
              <w:spacing w:after="0" w:line="252" w:lineRule="auto"/>
              <w:jc w:val="center"/>
            </w:pPr>
            <w:r/>
            <w:r>
              <w:rPr>
                <w:rFonts w:ascii="Cambria Math" w:hAnsi="Cambria Math" w:eastAsia="宋体"/>
                <w:b w:val="0"/>
                <w:sz w:val="18"/>
              </w:rPr>
              <w:t>密度云图、局部聚集区域和拥堵持续时段</w:t>
            </w:r>
          </w:p>
        </w:tc>
      </w:tr>
      <w:tr>
        <w:trPr>
          <w:cantSplit/>
        </w:trPr>
        <w:tc>
          <w:tcPr>
            <w:tcW w:type="dxa" w:w="2100"/>
            <w:tcMar>
              <w:top w:w="80" w:type="dxa"/>
              <w:start w:w="120" w:type="dxa"/>
              <w:bottom w:w="80" w:type="dxa"/>
              <w:end w:w="120" w:type="dxa"/>
            </w:tcMar>
            <w:vAlign w:val="center"/>
          </w:tcPr>
          <w:p>
            <w:pPr>
              <w:spacing w:after="0" w:line="252" w:lineRule="auto"/>
              <w:jc w:val="left"/>
            </w:pPr>
            <w:r/>
            <w:r>
              <w:rPr>
                <w:rFonts w:ascii="Cambria Math" w:hAnsi="Cambria Math" w:eastAsia="宋体"/>
                <w:b w:val="0"/>
                <w:sz w:val="18"/>
              </w:rPr>
              <w:t>出口利用</w:t>
            </w:r>
          </w:p>
        </w:tc>
        <w:tc>
          <w:tcPr>
            <w:tcW w:type="dxa" w:w="3200"/>
            <w:tcMar>
              <w:top w:w="80" w:type="dxa"/>
              <w:start w:w="120" w:type="dxa"/>
              <w:bottom w:w="80" w:type="dxa"/>
              <w:end w:w="120" w:type="dxa"/>
            </w:tcMar>
            <w:vAlign w:val="center"/>
          </w:tcPr>
          <w:p>
            <w:pPr>
              <w:spacing w:after="0" w:line="252" w:lineRule="auto"/>
              <w:jc w:val="left"/>
            </w:pPr>
            <w:r/>
            <w:r>
              <w:rPr>
                <w:rFonts w:ascii="Cambria Math" w:hAnsi="Cambria Math" w:eastAsia="宋体"/>
                <w:b w:val="0"/>
                <w:sz w:val="18"/>
              </w:rPr>
              <w:t>各出口通过人数及来源组构成</w:t>
            </w:r>
          </w:p>
        </w:tc>
        <w:tc>
          <w:tcPr>
            <w:tcW w:type="dxa" w:w="4060"/>
            <w:tcMar>
              <w:top w:w="80" w:type="dxa"/>
              <w:start w:w="120" w:type="dxa"/>
              <w:bottom w:w="80" w:type="dxa"/>
              <w:end w:w="120" w:type="dxa"/>
            </w:tcMar>
            <w:vAlign w:val="center"/>
          </w:tcPr>
          <w:p>
            <w:pPr>
              <w:spacing w:after="0" w:line="252" w:lineRule="auto"/>
              <w:jc w:val="center"/>
            </w:pPr>
            <w:r/>
            <w:r>
              <w:rPr>
                <w:rFonts w:ascii="Cambria Math" w:hAnsi="Cambria Math" w:eastAsia="宋体"/>
                <w:b w:val="0"/>
                <w:sz w:val="18"/>
              </w:rPr>
              <w:t>各出口实际离站人数和占比</w:t>
            </w:r>
          </w:p>
        </w:tc>
      </w:tr>
      <w:tr>
        <w:trPr>
          <w:cantSplit/>
        </w:trPr>
        <w:tc>
          <w:tcPr>
            <w:tcW w:type="dxa" w:w="2100"/>
            <w:tcMar>
              <w:top w:w="80" w:type="dxa"/>
              <w:start w:w="120" w:type="dxa"/>
              <w:bottom w:w="80" w:type="dxa"/>
              <w:end w:w="120" w:type="dxa"/>
            </w:tcMar>
            <w:vAlign w:val="center"/>
          </w:tcPr>
          <w:p>
            <w:pPr>
              <w:spacing w:after="0" w:line="252" w:lineRule="auto"/>
              <w:jc w:val="left"/>
            </w:pPr>
            <w:r/>
            <w:r>
              <w:rPr>
                <w:rFonts w:ascii="Cambria Math" w:hAnsi="Cambria Math" w:eastAsia="宋体"/>
                <w:b w:val="0"/>
                <w:sz w:val="18"/>
              </w:rPr>
              <w:t>来源组差异</w:t>
            </w:r>
          </w:p>
        </w:tc>
        <w:tc>
          <w:tcPr>
            <w:tcW w:type="dxa" w:w="3200"/>
            <w:tcMar>
              <w:top w:w="80" w:type="dxa"/>
              <w:start w:w="120" w:type="dxa"/>
              <w:bottom w:w="80" w:type="dxa"/>
              <w:end w:w="120" w:type="dxa"/>
            </w:tcMar>
            <w:vAlign w:val="center"/>
          </w:tcPr>
          <w:p>
            <w:pPr>
              <w:spacing w:after="0" w:line="252" w:lineRule="auto"/>
              <w:jc w:val="left"/>
            </w:pPr>
            <w:r/>
            <w:r>
              <w:rPr>
                <w:rFonts w:ascii="Cambria Math" w:hAnsi="Cambria Math" w:eastAsia="宋体"/>
                <w:b w:val="0"/>
                <w:sz w:val="18"/>
              </w:rPr>
              <w:t>站台、列车、站厅和换乘客流清空时间</w:t>
            </w:r>
          </w:p>
        </w:tc>
        <w:tc>
          <w:tcPr>
            <w:tcW w:type="dxa" w:w="4060"/>
            <w:tcMar>
              <w:top w:w="80" w:type="dxa"/>
              <w:start w:w="120" w:type="dxa"/>
              <w:bottom w:w="80" w:type="dxa"/>
              <w:end w:w="120" w:type="dxa"/>
            </w:tcMar>
            <w:vAlign w:val="center"/>
          </w:tcPr>
          <w:p>
            <w:pPr>
              <w:spacing w:after="0" w:line="252" w:lineRule="auto"/>
              <w:jc w:val="center"/>
            </w:pPr>
            <w:r/>
            <w:r>
              <w:rPr>
                <w:rFonts w:ascii="Cambria Math" w:hAnsi="Cambria Math" w:eastAsia="宋体"/>
                <w:b w:val="0"/>
                <w:sz w:val="18"/>
              </w:rPr>
              <w:t>不同人群组离站时间和拥堵暴露</w:t>
            </w:r>
          </w:p>
        </w:tc>
      </w:tr>
    </w:tbl>
    <w:p>
      <w:pPr>
        <w:spacing w:after="40"/>
      </w:pPr>
    </w:p>
    <w:p>
      <w:pPr>
        <w:ind w:firstLine="432"/>
        <w:jc w:val="both"/>
      </w:pPr>
      <w:r>
        <w:rPr>
          <w:rFonts w:ascii="Cambria Math" w:hAnsi="Cambria Math" w:eastAsia="宋体"/>
          <w:sz w:val="22"/>
        </w:rPr>
        <w:t>若 Pathfinder 中的高密度区域与图模型识别的高队列资源一致，且疏散曲线尾部变化方向相同，则可认为微观仿真在趋势上支持路径组织模型结论。若两者不一致，应优先检查空间几何表达、局部避让机制、设施容量设定和出口边界条件，而不能直接把差异解释为某一方法失效。</w:t>
      </w:r>
    </w:p>
    <w:p>
      <w:pPr>
        <w:ind w:firstLine="432"/>
        <w:jc w:val="both"/>
      </w:pPr>
      <w:r>
        <w:rPr>
          <w:rFonts w:ascii="Cambria Math" w:hAnsi="Cambria Math" w:eastAsia="宋体"/>
          <w:sz w:val="22"/>
        </w:rPr>
        <w:t>敏感性分析应服务于本文机制，而不是泛泛改变所有行人参数。本文建议重点分析三类因素：换乘客流比例、列车到达重叠程度和关键共享设施服务能力。换乘客流比例用于检验服务链交叉强度变化时 AA 的作用边界；列车到达重叠程度用于检验多来源客流在时间上集中释放时到达时刻预测的价值；关键共享设施服务能力用于检验瓶颈强弱变化对路径组织效果的影响。</w:t>
      </w:r>
    </w:p>
    <w:p>
      <w:pPr>
        <w:spacing w:before="80" w:after="80"/>
        <w:jc w:val="center"/>
      </w:pPr>
      <w:r>
        <w:rPr>
          <w:rFonts w:ascii="Calibri" w:hAnsi="Calibri" w:eastAsia="宋体"/>
          <w:b/>
          <w:sz w:val="20"/>
        </w:rPr>
        <w:t>敏感性分析设置与解释目的</w:t>
      </w:r>
    </w:p>
    <w:tbl>
      <w:tblPr>
        <w:tblStyle w:val="TableGrid"/>
        <w:tblW w:type="dxa" w:w="9360"/>
        <w:jc w:val="left"/>
        <w:tblLayout w:type="fixed"/>
        <w:tblLook w:firstColumn="1" w:firstRow="1" w:lastColumn="0" w:lastRow="0" w:noHBand="0" w:noVBand="1" w:val="04A0"/>
        <w:tblInd w:w="120" w:type="dxa"/>
        <w:tblBorders>
          <w:top w:val="single" w:sz="4" w:space="0" w:color="B7C4D2"/>
          <w:left w:val="single" w:sz="4" w:space="0" w:color="B7C4D2"/>
          <w:bottom w:val="single" w:sz="4" w:space="0" w:color="B7C4D2"/>
          <w:right w:val="single" w:sz="4" w:space="0" w:color="B7C4D2"/>
          <w:insideH w:val="single" w:sz="4" w:space="0" w:color="B7C4D2"/>
          <w:insideV w:val="single" w:sz="4" w:space="0" w:color="B7C4D2"/>
        </w:tblBorders>
      </w:tblPr>
      <w:tblGrid>
        <w:gridCol w:w="2100"/>
        <w:gridCol w:w="3200"/>
        <w:gridCol w:w="4060"/>
      </w:tblGrid>
      <w:tr>
        <w:trPr>
          <w:cantSplit/>
          <w:tblHeader w:val="true"/>
        </w:trPr>
        <w:tc>
          <w:tcPr>
            <w:tcW w:type="dxa" w:w="2100"/>
            <w:tcMar>
              <w:top w:w="80" w:type="dxa"/>
              <w:start w:w="120" w:type="dxa"/>
              <w:bottom w:w="80" w:type="dxa"/>
              <w:end w:w="120" w:type="dxa"/>
            </w:tcMar>
            <w:vAlign w:val="center"/>
            <w:shd w:fill="F4F6F9"/>
          </w:tcPr>
          <w:p>
            <w:pPr>
              <w:spacing w:after="0" w:line="252" w:lineRule="auto"/>
              <w:jc w:val="center"/>
            </w:pPr>
            <w:r/>
            <w:r>
              <w:rPr>
                <w:rFonts w:ascii="Cambria Math" w:hAnsi="Cambria Math" w:eastAsia="宋体"/>
                <w:b/>
                <w:sz w:val="18"/>
              </w:rPr>
              <w:t>敏感性因素</w:t>
            </w:r>
          </w:p>
        </w:tc>
        <w:tc>
          <w:tcPr>
            <w:tcW w:type="dxa" w:w="3200"/>
            <w:tcMar>
              <w:top w:w="80" w:type="dxa"/>
              <w:start w:w="120" w:type="dxa"/>
              <w:bottom w:w="80" w:type="dxa"/>
              <w:end w:w="120" w:type="dxa"/>
            </w:tcMar>
            <w:vAlign w:val="center"/>
            <w:shd w:fill="F4F6F9"/>
          </w:tcPr>
          <w:p>
            <w:pPr>
              <w:spacing w:after="0" w:line="252" w:lineRule="auto"/>
              <w:jc w:val="center"/>
            </w:pPr>
            <w:r/>
            <w:r>
              <w:rPr>
                <w:rFonts w:ascii="Cambria Math" w:hAnsi="Cambria Math" w:eastAsia="宋体"/>
                <w:b/>
                <w:sz w:val="18"/>
              </w:rPr>
              <w:t>调整方式</w:t>
            </w:r>
          </w:p>
        </w:tc>
        <w:tc>
          <w:tcPr>
            <w:tcW w:type="dxa" w:w="4060"/>
            <w:tcMar>
              <w:top w:w="80" w:type="dxa"/>
              <w:start w:w="120" w:type="dxa"/>
              <w:bottom w:w="80" w:type="dxa"/>
              <w:end w:w="120" w:type="dxa"/>
            </w:tcMar>
            <w:vAlign w:val="center"/>
            <w:shd w:fill="F4F6F9"/>
          </w:tcPr>
          <w:p>
            <w:pPr>
              <w:spacing w:after="0" w:line="252" w:lineRule="auto"/>
              <w:jc w:val="center"/>
            </w:pPr>
            <w:r/>
            <w:r>
              <w:rPr>
                <w:rFonts w:ascii="Cambria Math" w:hAnsi="Cambria Math" w:eastAsia="宋体"/>
                <w:b/>
                <w:sz w:val="18"/>
              </w:rPr>
              <w:t>解释目的</w:t>
            </w:r>
          </w:p>
        </w:tc>
      </w:tr>
      <w:tr>
        <w:trPr>
          <w:cantSplit/>
        </w:trPr>
        <w:tc>
          <w:tcPr>
            <w:tcW w:type="dxa" w:w="2100"/>
            <w:tcMar>
              <w:top w:w="80" w:type="dxa"/>
              <w:start w:w="120" w:type="dxa"/>
              <w:bottom w:w="80" w:type="dxa"/>
              <w:end w:w="120" w:type="dxa"/>
            </w:tcMar>
            <w:vAlign w:val="center"/>
          </w:tcPr>
          <w:p>
            <w:pPr>
              <w:spacing w:after="0" w:line="252" w:lineRule="auto"/>
              <w:jc w:val="left"/>
            </w:pPr>
            <w:r/>
            <w:r>
              <w:rPr>
                <w:rFonts w:ascii="Cambria Math" w:hAnsi="Cambria Math" w:eastAsia="宋体"/>
                <w:b w:val="0"/>
                <w:sz w:val="18"/>
              </w:rPr>
              <w:t>换乘客流比例</w:t>
            </w:r>
          </w:p>
        </w:tc>
        <w:tc>
          <w:tcPr>
            <w:tcW w:type="dxa" w:w="3200"/>
            <w:tcMar>
              <w:top w:w="80" w:type="dxa"/>
              <w:start w:w="120" w:type="dxa"/>
              <w:bottom w:w="80" w:type="dxa"/>
              <w:end w:w="120" w:type="dxa"/>
            </w:tcMar>
            <w:vAlign w:val="center"/>
          </w:tcPr>
          <w:p>
            <w:pPr>
              <w:spacing w:after="0" w:line="252" w:lineRule="auto"/>
              <w:jc w:val="left"/>
            </w:pPr>
            <w:r/>
            <w:r>
              <w:rPr>
                <w:rFonts w:ascii="Cambria Math" w:hAnsi="Cambria Math" w:eastAsia="宋体"/>
                <w:b w:val="0"/>
                <w:sz w:val="18"/>
              </w:rPr>
              <w:t>在总需求或基础需求可控条件下调整换乘来源组占比</w:t>
            </w:r>
          </w:p>
        </w:tc>
        <w:tc>
          <w:tcPr>
            <w:tcW w:type="dxa" w:w="4060"/>
            <w:tcMar>
              <w:top w:w="80" w:type="dxa"/>
              <w:start w:w="120" w:type="dxa"/>
              <w:bottom w:w="80" w:type="dxa"/>
              <w:end w:w="120" w:type="dxa"/>
            </w:tcMar>
            <w:vAlign w:val="center"/>
          </w:tcPr>
          <w:p>
            <w:pPr>
              <w:spacing w:after="0" w:line="252" w:lineRule="auto"/>
              <w:jc w:val="center"/>
            </w:pPr>
            <w:r/>
            <w:r>
              <w:rPr>
                <w:rFonts w:ascii="Cambria Math" w:hAnsi="Cambria Math" w:eastAsia="宋体"/>
                <w:b w:val="0"/>
                <w:sz w:val="18"/>
              </w:rPr>
              <w:t>检验服务链交叉增强时，AA 是否更能识别共享设施未来排队</w:t>
            </w:r>
          </w:p>
        </w:tc>
      </w:tr>
      <w:tr>
        <w:trPr>
          <w:cantSplit/>
        </w:trPr>
        <w:tc>
          <w:tcPr>
            <w:tcW w:type="dxa" w:w="2100"/>
            <w:tcMar>
              <w:top w:w="80" w:type="dxa"/>
              <w:start w:w="120" w:type="dxa"/>
              <w:bottom w:w="80" w:type="dxa"/>
              <w:end w:w="120" w:type="dxa"/>
            </w:tcMar>
            <w:vAlign w:val="center"/>
          </w:tcPr>
          <w:p>
            <w:pPr>
              <w:spacing w:after="0" w:line="252" w:lineRule="auto"/>
              <w:jc w:val="left"/>
            </w:pPr>
            <w:r/>
            <w:r>
              <w:rPr>
                <w:rFonts w:ascii="Cambria Math" w:hAnsi="Cambria Math" w:eastAsia="宋体"/>
                <w:b w:val="0"/>
                <w:sz w:val="18"/>
              </w:rPr>
              <w:t>列车到达重叠程度</w:t>
            </w:r>
          </w:p>
        </w:tc>
        <w:tc>
          <w:tcPr>
            <w:tcW w:type="dxa" w:w="3200"/>
            <w:tcMar>
              <w:top w:w="80" w:type="dxa"/>
              <w:start w:w="120" w:type="dxa"/>
              <w:bottom w:w="80" w:type="dxa"/>
              <w:end w:w="120" w:type="dxa"/>
            </w:tcMar>
            <w:vAlign w:val="center"/>
          </w:tcPr>
          <w:p>
            <w:pPr>
              <w:spacing w:after="0" w:line="252" w:lineRule="auto"/>
              <w:jc w:val="left"/>
            </w:pPr>
            <w:r/>
            <w:r>
              <w:rPr>
                <w:rFonts w:ascii="Cambria Math" w:hAnsi="Cambria Math" w:eastAsia="宋体"/>
                <w:b w:val="0"/>
                <w:sz w:val="18"/>
              </w:rPr>
              <w:t>调整多线路列车释放的时间间隔或同步程度</w:t>
            </w:r>
          </w:p>
        </w:tc>
        <w:tc>
          <w:tcPr>
            <w:tcW w:type="dxa" w:w="4060"/>
            <w:tcMar>
              <w:top w:w="80" w:type="dxa"/>
              <w:start w:w="120" w:type="dxa"/>
              <w:bottom w:w="80" w:type="dxa"/>
              <w:end w:w="120" w:type="dxa"/>
            </w:tcMar>
            <w:vAlign w:val="center"/>
          </w:tcPr>
          <w:p>
            <w:pPr>
              <w:spacing w:after="0" w:line="252" w:lineRule="auto"/>
              <w:jc w:val="center"/>
            </w:pPr>
            <w:r/>
            <w:r>
              <w:rPr>
                <w:rFonts w:ascii="Cambria Math" w:hAnsi="Cambria Math" w:eastAsia="宋体"/>
                <w:b w:val="0"/>
                <w:sz w:val="18"/>
              </w:rPr>
              <w:t>检验到达高峰越集中时，到达时刻队列预测是否更重要</w:t>
            </w:r>
          </w:p>
        </w:tc>
      </w:tr>
      <w:tr>
        <w:trPr>
          <w:cantSplit/>
        </w:trPr>
        <w:tc>
          <w:tcPr>
            <w:tcW w:type="dxa" w:w="2100"/>
            <w:tcMar>
              <w:top w:w="80" w:type="dxa"/>
              <w:start w:w="120" w:type="dxa"/>
              <w:bottom w:w="80" w:type="dxa"/>
              <w:end w:w="120" w:type="dxa"/>
            </w:tcMar>
            <w:vAlign w:val="center"/>
          </w:tcPr>
          <w:p>
            <w:pPr>
              <w:spacing w:after="0" w:line="252" w:lineRule="auto"/>
              <w:jc w:val="left"/>
            </w:pPr>
            <w:r/>
            <w:r>
              <w:rPr>
                <w:rFonts w:ascii="Cambria Math" w:hAnsi="Cambria Math" w:eastAsia="宋体"/>
                <w:b w:val="0"/>
                <w:sz w:val="18"/>
              </w:rPr>
              <w:t>关键共享设施服务能力</w:t>
            </w:r>
          </w:p>
        </w:tc>
        <w:tc>
          <w:tcPr>
            <w:tcW w:type="dxa" w:w="3200"/>
            <w:tcMar>
              <w:top w:w="80" w:type="dxa"/>
              <w:start w:w="120" w:type="dxa"/>
              <w:bottom w:w="80" w:type="dxa"/>
              <w:end w:w="120" w:type="dxa"/>
            </w:tcMar>
            <w:vAlign w:val="center"/>
          </w:tcPr>
          <w:p>
            <w:pPr>
              <w:spacing w:after="0" w:line="252" w:lineRule="auto"/>
              <w:jc w:val="left"/>
            </w:pPr>
            <w:r/>
            <w:r>
              <w:rPr>
                <w:rFonts w:ascii="Cambria Math" w:hAnsi="Cambria Math" w:eastAsia="宋体"/>
                <w:b w:val="0"/>
                <w:sz w:val="18"/>
              </w:rPr>
              <w:t>调整代表性楼扶梯、通道、闸机或出口前区容量</w:t>
            </w:r>
          </w:p>
        </w:tc>
        <w:tc>
          <w:tcPr>
            <w:tcW w:type="dxa" w:w="4060"/>
            <w:tcMar>
              <w:top w:w="80" w:type="dxa"/>
              <w:start w:w="120" w:type="dxa"/>
              <w:bottom w:w="80" w:type="dxa"/>
              <w:end w:w="120" w:type="dxa"/>
            </w:tcMar>
            <w:vAlign w:val="center"/>
          </w:tcPr>
          <w:p>
            <w:pPr>
              <w:spacing w:after="0" w:line="252" w:lineRule="auto"/>
              <w:jc w:val="center"/>
            </w:pPr>
            <w:r/>
            <w:r>
              <w:rPr>
                <w:rFonts w:ascii="Cambria Math" w:hAnsi="Cambria Math" w:eastAsia="宋体"/>
                <w:b w:val="0"/>
                <w:sz w:val="18"/>
              </w:rPr>
              <w:t>检验瓶颈强弱变化下，AA 的适用范围和失效边界</w:t>
            </w:r>
          </w:p>
        </w:tc>
      </w:tr>
    </w:tbl>
    <w:p>
      <w:pPr>
        <w:spacing w:after="40"/>
      </w:pPr>
    </w:p>
    <w:p>
      <w:pPr>
        <w:ind w:firstLine="432"/>
        <w:jc w:val="both"/>
      </w:pPr>
      <w:r>
        <w:rPr>
          <w:rFonts w:ascii="Cambria Math" w:hAnsi="Cambria Math" w:eastAsia="宋体"/>
          <w:sz w:val="22"/>
        </w:rPr>
        <w:t>结果解释应围绕适用边界展开。若 AA 的优势主要出现在高换乘比例、高到达重叠或关键设施服务能力较低的条件下，应将其解释为面向共享设施竞争明显场景的路径组织方法；若在低负荷或瓶颈较弱场景中差异较小，则说明模型不会在非瓶颈条件下强行产生显著改善。这样的解释比单纯报告“AA 更快”更能说明方法适用于哪些多线换乘站疏散情境。</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Calibri" w:hAnsi="Calibri" w:eastAsia="宋体"/>
        <w:color w:val="6B7280"/>
        <w:sz w:val="18"/>
      </w:rPr>
      <w:t xml:space="preserve">第 </w:t>
    </w:r>
    <w:r/>
    <w:fldSimple w:instr="PAGE"/>
    <w:r>
      <w:rPr>
        <w:rFonts w:ascii="Calibri" w:hAnsi="Calibri" w:eastAsia="宋体"/>
        <w:color w:val="6B7280"/>
        <w:sz w:val="18"/>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宋体"/>
        <w:color w:val="6B7280"/>
        <w:sz w:val="18"/>
      </w:rPr>
      <w:t>方法与实验部分</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320" w:lineRule="auto"/>
      <w:jc w:val="both"/>
    </w:pPr>
    <w:rPr>
      <w:rFonts w:ascii="Calibri" w:hAnsi="Calibri"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黑体"/>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黑体"/>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黑体"/>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90" w:lineRule="auto"/>
      <w:ind w:left="720" w:hanging="360"/>
      <w:contextualSpacing/>
    </w:pPr>
    <w:rPr>
      <w:rFonts w:ascii="Calibri" w:hAnsi="Calibri" w:eastAsia="宋体"/>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90" w:lineRule="auto"/>
      <w:ind w:left="720" w:hanging="360"/>
      <w:contextualSpacing/>
    </w:pPr>
    <w:rPr>
      <w:rFonts w:ascii="Calibri" w:hAnsi="Calibri" w:eastAsia="宋体"/>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quation">
    <w:name w:val="Equation"/>
    <w:pPr>
      <w:spacing w:before="80" w:after="160"/>
    </w:pPr>
    <w:rPr>
      <w:rFonts w:ascii="Cambria Math" w:hAnsi="Cambria Math" w:eastAsia="宋体"/>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方法与实验部分</dc:title>
  <dc:subject>大型多线换乘站整体应急疏散</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