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 xml:space="preserve">2.1 </w:t>
      </w:r>
      <w:r>
        <w:rPr>
          <w:rFonts w:ascii="黑体" w:hAnsi="黑体" w:eastAsia="黑体"/>
          <w:b/>
          <w:i w:val="0"/>
          <w:sz w:val="28"/>
        </w:rPr>
        <w:t>动态客流网络模型</w:t>
      </w:r>
    </w:p>
    <w:p>
      <w:pPr/>
      <w:r>
        <w:rPr>
          <w:rFonts w:ascii="宋体" w:hAnsi="宋体" w:eastAsia="宋体"/>
          <w:b w:val="0"/>
          <w:i w:val="0"/>
          <w:sz w:val="21"/>
        </w:rPr>
        <w:t>本文将地铁站内部空间表示为具有方向性、节点接纳能力和共享设施服务能力的动态客流网络。该网络用于描述站内空间拓扑、设施瓶颈和客流加载过程；具体路径由后续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AA* </w:t>
      </w:r>
      <w:r>
        <w:rPr>
          <w:rFonts w:ascii="宋体" w:hAnsi="宋体" w:eastAsia="宋体"/>
          <w:b w:val="0"/>
          <w:i w:val="0"/>
          <w:sz w:val="21"/>
        </w:rPr>
        <w:t>路径规划模块生成，网络模型负责将路径请求转化为受容量约束的客流运动。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3"/>
        </w:rPr>
        <w:t xml:space="preserve">2.1.1 </w:t>
      </w:r>
      <w:r>
        <w:rPr>
          <w:rFonts w:ascii="黑体" w:hAnsi="黑体" w:eastAsia="黑体"/>
          <w:b/>
          <w:i w:val="0"/>
          <w:sz w:val="23"/>
        </w:rPr>
        <w:t>有向网络表示</w:t>
      </w:r>
    </w:p>
    <w:p>
      <w:pPr/>
      <w:r>
        <w:rPr>
          <w:rFonts w:ascii="宋体" w:hAnsi="宋体" w:eastAsia="宋体"/>
          <w:b w:val="0"/>
          <w:i w:val="0"/>
          <w:sz w:val="21"/>
        </w:rPr>
        <w:t>站内空间表示为有向图</w:t>
      </w:r>
    </w:p>
    <w:p>
      <w:pPr>
        <w:keepLines/>
        <w:spacing w:before="0" w:after="40"/>
        <w:jc w:val="center"/>
      </w:pPr>
      <m:oMathPara>
        <m:oMath>
          <m:r>
            <m:t>G=(N,E)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N </w:t>
      </w:r>
      <w:r>
        <w:rPr>
          <w:rFonts w:ascii="宋体" w:hAnsi="宋体" w:eastAsia="宋体"/>
          <w:b w:val="0"/>
          <w:i w:val="0"/>
          <w:sz w:val="21"/>
        </w:rPr>
        <w:t>为节点集合，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E </w:t>
      </w:r>
      <w:r>
        <w:rPr>
          <w:rFonts w:ascii="宋体" w:hAnsi="宋体" w:eastAsia="宋体"/>
          <w:b w:val="0"/>
          <w:i w:val="0"/>
          <w:sz w:val="21"/>
        </w:rPr>
        <w:t>为有向边集合。节点表示具有明确空间功能的区域，包括客流源点、站台、站厅、通道连接区、垂直交通设施、闸机区域和出口区域等。对于任意有向边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e=(i,j)∈E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o(e)=i </w:t>
      </w:r>
      <w:r>
        <w:rPr>
          <w:rFonts w:ascii="宋体" w:hAnsi="宋体" w:eastAsia="宋体"/>
          <w:b w:val="0"/>
          <w:i w:val="0"/>
          <w:sz w:val="21"/>
        </w:rPr>
        <w:t>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d(e)=j </w:t>
      </w:r>
      <w:r>
        <w:rPr>
          <w:rFonts w:ascii="宋体" w:hAnsi="宋体" w:eastAsia="宋体"/>
          <w:b w:val="0"/>
          <w:i w:val="0"/>
          <w:sz w:val="21"/>
        </w:rPr>
        <w:t>分别表示其起点和终点。</w:t>
      </w:r>
    </w:p>
    <w:p>
      <w:pPr/>
      <w:r>
        <w:rPr>
          <w:rFonts w:ascii="宋体" w:hAnsi="宋体" w:eastAsia="宋体"/>
          <w:b w:val="0"/>
          <w:i w:val="0"/>
          <w:sz w:val="21"/>
        </w:rPr>
        <w:t>每条边具有长度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lₑ</w:t>
      </w:r>
      <w:r>
        <w:rPr>
          <w:rFonts w:ascii="宋体" w:hAnsi="宋体" w:eastAsia="宋体"/>
          <w:b w:val="0"/>
          <w:i w:val="0"/>
          <w:sz w:val="21"/>
        </w:rPr>
        <w:t>、有效面积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Aₑᵉᶠᶠ </w:t>
      </w:r>
      <w:r>
        <w:rPr>
          <w:rFonts w:ascii="宋体" w:hAnsi="宋体" w:eastAsia="宋体"/>
          <w:b w:val="0"/>
          <w:i w:val="0"/>
          <w:sz w:val="21"/>
        </w:rPr>
        <w:t>和自由流速度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v̄ₑ</w:t>
      </w:r>
      <w:r>
        <w:rPr>
          <w:rFonts w:ascii="宋体" w:hAnsi="宋体" w:eastAsia="宋体"/>
          <w:b w:val="0"/>
          <w:i w:val="0"/>
          <w:sz w:val="21"/>
        </w:rPr>
        <w:t>。相应的自由流通行时间为</w:t>
      </w:r>
    </w:p>
    <w:p>
      <w:pPr>
        <w:keepLines/>
        <w:spacing w:before="0" w:after="40"/>
        <w:jc w:val="center"/>
      </w:pPr>
      <m:oMathPara>
        <m:oMath>
          <m:sSup>
            <m:e>
              <m:sSub>
                <m:e>
                  <m:r>
                    <m:t>t</m:t>
                  </m:r>
                </m:e>
                <m:e>
                  <m:r>
                    <m:t>e</m:t>
                  </m:r>
                </m:e>
              </m:sSub>
            </m:e>
            <m:e>
              <m:r>
                <m:t>free</m:t>
              </m:r>
            </m:e>
          </m:sSup>
          <m:r>
            <m:t>=</m:t>
          </m:r>
          <m:f>
            <m:e>
              <m:r>
                <m:t>lₑ</m:t>
              </m:r>
            </m:e>
            <m:e>
              <m:r>
                <m:t>v̄ₑ</m:t>
              </m:r>
            </m:e>
          </m:f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i </w:t>
      </w:r>
      <w:r>
        <w:rPr>
          <w:rFonts w:ascii="宋体" w:hAnsi="宋体" w:eastAsia="宋体"/>
          <w:b w:val="0"/>
          <w:i w:val="0"/>
          <w:sz w:val="21"/>
        </w:rPr>
        <w:t>的空间接纳能力记为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Bᵢ</w:t>
      </w:r>
      <w:r>
        <w:rPr>
          <w:rFonts w:ascii="宋体" w:hAnsi="宋体" w:eastAsia="宋体"/>
          <w:b w:val="0"/>
          <w:i w:val="0"/>
          <w:sz w:val="21"/>
        </w:rPr>
        <w:t>，用于限制进入该节点的客流量。网络拓扑和空间属性由龙阳路地铁站的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CAD </w:t>
      </w:r>
      <w:r>
        <w:rPr>
          <w:rFonts w:ascii="宋体" w:hAnsi="宋体" w:eastAsia="宋体"/>
          <w:b w:val="0"/>
          <w:i w:val="0"/>
          <w:sz w:val="21"/>
        </w:rPr>
        <w:t>几何及设施布置建立，具体的楼层、线路和设施映射在第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3.1 </w:t>
      </w:r>
      <w:r>
        <w:rPr>
          <w:rFonts w:ascii="宋体" w:hAnsi="宋体" w:eastAsia="宋体"/>
          <w:b w:val="0"/>
          <w:i w:val="0"/>
          <w:sz w:val="21"/>
        </w:rPr>
        <w:t>节中说明。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3"/>
        </w:rPr>
        <w:t xml:space="preserve">2.1.2 </w:t>
      </w:r>
      <w:r>
        <w:rPr>
          <w:rFonts w:ascii="黑体" w:hAnsi="黑体" w:eastAsia="黑体"/>
          <w:b/>
          <w:i w:val="0"/>
          <w:sz w:val="23"/>
        </w:rPr>
        <w:t>客流状态与容量约束</w:t>
      </w:r>
    </w:p>
    <w:p>
      <w:pPr/>
      <w:r>
        <w:rPr>
          <w:rFonts w:ascii="宋体" w:hAnsi="宋体" w:eastAsia="宋体"/>
          <w:b w:val="0"/>
          <w:i w:val="0"/>
          <w:sz w:val="21"/>
        </w:rPr>
        <w:t>在离散时刻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tₖ=kΔt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nᵢᵏ⁻ </w:t>
      </w:r>
      <w:r>
        <w:rPr>
          <w:rFonts w:ascii="宋体" w:hAnsi="宋体" w:eastAsia="宋体"/>
          <w:b w:val="0"/>
          <w:i w:val="0"/>
          <w:sz w:val="21"/>
        </w:rPr>
        <w:t>表示时间步开始时节点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i </w:t>
      </w:r>
      <w:r>
        <w:rPr>
          <w:rFonts w:ascii="宋体" w:hAnsi="宋体" w:eastAsia="宋体"/>
          <w:b w:val="0"/>
          <w:i w:val="0"/>
          <w:sz w:val="21"/>
        </w:rPr>
        <w:t>内可被分配的客流量，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zₑᵏ </w:t>
      </w:r>
      <w:r>
        <w:rPr>
          <w:rFonts w:ascii="宋体" w:hAnsi="宋体" w:eastAsia="宋体"/>
          <w:b w:val="0"/>
          <w:i w:val="0"/>
          <w:sz w:val="21"/>
        </w:rPr>
        <w:t>表示正在边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上移动的客流量。设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xₑᵏ </w:t>
      </w:r>
      <w:r>
        <w:rPr>
          <w:rFonts w:ascii="宋体" w:hAnsi="宋体" w:eastAsia="宋体"/>
          <w:b w:val="0"/>
          <w:i w:val="0"/>
          <w:sz w:val="21"/>
        </w:rPr>
        <w:t>为时间步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内从边起点发出的实际客流量，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yₑᵏ </w:t>
      </w:r>
      <w:r>
        <w:rPr>
          <w:rFonts w:ascii="宋体" w:hAnsi="宋体" w:eastAsia="宋体"/>
          <w:b w:val="0"/>
          <w:i w:val="0"/>
          <w:sz w:val="21"/>
        </w:rPr>
        <w:t>为该时间步内到达边终点的客流量，则节点和边上的客流状态更新为</w:t>
      </w:r>
    </w:p>
    <w:p>
      <w:pPr>
        <w:keepLines/>
        <w:spacing w:before="0" w:after="40"/>
        <w:jc w:val="center"/>
      </w:pPr>
      <m:oMathPara>
        <m:oMath>
          <m:r>
            <m:t>nᵢᵏ⁺=nᵢᵏ⁻+aᵢᵏ</m:t>
          </m:r>
        </m:oMath>
      </m:oMathPara>
    </w:p>
    <w:p>
      <w:pPr>
        <w:keepLines/>
        <w:spacing w:before="0" w:after="40"/>
        <w:jc w:val="center"/>
      </w:pPr>
      <m:oMathPara>
        <m:oMath>
          <m:r>
            <m:t>nᵢᵏ⁺¹⁻=nᵢᵏ⁺−</m:t>
          </m:r>
          <m:sSub>
            <m:e>
              <m:r>
                <m:t>Σ</m:t>
              </m:r>
            </m:e>
            <m:e>
              <m:r>
                <m:t>e:o(e)=i</m:t>
              </m:r>
            </m:e>
          </m:sSub>
          <m:r>
            <m:t>xₑᵏ</m:t>
          </m:r>
        </m:oMath>
      </m:oMathPara>
    </w:p>
    <w:p>
      <w:pPr>
        <w:keepLines/>
        <w:spacing w:before="0" w:after="40"/>
        <w:jc w:val="center"/>
      </w:pPr>
      <m:oMathPara>
        <m:oMath>
          <m:r>
            <m:t>zₑᵏ⁺¹=zₑᵏ+xₑᵏ−yₑᵏ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aᵢᵏ=Σ[e:d(e)=i] yₑᵏ </w:t>
      </w:r>
      <w:r>
        <w:rPr>
          <w:rFonts w:ascii="宋体" w:hAnsi="宋体" w:eastAsia="宋体"/>
          <w:b w:val="0"/>
          <w:i w:val="0"/>
          <w:sz w:val="21"/>
        </w:rPr>
        <w:t>表示在时间步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到达节点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i </w:t>
      </w:r>
      <w:r>
        <w:rPr>
          <w:rFonts w:ascii="宋体" w:hAnsi="宋体" w:eastAsia="宋体"/>
          <w:b w:val="0"/>
          <w:i w:val="0"/>
          <w:sz w:val="21"/>
        </w:rPr>
        <w:t>的客流量。批次到达由其连续到达时刻确定：</w:t>
      </w:r>
    </w:p>
    <w:p>
      <w:pPr>
        <w:keepLines/>
        <w:spacing w:before="0" w:after="40"/>
        <w:jc w:val="center"/>
      </w:pPr>
      <m:oMathPara>
        <m:oMath>
          <m:r>
            <m:t>Aₑᵏ={a∣eₐ=e, tₖ₋₁&lt;tₐᵃʳʳ≤tₖ},    yₑᵏ=Σ[a∈Aₑᵏ]mₐ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Aₑᵏ </w:t>
      </w:r>
      <w:r>
        <w:rPr>
          <w:rFonts w:ascii="宋体" w:hAnsi="宋体" w:eastAsia="宋体"/>
          <w:b w:val="0"/>
          <w:i w:val="0"/>
          <w:sz w:val="21"/>
        </w:rPr>
        <w:t>为时间步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内在边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上释放的到达事件集合，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mₐ </w:t>
      </w:r>
      <w:r>
        <w:rPr>
          <w:rFonts w:ascii="宋体" w:hAnsi="宋体" w:eastAsia="宋体"/>
          <w:b w:val="0"/>
          <w:i w:val="0"/>
          <w:sz w:val="21"/>
        </w:rPr>
        <w:t>为批次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a </w:t>
      </w:r>
      <w:r>
        <w:rPr>
          <w:rFonts w:ascii="宋体" w:hAnsi="宋体" w:eastAsia="宋体"/>
          <w:b w:val="0"/>
          <w:i w:val="0"/>
          <w:sz w:val="21"/>
        </w:rPr>
        <w:t>的人数；每个已到达批次只释放一次。由此，客流在节点、边和出口之间满足守恒关系。</w:t>
      </w:r>
    </w:p>
    <w:p>
      <w:pPr/>
      <w:r>
        <w:rPr>
          <w:rFonts w:ascii="宋体" w:hAnsi="宋体" w:eastAsia="宋体"/>
          <w:b w:val="0"/>
          <w:i w:val="0"/>
          <w:sz w:val="21"/>
        </w:rPr>
        <w:t>对于节点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j</w:t>
      </w:r>
      <w:r>
        <w:rPr>
          <w:rFonts w:ascii="宋体" w:hAnsi="宋体" w:eastAsia="宋体"/>
          <w:b w:val="0"/>
          <w:i w:val="0"/>
          <w:sz w:val="21"/>
        </w:rPr>
        <w:t>，除当前占用人数外，还需扣除已从上游出发且已承诺到达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j </w:t>
      </w:r>
      <w:r>
        <w:rPr>
          <w:rFonts w:ascii="宋体" w:hAnsi="宋体" w:eastAsia="宋体"/>
          <w:b w:val="0"/>
          <w:i w:val="0"/>
          <w:sz w:val="21"/>
        </w:rPr>
        <w:t>的在途客流。令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Tᵏ </w:t>
      </w:r>
      <w:r>
        <w:rPr>
          <w:rFonts w:ascii="宋体" w:hAnsi="宋体" w:eastAsia="宋体"/>
          <w:b w:val="0"/>
          <w:i w:val="0"/>
          <w:sz w:val="21"/>
        </w:rPr>
        <w:t>表示时间步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开始时仍在途的已准入批次，则</w:t>
      </w:r>
    </w:p>
    <w:p>
      <w:pPr>
        <w:keepLines/>
        <w:spacing w:before="0" w:after="40"/>
        <w:jc w:val="center"/>
      </w:pPr>
      <m:oMathPara>
        <m:oMath>
          <m:r>
            <m:t>Rⱼᵏ=Σ[a∈Tᵏ]1(vₐ=j)mₐ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Rⱼᵏ </w:t>
      </w:r>
      <w:r>
        <w:rPr>
          <w:rFonts w:ascii="宋体" w:hAnsi="宋体" w:eastAsia="宋体"/>
          <w:b w:val="0"/>
          <w:i w:val="0"/>
          <w:sz w:val="21"/>
        </w:rPr>
        <w:t>是节点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j </w:t>
      </w:r>
      <w:r>
        <w:rPr>
          <w:rFonts w:ascii="宋体" w:hAnsi="宋体" w:eastAsia="宋体"/>
          <w:b w:val="0"/>
          <w:i w:val="0"/>
          <w:sz w:val="21"/>
        </w:rPr>
        <w:t>的在途空间预留量，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1(·) </w:t>
      </w:r>
      <w:r>
        <w:rPr>
          <w:rFonts w:ascii="宋体" w:hAnsi="宋体" w:eastAsia="宋体"/>
          <w:b w:val="0"/>
          <w:i w:val="0"/>
          <w:sz w:val="21"/>
        </w:rPr>
        <w:t>为示性函数。节点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j </w:t>
      </w:r>
      <w:r>
        <w:rPr>
          <w:rFonts w:ascii="宋体" w:hAnsi="宋体" w:eastAsia="宋体"/>
          <w:b w:val="0"/>
          <w:i w:val="0"/>
          <w:sz w:val="21"/>
        </w:rPr>
        <w:t>的当前可接纳客流量为</w:t>
      </w:r>
    </w:p>
    <w:p>
      <w:pPr>
        <w:keepLines/>
        <w:spacing w:before="0" w:after="40"/>
        <w:jc w:val="center"/>
      </w:pPr>
      <m:oMathPara>
        <m:oMath>
          <m:r>
            <m:t>bⱼᵏ=max(0, Bⱼ−nⱼᵏ⁻−Rⱼᵏ)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客流请求受到起点可用人数、共享资源服务能力和目标节点接纳能力的共同约束：</w:t>
      </w:r>
    </w:p>
    <w:p>
      <w:pPr>
        <w:keepLines/>
        <w:spacing w:before="0" w:after="40"/>
        <w:jc w:val="center"/>
      </w:pPr>
      <m:oMathPara>
        <m:oMath>
          <m:r>
            <m:t>0≤xₑᵏ，    Σ[e:o(e)=i] xₑᵏ≤nᵢᵏ⁺</m:t>
          </m:r>
        </m:oMath>
      </m:oMathPara>
    </w:p>
    <w:p>
      <w:pPr>
        <w:keepLines/>
        <w:spacing w:before="0" w:after="40"/>
        <w:jc w:val="center"/>
      </w:pPr>
      <m:oMathPara>
        <m:oMath>
          <m:r>
            <m:t>Σ[e∈Eᵣ]xₑᵏ≤Cᵣᵏ，    Σ[e:d(e)=j]xₑᵏ≤bⱼᵏ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此外，有限通道的空间存储能力单独约束进入边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的客流。令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ρ_rec </w:t>
      </w:r>
      <w:r>
        <w:rPr>
          <w:rFonts w:ascii="宋体" w:hAnsi="宋体" w:eastAsia="宋体"/>
          <w:b w:val="0"/>
          <w:i w:val="0"/>
          <w:sz w:val="21"/>
        </w:rPr>
        <w:t>为边接纳密度上限，边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的可接纳余量为</w:t>
      </w:r>
    </w:p>
    <w:p>
      <w:pPr>
        <w:keepLines/>
        <w:spacing w:before="0" w:after="40"/>
        <w:jc w:val="center"/>
      </w:pPr>
      <m:oMathPara>
        <m:oMath>
          <m:r>
            <m:t>hₑᵏ=max(0,⌊Aₑᵉᶠᶠ</m:t>
          </m:r>
          <m:sSub>
            <m:e>
              <m:r>
                <m:t>ρ</m:t>
              </m:r>
            </m:e>
            <m:e>
              <m:r>
                <m:t>rec</m:t>
              </m:r>
            </m:e>
          </m:sSub>
          <m:r>
            <m:t>⌋−zₑᵏ)</m:t>
          </m:r>
        </m:oMath>
      </m:oMathPara>
    </w:p>
    <w:p>
      <w:pPr>
        <w:keepLines/>
        <w:spacing w:before="0" w:after="40"/>
        <w:jc w:val="center"/>
      </w:pPr>
      <m:oMathPara>
        <m:oMath>
          <m:r>
            <m:t>xₑᵏ≤hₑᵏ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hₑᵏ </w:t>
      </w:r>
      <w:r>
        <w:rPr>
          <w:rFonts w:ascii="宋体" w:hAnsi="宋体" w:eastAsia="宋体"/>
          <w:b w:val="0"/>
          <w:i w:val="0"/>
          <w:sz w:val="21"/>
        </w:rPr>
        <w:t>表示边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在当前时间步的剩余空间接纳能力。模型先按共享资源服务容量进行整数化分配，再施加边存储和目标节点接纳约束；未被接受的客流保留在原节点，并在后续时间步重新参与分配，同一时间步内被下游空间限制拒绝的客流不再触发资源容量回填。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3"/>
        </w:rPr>
        <w:t xml:space="preserve">2.1.3 </w:t>
      </w:r>
      <w:r>
        <w:rPr>
          <w:rFonts w:ascii="黑体" w:hAnsi="黑体" w:eastAsia="黑体"/>
          <w:b/>
          <w:i w:val="0"/>
          <w:sz w:val="23"/>
        </w:rPr>
        <w:t>共享设施资源映射</w:t>
      </w:r>
    </w:p>
    <w:p>
      <w:pPr/>
      <w:r>
        <w:rPr>
          <w:rFonts w:ascii="宋体" w:hAnsi="宋体" w:eastAsia="宋体"/>
          <w:b w:val="0"/>
          <w:i w:val="0"/>
          <w:sz w:val="21"/>
        </w:rPr>
        <w:t>为避免多条网络边重复计算同一设施的通行能力，本文引入共享资源集合</w:t>
      </w:r>
    </w:p>
    <w:p>
      <w:pPr>
        <w:keepLines/>
        <w:spacing w:before="0" w:after="40"/>
        <w:jc w:val="center"/>
      </w:pPr>
      <m:oMathPara>
        <m:oMath>
          <m:r>
            <m:t>ℛ=ℛ_edge∪ℛ_fac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ℛ_edge </w:t>
      </w:r>
      <w:r>
        <w:rPr>
          <w:rFonts w:ascii="宋体" w:hAnsi="宋体" w:eastAsia="宋体"/>
          <w:b w:val="0"/>
          <w:i w:val="0"/>
          <w:sz w:val="21"/>
        </w:rPr>
        <w:t>表示普通通道的有向边资源，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ℛ_fac </w:t>
      </w:r>
      <w:r>
        <w:rPr>
          <w:rFonts w:ascii="宋体" w:hAnsi="宋体" w:eastAsia="宋体"/>
          <w:b w:val="0"/>
          <w:i w:val="0"/>
          <w:sz w:val="21"/>
        </w:rPr>
        <w:t>表示楼梯、自动扶梯和闸机等设施资源，二者不相交。定义边到资源的映射函数</w:t>
      </w:r>
    </w:p>
    <w:p>
      <w:pPr>
        <w:keepLines/>
        <w:spacing w:before="0" w:after="40"/>
        <w:jc w:val="center"/>
      </w:pPr>
      <m:oMathPara>
        <m:oMath>
          <m:r>
            <m:t>π:E→ℛ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并令</w:t>
      </w:r>
    </w:p>
    <w:p>
      <w:pPr>
        <w:keepLines/>
        <w:spacing w:before="0" w:after="40"/>
        <w:jc w:val="center"/>
      </w:pPr>
      <m:oMathPara>
        <m:oMath>
          <m:r>
            <m:t>Eᵣ={e∈E∣π(e)=r}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普通通道边分别对应独立的有向边资源；所有进入同一楼梯、自动扶梯或闸机的网络边均映射到同一个设施资源。因此，多条进入边共同受到该设施服务能力的约束，而不会将同一设施的容量重复计入。</w:t>
      </w:r>
    </w:p>
    <w:p>
      <w:pPr/>
      <w:r>
        <w:rPr>
          <w:rFonts w:ascii="宋体" w:hAnsi="宋体" w:eastAsia="宋体"/>
          <w:b w:val="0"/>
          <w:i w:val="0"/>
          <w:sz w:val="21"/>
        </w:rPr>
        <w:t>资源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r </w:t>
      </w:r>
      <w:r>
        <w:rPr>
          <w:rFonts w:ascii="宋体" w:hAnsi="宋体" w:eastAsia="宋体"/>
          <w:b w:val="0"/>
          <w:i w:val="0"/>
          <w:sz w:val="21"/>
        </w:rPr>
        <w:t>的时间步服务容量表示为</w:t>
      </w:r>
    </w:p>
    <w:p>
      <w:pPr>
        <w:keepLines/>
        <w:spacing w:before="0" w:after="40"/>
        <w:jc w:val="center"/>
      </w:pPr>
      <m:oMathPara>
        <m:oMath>
          <m:r>
            <m:t>Cᵣᵏ=⌊μᵣΔt+ξᵣᵏ⌋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μᵣ </w:t>
      </w:r>
      <w:r>
        <w:rPr>
          <w:rFonts w:ascii="宋体" w:hAnsi="宋体" w:eastAsia="宋体"/>
          <w:b w:val="0"/>
          <w:i w:val="0"/>
          <w:sz w:val="21"/>
        </w:rPr>
        <w:t>为资源服务率，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ξᵣᵏ </w:t>
      </w:r>
      <w:r>
        <w:rPr>
          <w:rFonts w:ascii="宋体" w:hAnsi="宋体" w:eastAsia="宋体"/>
          <w:b w:val="0"/>
          <w:i w:val="0"/>
          <w:sz w:val="21"/>
        </w:rPr>
        <w:t>为容量离散化产生的剩余容量。对于普通通道资源，有</w:t>
      </w:r>
    </w:p>
    <w:p>
      <w:pPr>
        <w:keepLines/>
        <w:spacing w:before="0" w:after="40"/>
        <w:jc w:val="center"/>
      </w:pPr>
      <m:oMathPara>
        <m:oMath>
          <m:r>
            <m:t>μ₍π(e)₎=cₑ，    π(e)∈ℛ_edge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cₑ </w:t>
      </w:r>
      <w:r>
        <w:rPr>
          <w:rFonts w:ascii="宋体" w:hAnsi="宋体" w:eastAsia="宋体"/>
          <w:b w:val="0"/>
          <w:i w:val="0"/>
          <w:sz w:val="21"/>
        </w:rPr>
        <w:t>为边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的通行能力；对于楼梯、自动扶梯和闸机，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μᵣ </w:t>
      </w:r>
      <w:r>
        <w:rPr>
          <w:rFonts w:ascii="宋体" w:hAnsi="宋体" w:eastAsia="宋体"/>
          <w:b w:val="0"/>
          <w:i w:val="0"/>
          <w:sz w:val="21"/>
        </w:rPr>
        <w:t>由相应设施的服务参数确定。具体的整数化分配和同一资源内的请求排序属于客流执行算法，不在网络拓扑定义中展开。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sz w:val="23"/>
        </w:rPr>
        <w:t xml:space="preserve">2.1.4 </w:t>
      </w:r>
      <w:r>
        <w:rPr>
          <w:rFonts w:ascii="黑体" w:hAnsi="黑体" w:eastAsia="黑体"/>
          <w:b/>
          <w:i w:val="0"/>
          <w:sz w:val="23"/>
        </w:rPr>
        <w:t>通行时间与密度修正</w:t>
      </w:r>
    </w:p>
    <w:p>
      <w:pPr/>
      <w:r>
        <w:rPr>
          <w:rFonts w:ascii="宋体" w:hAnsi="宋体" w:eastAsia="宋体"/>
          <w:b w:val="0"/>
          <w:i w:val="0"/>
          <w:sz w:val="21"/>
        </w:rPr>
        <w:t>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上的客流密度定义为</w:t>
      </w:r>
    </w:p>
    <w:p>
      <w:pPr>
        <w:keepLines/>
        <w:spacing w:before="0" w:after="40"/>
        <w:jc w:val="center"/>
      </w:pPr>
      <m:oMathPara>
        <m:oMath>
          <m:r>
            <m:t>ρₑᵏ=</m:t>
          </m:r>
          <m:f>
            <m:e>
              <m:r>
                <m:t>zₑᵏ</m:t>
              </m:r>
            </m:e>
            <m:e>
              <m:r>
                <m:t>Aₑᵉᶠᶠ</m:t>
              </m:r>
            </m:e>
          </m:f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其中，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zₑᵏ </w:t>
      </w:r>
      <w:r>
        <w:rPr>
          <w:rFonts w:ascii="宋体" w:hAnsi="宋体" w:eastAsia="宋体"/>
          <w:b w:val="0"/>
          <w:i w:val="0"/>
          <w:sz w:val="21"/>
        </w:rPr>
        <w:t>为时间步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内正在边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上移动的客流量，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Aₑᵉᶠᶠ </w:t>
      </w:r>
      <w:r>
        <w:rPr>
          <w:rFonts w:ascii="宋体" w:hAnsi="宋体" w:eastAsia="宋体"/>
          <w:b w:val="0"/>
          <w:i w:val="0"/>
          <w:sz w:val="21"/>
        </w:rPr>
        <w:t>为该边的有效面积。有效面积由网络几何和有效通行宽度确定，具体参数在第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3.1 </w:t>
      </w:r>
      <w:r>
        <w:rPr>
          <w:rFonts w:ascii="宋体" w:hAnsi="宋体" w:eastAsia="宋体"/>
          <w:b w:val="0"/>
          <w:i w:val="0"/>
          <w:sz w:val="21"/>
        </w:rPr>
        <w:t>节和参数表中给出。</w:t>
      </w:r>
    </w:p>
    <w:p>
      <w:pPr/>
      <w:r>
        <w:rPr>
          <w:rFonts w:ascii="宋体" w:hAnsi="宋体" w:eastAsia="宋体"/>
          <w:b w:val="0"/>
          <w:i w:val="0"/>
          <w:sz w:val="21"/>
        </w:rPr>
        <w:t>本文采用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Meng </w:t>
      </w:r>
      <w:r>
        <w:rPr>
          <w:rFonts w:ascii="宋体" w:hAnsi="宋体" w:eastAsia="宋体"/>
          <w:b w:val="0"/>
          <w:i w:val="0"/>
          <w:sz w:val="21"/>
        </w:rPr>
        <w:t>等（</w:t>
      </w:r>
      <w:r>
        <w:rPr>
          <w:rFonts w:ascii="Times New Roman" w:hAnsi="Times New Roman" w:eastAsia="Times New Roman"/>
          <w:b w:val="0"/>
          <w:i w:val="0"/>
          <w:sz w:val="21"/>
        </w:rPr>
        <w:t>2022</w:t>
      </w:r>
      <w:r>
        <w:rPr>
          <w:rFonts w:ascii="宋体" w:hAnsi="宋体" w:eastAsia="宋体"/>
          <w:b w:val="0"/>
          <w:i w:val="0"/>
          <w:sz w:val="21"/>
        </w:rPr>
        <w:t>）使用的速度</w:t>
      </w:r>
      <w:r>
        <w:rPr>
          <w:rFonts w:ascii="Times New Roman" w:hAnsi="Times New Roman" w:eastAsia="Times New Roman"/>
          <w:b w:val="0"/>
          <w:i w:val="0"/>
          <w:sz w:val="21"/>
        </w:rPr>
        <w:t>—</w:t>
      </w:r>
      <w:r>
        <w:rPr>
          <w:rFonts w:ascii="宋体" w:hAnsi="宋体" w:eastAsia="宋体"/>
          <w:b w:val="0"/>
          <w:i w:val="0"/>
          <w:sz w:val="21"/>
        </w:rPr>
        <w:t>密度关系：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fd_piecewise_formu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宋体" w:hAnsi="宋体" w:eastAsia="宋体"/>
          <w:b w:val="0"/>
          <w:i w:val="0"/>
          <w:sz w:val="21"/>
        </w:rPr>
        <w:t>其中，速度单位为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m·s⁻¹</w:t>
      </w:r>
      <w:r>
        <w:rPr>
          <w:rFonts w:ascii="宋体" w:hAnsi="宋体" w:eastAsia="宋体"/>
          <w:b w:val="0"/>
          <w:i w:val="0"/>
          <w:sz w:val="21"/>
        </w:rPr>
        <w:t>，密度单位为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persons·m⁻²</w:t>
      </w:r>
      <w:r>
        <w:rPr>
          <w:rFonts w:ascii="宋体" w:hAnsi="宋体" w:eastAsia="宋体"/>
          <w:b w:val="0"/>
          <w:i w:val="0"/>
          <w:sz w:val="21"/>
        </w:rPr>
        <w:t>。考虑不同通道和设施的自由流速度限制，边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e </w:t>
      </w:r>
      <w:r>
        <w:rPr>
          <w:rFonts w:ascii="宋体" w:hAnsi="宋体" w:eastAsia="宋体"/>
          <w:b w:val="0"/>
          <w:i w:val="0"/>
          <w:sz w:val="21"/>
        </w:rPr>
        <w:t>在时间步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k </w:t>
      </w:r>
      <w:r>
        <w:rPr>
          <w:rFonts w:ascii="宋体" w:hAnsi="宋体" w:eastAsia="宋体"/>
          <w:b w:val="0"/>
          <w:i w:val="0"/>
          <w:sz w:val="21"/>
        </w:rPr>
        <w:t>的实际行走速度取为</w:t>
      </w:r>
    </w:p>
    <w:p>
      <w:pPr>
        <w:keepLines/>
        <w:spacing w:before="0" w:after="40"/>
        <w:jc w:val="center"/>
      </w:pPr>
      <m:oMathPara>
        <m:oMath>
          <m:r>
            <m:t>vₑᵏ=min(v̄ₑ, vFD(ρₑᵏ))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相应的连续时间通行时间和预计到达时刻为</w:t>
      </w:r>
    </w:p>
    <w:p>
      <w:pPr>
        <w:keepLines/>
        <w:spacing w:before="0" w:after="40"/>
        <w:jc w:val="center"/>
      </w:pPr>
      <m:oMathPara>
        <m:oMath>
          <m:r>
            <m:t>τₑᵏ=</m:t>
          </m:r>
          <m:f>
            <m:e>
              <m:r>
                <m:t>lₑ</m:t>
              </m:r>
            </m:e>
            <m:e>
              <m:r>
                <m:t>vₑᵏ</m:t>
              </m:r>
            </m:e>
          </m:f>
          <m:r>
            <m:t>，    tₑarr=tₖ+τₑᵏ</m:t>
          </m:r>
        </m:oMath>
      </m:oMathPara>
    </w:p>
    <w:p>
      <w:pPr/>
      <w:r>
        <w:rPr>
          <w:rFonts w:ascii="宋体" w:hAnsi="宋体" w:eastAsia="宋体"/>
          <w:b w:val="0"/>
          <w:i w:val="0"/>
          <w:sz w:val="21"/>
        </w:rPr>
        <w:t>该到达时刻用于后续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 AA* </w:t>
      </w:r>
      <w:r>
        <w:rPr>
          <w:rFonts w:ascii="宋体" w:hAnsi="宋体" w:eastAsia="宋体"/>
          <w:b w:val="0"/>
          <w:i w:val="0"/>
          <w:sz w:val="21"/>
        </w:rPr>
        <w:t>的队列预测和路径代价计算，而不改变本节对网络拓扑、客流守恒和容量约束的定义。</w:t>
      </w:r>
    </w:p>
    <w:sectPr w:rsidR="00FC693F" w:rsidRPr="0006063C" w:rsidSect="00034616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