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XGBoost Baseline Model: Experimental Report</w:t>
      </w:r>
    </w:p>
    <w:p>
      <w:pPr>
        <w:jc w:val="center"/>
      </w:pPr>
      <w:r>
        <w:rPr>
          <w:i/>
          <w:sz w:val="28"/>
        </w:rPr>
        <w:t>How We Conducted the Experiment and Discussion of Results</w:t>
      </w:r>
    </w:p>
    <w:p/>
    <w:p>
      <w:pPr>
        <w:jc w:val="center"/>
      </w:pPr>
      <w:r>
        <w:rPr>
          <w:b/>
        </w:rPr>
        <w:t xml:space="preserve">Project: </w:t>
      </w:r>
      <w:r>
        <w:t>SOC Analyst Triage AI Assistant</w:t>
        <w:br/>
      </w:r>
      <w:r>
        <w:rPr>
          <w:b/>
        </w:rPr>
        <w:t xml:space="preserve">Team Members: </w:t>
      </w:r>
      <w:r>
        <w:t>Napo Qheku &amp; Kabelo Thesele</w:t>
        <w:br/>
      </w:r>
      <w:r>
        <w:rPr>
          <w:b/>
        </w:rPr>
        <w:t xml:space="preserve">Supervisor: </w:t>
      </w:r>
      <w:r>
        <w:t>Mr. Lekuba Ntoane</w:t>
        <w:br/>
      </w:r>
      <w:r>
        <w:rPr>
          <w:b/>
        </w:rPr>
        <w:t xml:space="preserve">Institution: </w:t>
      </w:r>
      <w:r>
        <w:t>National University of Lesotho</w:t>
        <w:br/>
      </w:r>
      <w:r>
        <w:rPr>
          <w:b/>
        </w:rPr>
        <w:t xml:space="preserve">Date: </w:t>
      </w:r>
      <w:r>
        <w:t>February 2026</w:t>
      </w:r>
    </w:p>
    <w:p>
      <w:r>
        <w:br w:type="page"/>
      </w:r>
    </w:p>
    <w:p>
      <w:pPr>
        <w:pStyle w:val="Heading1"/>
      </w:pPr>
      <w:r>
        <w:t>1. How We Conducted the Experiment</w:t>
      </w:r>
    </w:p>
    <w:p>
      <w:r>
        <w:t>This section describes our experimental methodology for establishing the XGBoost baseline model, following standard machine learning practices and drawing upon methodologies from the AACT framework (Turcotte et al., 2025) and similar intrusion detection research.</w:t>
      </w:r>
    </w:p>
    <w:p>
      <w:pPr>
        <w:pStyle w:val="Heading2"/>
      </w:pPr>
      <w:r>
        <w:t>1.1 Dataset and Preprocessing</w:t>
      </w:r>
    </w:p>
    <w:p>
      <w:r>
        <w:t>We utilized the UNSW-NB15 dataset (Moustafa &amp; Slay, 2015), a comprehensive network intrusion detection dataset containing both normal activities and contemporary attack behaviors.</w:t>
      </w:r>
    </w:p>
    <w:p>
      <w:r>
        <w:rPr>
          <w:b/>
        </w:rPr>
        <w:t>Dataset Characteristics:</w:t>
        <w:br/>
      </w:r>
      <w:r>
        <w:rPr>
          <w:b/>
        </w:rPr>
        <w:t xml:space="preserve">• Total network flows: </w:t>
      </w:r>
      <w:r>
        <w:t>257,673</w:t>
        <w:br/>
      </w:r>
      <w:r>
        <w:rPr>
          <w:b/>
        </w:rPr>
        <w:t xml:space="preserve">• Training set: </w:t>
      </w:r>
      <w:r>
        <w:t>175,341 flows (68%)</w:t>
        <w:br/>
      </w:r>
      <w:r>
        <w:rPr>
          <w:b/>
        </w:rPr>
        <w:t xml:space="preserve">• Testing set: </w:t>
      </w:r>
      <w:r>
        <w:t>82,332 flows (32%)</w:t>
        <w:br/>
      </w:r>
      <w:r>
        <w:rPr>
          <w:b/>
        </w:rPr>
        <w:t xml:space="preserve">• Original features: </w:t>
      </w:r>
      <w:r>
        <w:t>49</w:t>
        <w:br/>
      </w:r>
      <w:r>
        <w:rPr>
          <w:b/>
        </w:rPr>
        <w:t xml:space="preserve">• Features after encoding: </w:t>
      </w:r>
      <w:r>
        <w:t>194 (one-hot encoded categorical variables)</w:t>
      </w:r>
    </w:p>
    <w:p>
      <w:r>
        <w:t>Preprocessing involved one-hot encoding of categorical features (protocol, service, connection state) to transform them into numerical representations suitable for tree-based algorithms. No feature scaling was applied, as tree-based methods like XGBoost are invariant to monotonic transformations of features.</w:t>
      </w:r>
    </w:p>
    <w:p>
      <w:pPr>
        <w:pStyle w:val="Heading2"/>
      </w:pPr>
      <w:r>
        <w:t>1.2 Train-Validation-Test Methodology</w:t>
      </w:r>
    </w:p>
    <w:p>
      <w:r>
        <w:t>Following best practices in machine learning (Hastie et al., 2009), we employed a three-way data split to ensure unbiased model evaluation:</w:t>
      </w:r>
    </w:p>
    <w:p>
      <w:r>
        <w:rPr>
          <w:b/>
        </w:rPr>
        <w:t>1. Training Set (140,272 flows, 80% of training data)</w:t>
        <w:br/>
      </w:r>
      <w:r>
        <w:t xml:space="preserve">   Used for: Model fitting and learning patterns</w:t>
        <w:br/>
        <w:br/>
      </w:r>
      <w:r>
        <w:rPr>
          <w:b/>
        </w:rPr>
        <w:t>2. Validation Set (35,069 flows, 20% of training data)</w:t>
        <w:br/>
      </w:r>
      <w:r>
        <w:t xml:space="preserve">   Used for: Hyperparameter tuning, early stopping, threshold optimization</w:t>
        <w:br/>
        <w:br/>
      </w:r>
      <w:r>
        <w:rPr>
          <w:b/>
        </w:rPr>
        <w:t>3. Test Set (82,332 flows, completely held-out)</w:t>
        <w:br/>
      </w:r>
      <w:r>
        <w:t xml:space="preserve">   Used for: Final unbiased performance evaluation (touched only once)</w:t>
      </w:r>
    </w:p>
    <w:p>
      <w:r>
        <w:t>This approach mirrors the methodology employed in the AACT framework, where the validation set guides model selection while the test set provides an honest estimate of generalization performance. Stratified sampling was used to maintain class distribution across splits, with approximately 55% malicious traffic in all partitions.</w:t>
      </w:r>
    </w:p>
    <w:p>
      <w:pPr>
        <w:pStyle w:val="Heading2"/>
      </w:pPr>
      <w:r>
        <w:t>1.3 Hyperparameter Optimization Strategy</w:t>
      </w:r>
    </w:p>
    <w:p>
      <w:r>
        <w:t>Rather than using default hyperparameters, we conducted systematic hyperparameter optimization using RandomizedSearchCV (Bergstra &amp; Bengio, 2012), which has been shown to be more efficient than exhaustive grid search while achieving comparable performance.</w:t>
      </w:r>
    </w:p>
    <w:p>
      <w:r>
        <w:rPr>
          <w:b/>
        </w:rPr>
        <w:t>Optimization Configuration:</w:t>
        <w:br/>
      </w:r>
      <w:r>
        <w:rPr>
          <w:b/>
        </w:rPr>
        <w:t xml:space="preserve">• Search method: </w:t>
      </w:r>
      <w:r>
        <w:t>RandomizedSearchCV</w:t>
        <w:br/>
      </w:r>
      <w:r>
        <w:rPr>
          <w:b/>
        </w:rPr>
        <w:t xml:space="preserve">• Number of iterations: </w:t>
      </w:r>
      <w:r>
        <w:t>50 random hyperparameter combinations</w:t>
        <w:br/>
      </w:r>
      <w:r>
        <w:rPr>
          <w:b/>
        </w:rPr>
        <w:t xml:space="preserve">• Cross-validation: </w:t>
      </w:r>
      <w:r>
        <w:t>3-fold stratified CV</w:t>
        <w:br/>
      </w:r>
      <w:r>
        <w:rPr>
          <w:b/>
        </w:rPr>
        <w:t xml:space="preserve">• Optimization metric: </w:t>
      </w:r>
      <w:r>
        <w:t>F1-score (balances precision and recall)</w:t>
        <w:br/>
      </w:r>
      <w:r>
        <w:rPr>
          <w:b/>
        </w:rPr>
        <w:t xml:space="preserve">• Total model evaluations: </w:t>
      </w:r>
      <w:r>
        <w:t>150 (50 configurations × 3 folds)</w:t>
      </w:r>
    </w:p>
    <w:p>
      <w:r>
        <w:t>The search space included key XGBoost hyperparameters: number of estimators (100-300), maximum tree depth (4-8), learning rate (0.05-0.2), subsample ratio (0.7-0.9), and column sampling ratio (0.7-0.9). This comprehensive search identified the optimal configuration for our specific dataset and task.</w:t>
      </w:r>
    </w:p>
    <w:p>
      <w:pPr>
        <w:pStyle w:val="Heading3"/>
      </w:pPr>
      <w:r>
        <w:t>Optimal Hyperparameters Found: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Hyperparameter</w:t>
            </w:r>
          </w:p>
        </w:tc>
        <w:tc>
          <w:tcPr>
            <w:tcW w:type="dxa" w:w="3120"/>
          </w:tcPr>
          <w:p>
            <w:r>
              <w:t>Optimal Value</w:t>
            </w:r>
          </w:p>
        </w:tc>
        <w:tc>
          <w:tcPr>
            <w:tcW w:type="dxa" w:w="3120"/>
          </w:tcPr>
          <w:p>
            <w:r>
              <w:t>Interpretation</w:t>
            </w:r>
          </w:p>
        </w:tc>
      </w:tr>
      <w:tr>
        <w:tc>
          <w:tcPr>
            <w:tcW w:type="dxa" w:w="3120"/>
          </w:tcPr>
          <w:p>
            <w:r>
              <w:t>n_estimators</w:t>
            </w:r>
          </w:p>
        </w:tc>
        <w:tc>
          <w:tcPr>
            <w:tcW w:type="dxa" w:w="3120"/>
          </w:tcPr>
          <w:p>
            <w:r>
              <w:t>200</w:t>
            </w:r>
          </w:p>
        </w:tc>
        <w:tc>
          <w:tcPr>
            <w:tcW w:type="dxa" w:w="3120"/>
          </w:tcPr>
          <w:p>
            <w:r>
              <w:t>Number of boosting rounds</w:t>
            </w:r>
          </w:p>
        </w:tc>
      </w:tr>
      <w:tr>
        <w:tc>
          <w:tcPr>
            <w:tcW w:type="dxa" w:w="3120"/>
          </w:tcPr>
          <w:p>
            <w:r>
              <w:t>max_depth</w:t>
            </w:r>
          </w:p>
        </w:tc>
        <w:tc>
          <w:tcPr>
            <w:tcW w:type="dxa" w:w="3120"/>
          </w:tcPr>
          <w:p>
            <w:r>
              <w:t>8</w:t>
            </w:r>
          </w:p>
        </w:tc>
        <w:tc>
          <w:tcPr>
            <w:tcW w:type="dxa" w:w="3120"/>
          </w:tcPr>
          <w:p>
            <w:r>
              <w:t>Maximum tree depth (model complexity)</w:t>
            </w:r>
          </w:p>
        </w:tc>
      </w:tr>
      <w:tr>
        <w:tc>
          <w:tcPr>
            <w:tcW w:type="dxa" w:w="3120"/>
          </w:tcPr>
          <w:p>
            <w:r>
              <w:t>learning_rate</w:t>
            </w:r>
          </w:p>
        </w:tc>
        <w:tc>
          <w:tcPr>
            <w:tcW w:type="dxa" w:w="3120"/>
          </w:tcPr>
          <w:p>
            <w:r>
              <w:t>0.1</w:t>
            </w:r>
          </w:p>
        </w:tc>
        <w:tc>
          <w:tcPr>
            <w:tcW w:type="dxa" w:w="3120"/>
          </w:tcPr>
          <w:p>
            <w:r>
              <w:t>Step size shrinkage</w:t>
            </w:r>
          </w:p>
        </w:tc>
      </w:tr>
      <w:tr>
        <w:tc>
          <w:tcPr>
            <w:tcW w:type="dxa" w:w="3120"/>
          </w:tcPr>
          <w:p>
            <w:r>
              <w:t>subsample</w:t>
            </w:r>
          </w:p>
        </w:tc>
        <w:tc>
          <w:tcPr>
            <w:tcW w:type="dxa" w:w="3120"/>
          </w:tcPr>
          <w:p>
            <w:r>
              <w:t>0.9</w:t>
            </w:r>
          </w:p>
        </w:tc>
        <w:tc>
          <w:tcPr>
            <w:tcW w:type="dxa" w:w="3120"/>
          </w:tcPr>
          <w:p>
            <w:r>
              <w:t>Row sampling ratio (regularization)</w:t>
            </w:r>
          </w:p>
        </w:tc>
      </w:tr>
      <w:tr>
        <w:tc>
          <w:tcPr>
            <w:tcW w:type="dxa" w:w="3120"/>
          </w:tcPr>
          <w:p>
            <w:r>
              <w:t>colsample_bytree</w:t>
            </w:r>
          </w:p>
        </w:tc>
        <w:tc>
          <w:tcPr>
            <w:tcW w:type="dxa" w:w="3120"/>
          </w:tcPr>
          <w:p>
            <w:r>
              <w:t>0.7</w:t>
            </w:r>
          </w:p>
        </w:tc>
        <w:tc>
          <w:tcPr>
            <w:tcW w:type="dxa" w:w="3120"/>
          </w:tcPr>
          <w:p>
            <w:r>
              <w:t>Column sampling ratio (regularization)</w:t>
            </w:r>
          </w:p>
        </w:tc>
      </w:tr>
      <w:tr>
        <w:tc>
          <w:tcPr>
            <w:tcW w:type="dxa" w:w="3120"/>
          </w:tcPr>
          <w:p>
            <w:r>
              <w:t>min_child_weight</w:t>
            </w:r>
          </w:p>
        </w:tc>
        <w:tc>
          <w:tcPr>
            <w:tcW w:type="dxa" w:w="3120"/>
          </w:tcPr>
          <w:p>
            <w:r>
              <w:t>1</w:t>
            </w:r>
          </w:p>
        </w:tc>
        <w:tc>
          <w:tcPr>
            <w:tcW w:type="dxa" w:w="3120"/>
          </w:tcPr>
          <w:p>
            <w:r>
              <w:t>Minimum sum of instance weight in child</w:t>
            </w:r>
          </w:p>
        </w:tc>
      </w:tr>
      <w:tr>
        <w:tc>
          <w:tcPr>
            <w:tcW w:type="dxa" w:w="3120"/>
          </w:tcPr>
          <w:p>
            <w:r>
              <w:t>gamma</w:t>
            </w:r>
          </w:p>
        </w:tc>
        <w:tc>
          <w:tcPr>
            <w:tcW w:type="dxa" w:w="3120"/>
          </w:tcPr>
          <w:p>
            <w:r>
              <w:t>0.1</w:t>
            </w:r>
          </w:p>
        </w:tc>
        <w:tc>
          <w:tcPr>
            <w:tcW w:type="dxa" w:w="3120"/>
          </w:tcPr>
          <w:p>
            <w:r>
              <w:t>Minimum loss reduction for split</w:t>
            </w:r>
          </w:p>
        </w:tc>
      </w:tr>
    </w:tbl>
    <w:p>
      <w:pPr>
        <w:pStyle w:val="Heading2"/>
      </w:pPr>
      <w:r>
        <w:t>1.4 Model Training and Monitoring</w:t>
      </w:r>
    </w:p>
    <w:p>
      <w:r>
        <w:t>The final model was trained using the optimal hyperparameters with evaluation sets for both training and validation data. This enabled monitoring of learning curves throughout training to detect potential overfitting or underfitting issues.</w:t>
      </w:r>
    </w:p>
    <w:p>
      <w:r>
        <w:rPr>
          <w:b/>
        </w:rPr>
        <w:t>Training Configuration:</w:t>
        <w:br/>
      </w:r>
      <w:r>
        <w:t>• Algorithm: XGBoost (Gradient Boosting)</w:t>
        <w:br/>
      </w:r>
      <w:r>
        <w:t>• Objective: Binary logistic regression</w:t>
        <w:br/>
      </w:r>
      <w:r>
        <w:t>• Eval metrics: Log loss and classification error</w:t>
        <w:br/>
      </w:r>
      <w:r>
        <w:t>• Training time: ~15-20 minutes on Google Colab (T4 GPU)</w:t>
        <w:br/>
      </w:r>
      <w:r>
        <w:t>• Random seed: 42 (for reproducibility)</w:t>
      </w:r>
    </w:p>
    <w:p>
      <w:r>
        <w:br w:type="page"/>
      </w:r>
    </w:p>
    <w:p>
      <w:pPr>
        <w:pStyle w:val="Heading1"/>
      </w:pPr>
      <w:r>
        <w:t>2. Results Discussion Following Research Literature</w:t>
      </w:r>
    </w:p>
    <w:p>
      <w:r>
        <w:t>This section presents our results following conventions established in similar intrusion detection and alert triage research. We structure the discussion around: (1) quantitative evaluation metrics, (2) model performance analysis with overfitting/underfitting assessment, and (3) qualitative analysis of predictions.</w:t>
      </w:r>
    </w:p>
    <w:p>
      <w:pPr>
        <w:pStyle w:val="Heading2"/>
      </w:pPr>
      <w:r>
        <w:t>2.1 Results Summary Through Evaluation Metrics</w:t>
      </w:r>
    </w:p>
    <w:p>
      <w:r>
        <w:t>Following the evaluation methodology in the AACT framework (Turcotte et al., 2025) and similar intrusion detection studies (Moustafa &amp; Slay, 2015; Femi-Oyewole et al., 2024), we report multiple performance metrics to provide a comprehensive view of model effectiveness.</w:t>
      </w:r>
    </w:p>
    <w:p>
      <w:pPr>
        <w:pStyle w:val="Heading3"/>
      </w:pPr>
      <w:r>
        <w:t>Why These Metrics Matter in Security Context:</w:t>
      </w:r>
    </w:p>
    <w:p>
      <w:r>
        <w:rPr>
          <w:b/>
        </w:rPr>
        <w:t xml:space="preserve">Accuracy: </w:t>
      </w:r>
      <w:r>
        <w:t>Overall correctness, but can be misleading with imbalanced classes</w:t>
        <w:br/>
        <w:br/>
      </w:r>
      <w:r>
        <w:rPr>
          <w:b/>
        </w:rPr>
        <w:t xml:space="preserve">Precision: </w:t>
      </w:r>
      <w:r>
        <w:t>Of alerts flagged as malicious, how many are actually malicious? High precision reduces analyst workload by minimizing false alarms.</w:t>
        <w:br/>
        <w:br/>
      </w:r>
      <w:r>
        <w:rPr>
          <w:b/>
        </w:rPr>
        <w:t xml:space="preserve">Recall (Sensitivity): </w:t>
      </w:r>
      <w:r>
        <w:t>Of all actual attacks, how many did we detect? This is the MOST CRITICAL metric in security—missing real attacks can lead to breaches. The AACT paper emphasizes: "Maximising recall (true positive rate) is important as misclassifying alerts that would have been added to an investigation can cause real security incidents to be missed."</w:t>
        <w:br/>
        <w:br/>
      </w:r>
      <w:r>
        <w:rPr>
          <w:b/>
        </w:rPr>
        <w:t xml:space="preserve">F1-Score: </w:t>
      </w:r>
      <w:r>
        <w:t>Harmonic mean of precision and recall, providing a balanced measure</w:t>
        <w:br/>
        <w:br/>
      </w:r>
      <w:r>
        <w:rPr>
          <w:b/>
        </w:rPr>
        <w:t xml:space="preserve">ROC-AUC: </w:t>
      </w:r>
      <w:r>
        <w:t>Measures discrimination ability across all possible thresholds</w:t>
      </w:r>
    </w:p>
    <w:p>
      <w:pPr>
        <w:pStyle w:val="Heading3"/>
      </w:pPr>
      <w:r>
        <w:t>Test Set Performance (Final Evaluation):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Our XGBoost</w:t>
            </w:r>
          </w:p>
        </w:tc>
        <w:tc>
          <w:tcPr>
            <w:tcW w:type="dxa" w:w="3120"/>
          </w:tcPr>
          <w:p>
            <w:r>
              <w:t>Security Interpretation</w:t>
            </w:r>
          </w:p>
        </w:tc>
      </w:tr>
      <w:tr>
        <w:tc>
          <w:tcPr>
            <w:tcW w:type="dxa" w:w="3120"/>
          </w:tcPr>
          <w:p>
            <w:r>
              <w:t>Accuracy</w:t>
            </w:r>
          </w:p>
        </w:tc>
        <w:tc>
          <w:tcPr>
            <w:tcW w:type="dxa" w:w="3120"/>
          </w:tcPr>
          <w:p>
            <w:r>
              <w:t>87.17%</w:t>
            </w:r>
          </w:p>
        </w:tc>
        <w:tc>
          <w:tcPr>
            <w:tcW w:type="dxa" w:w="3120"/>
          </w:tcPr>
          <w:p>
            <w:r>
              <w:t>Overall correctness</w:t>
            </w:r>
          </w:p>
        </w:tc>
      </w:tr>
      <w:tr>
        <w:tc>
          <w:tcPr>
            <w:tcW w:type="dxa" w:w="3120"/>
          </w:tcPr>
          <w:p>
            <w:r>
              <w:t>Precision</w:t>
            </w:r>
          </w:p>
        </w:tc>
        <w:tc>
          <w:tcPr>
            <w:tcW w:type="dxa" w:w="3120"/>
          </w:tcPr>
          <w:p>
            <w:r>
              <w:t>81.99%</w:t>
            </w:r>
          </w:p>
        </w:tc>
        <w:tc>
          <w:tcPr>
            <w:tcW w:type="dxa" w:w="3120"/>
          </w:tcPr>
          <w:p>
            <w:r>
              <w:t>82% of flagged alerts are genuine threats</w:t>
            </w:r>
          </w:p>
        </w:tc>
      </w:tr>
      <w:tr>
        <w:tc>
          <w:tcPr>
            <w:tcW w:type="dxa" w:w="3120"/>
          </w:tcPr>
          <w:p>
            <w:r>
              <w:t>Recall</w:t>
            </w:r>
          </w:p>
        </w:tc>
        <w:tc>
          <w:tcPr>
            <w:tcW w:type="dxa" w:w="3120"/>
          </w:tcPr>
          <w:p>
            <w:r>
              <w:t>98.29%</w:t>
            </w:r>
          </w:p>
        </w:tc>
        <w:tc>
          <w:tcPr>
            <w:tcW w:type="dxa" w:w="3120"/>
          </w:tcPr>
          <w:p>
            <w:r>
              <w:t>Caught 98.29% of attacks (CRITICAL)</w:t>
            </w:r>
          </w:p>
        </w:tc>
      </w:tr>
      <w:tr>
        <w:tc>
          <w:tcPr>
            <w:tcW w:type="dxa" w:w="3120"/>
          </w:tcPr>
          <w:p>
            <w:r>
              <w:t>F1-Score</w:t>
            </w:r>
          </w:p>
        </w:tc>
        <w:tc>
          <w:tcPr>
            <w:tcW w:type="dxa" w:w="3120"/>
          </w:tcPr>
          <w:p>
            <w:r>
              <w:t>89.40%</w:t>
            </w:r>
          </w:p>
        </w:tc>
        <w:tc>
          <w:tcPr>
            <w:tcW w:type="dxa" w:w="3120"/>
          </w:tcPr>
          <w:p>
            <w:r>
              <w:t>Balanced precision-recall performance</w:t>
            </w:r>
          </w:p>
        </w:tc>
      </w:tr>
      <w:tr>
        <w:tc>
          <w:tcPr>
            <w:tcW w:type="dxa" w:w="3120"/>
          </w:tcPr>
          <w:p>
            <w:r>
              <w:t>ROC-AUC</w:t>
            </w:r>
          </w:p>
        </w:tc>
        <w:tc>
          <w:tcPr>
            <w:tcW w:type="dxa" w:w="3120"/>
          </w:tcPr>
          <w:p>
            <w:r>
              <w:t>0.9835</w:t>
            </w:r>
          </w:p>
        </w:tc>
        <w:tc>
          <w:tcPr>
            <w:tcW w:type="dxa" w:w="3120"/>
          </w:tcPr>
          <w:p>
            <w:r>
              <w:t>Excellent discrimination capability</w:t>
            </w:r>
          </w:p>
        </w:tc>
      </w:tr>
    </w:tbl>
    <w:p/>
    <w:p>
      <w:pPr>
        <w:pStyle w:val="Heading3"/>
      </w:pPr>
      <w:r>
        <w:t>Confusion Matrix Analysis:</w:t>
      </w:r>
    </w:p>
    <w:p>
      <w:r>
        <w:t>Similar to how the AACT framework presents results, we provide a detailed breakdown of classification outcomes to understand model behavior: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p>
        </w:tc>
        <w:tc>
          <w:tcPr>
            <w:tcW w:type="dxa" w:w="3120"/>
          </w:tcPr>
          <w:p>
            <w:r>
              <w:t>Predicted: Benign</w:t>
            </w:r>
          </w:p>
        </w:tc>
        <w:tc>
          <w:tcPr>
            <w:tcW w:type="dxa" w:w="3120"/>
          </w:tcPr>
          <w:p>
            <w:r>
              <w:t>Predicted: Attack</w:t>
            </w:r>
          </w:p>
        </w:tc>
      </w:tr>
      <w:tr>
        <w:tc>
          <w:tcPr>
            <w:tcW w:type="dxa" w:w="3120"/>
          </w:tcPr>
          <w:p>
            <w:r>
              <w:t>Actual: Benign</w:t>
            </w:r>
          </w:p>
        </w:tc>
        <w:tc>
          <w:tcPr>
            <w:tcW w:type="dxa" w:w="3120"/>
          </w:tcPr>
          <w:p>
            <w:r>
              <w:t>27,212 (TN)</w:t>
            </w:r>
          </w:p>
        </w:tc>
        <w:tc>
          <w:tcPr>
            <w:tcW w:type="dxa" w:w="3120"/>
          </w:tcPr>
          <w:p>
            <w:r>
              <w:t>9,788 (FP)</w:t>
            </w:r>
          </w:p>
        </w:tc>
      </w:tr>
      <w:tr>
        <w:tc>
          <w:tcPr>
            <w:tcW w:type="dxa" w:w="3120"/>
          </w:tcPr>
          <w:p>
            <w:r>
              <w:t>Actual: Attack</w:t>
            </w:r>
          </w:p>
        </w:tc>
        <w:tc>
          <w:tcPr>
            <w:tcW w:type="dxa" w:w="3120"/>
          </w:tcPr>
          <w:p>
            <w:r>
              <w:t>773 (FN) ⚠️</w:t>
            </w:r>
          </w:p>
        </w:tc>
        <w:tc>
          <w:tcPr>
            <w:tcW w:type="dxa" w:w="3120"/>
          </w:tcPr>
          <w:p>
            <w:r>
              <w:t>44,559 (TP) ✓</w:t>
            </w:r>
          </w:p>
        </w:tc>
      </w:tr>
    </w:tbl>
    <w:p/>
    <w:p>
      <w:r>
        <w:rPr>
          <w:b/>
        </w:rPr>
        <w:t>Interpretation (following AACT methodology):</w:t>
        <w:br/>
        <w:br/>
      </w:r>
      <w:r>
        <w:rPr>
          <w:b/>
        </w:rPr>
        <w:t xml:space="preserve">True Positives (44,559): </w:t>
      </w:r>
      <w:r>
        <w:t>Successfully detected 98.29% of all attacks. This high true positive rate is essential for preventing security incidents.</w:t>
        <w:br/>
        <w:br/>
      </w:r>
      <w:r>
        <w:rPr>
          <w:b/>
        </w:rPr>
        <w:t xml:space="preserve">False Negatives (773): </w:t>
      </w:r>
      <w:r>
        <w:t>Only 1.71% of attacks were missed. This False Negative Rate (FNR) of 1.71% compares favorably with the AACT framework's FNR of 9.03% on their internal dataset. In the AACT paper, they note: "a threshold can be chosen such that 34% of alerts can be removed from an analysts' queue with a false negative rate of 1.5%" – our FNR of 1.71% is competitive with this benchmark.</w:t>
        <w:br/>
        <w:br/>
      </w:r>
      <w:r>
        <w:rPr>
          <w:b/>
        </w:rPr>
        <w:t xml:space="preserve">False Positives (9,788): </w:t>
      </w:r>
      <w:r>
        <w:t>26.45% of benign traffic was incorrectly flagged as malicious. While this requires analyst investigation, it is acceptable given our exceptional recall. The AACT paper explicitly prioritizes recall over precision, stating: "missing true critical alerts has a larger negative impact to the business than incorrectly marking alerts as critical."</w:t>
        <w:br/>
        <w:br/>
      </w:r>
      <w:r>
        <w:rPr>
          <w:b/>
        </w:rPr>
        <w:t xml:space="preserve">True Negatives (27,212): </w:t>
      </w:r>
      <w:r>
        <w:t>73.55% of benign traffic correctly identified, reducing unnecessary analyst workload.</w:t>
      </w:r>
    </w:p>
    <w:p>
      <w:pPr>
        <w:pStyle w:val="Heading3"/>
      </w:pPr>
      <w:r>
        <w:t>Comparison with Published Research:</w:t>
      </w:r>
    </w:p>
    <w:p>
      <w:r>
        <w:t>We compare our results with published work on the UNSW-NB15 dataset and alert triage: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Study</w:t>
            </w:r>
          </w:p>
        </w:tc>
        <w:tc>
          <w:tcPr>
            <w:tcW w:type="dxa" w:w="2340"/>
          </w:tcPr>
          <w:p>
            <w:r>
              <w:t>Method</w:t>
            </w:r>
          </w:p>
        </w:tc>
        <w:tc>
          <w:tcPr>
            <w:tcW w:type="dxa" w:w="2340"/>
          </w:tcPr>
          <w:p>
            <w:r>
              <w:t>F1-Score</w:t>
            </w:r>
          </w:p>
        </w:tc>
        <w:tc>
          <w:tcPr>
            <w:tcW w:type="dxa" w:w="2340"/>
          </w:tcPr>
          <w:p>
            <w:r>
              <w:t>Recall</w:t>
            </w:r>
          </w:p>
        </w:tc>
      </w:tr>
      <w:tr>
        <w:tc>
          <w:tcPr>
            <w:tcW w:type="dxa" w:w="2340"/>
          </w:tcPr>
          <w:p>
            <w:r>
              <w:t>AACT (Turcotte et al., 2025)</w:t>
            </w:r>
          </w:p>
        </w:tc>
        <w:tc>
          <w:tcPr>
            <w:tcW w:type="dxa" w:w="2340"/>
          </w:tcPr>
          <w:p>
            <w:r>
              <w:t>Gradient Boosting</w:t>
            </w:r>
          </w:p>
        </w:tc>
        <w:tc>
          <w:tcPr>
            <w:tcW w:type="dxa" w:w="2340"/>
          </w:tcPr>
          <w:p>
            <w:r>
              <w:t>94.95%</w:t>
            </w:r>
          </w:p>
        </w:tc>
        <w:tc>
          <w:tcPr>
            <w:tcW w:type="dxa" w:w="2340"/>
          </w:tcPr>
          <w:p>
            <w:r>
              <w:t>90.97%</w:t>
            </w:r>
          </w:p>
        </w:tc>
      </w:tr>
      <w:tr>
        <w:tc>
          <w:tcPr>
            <w:tcW w:type="dxa" w:w="2340"/>
          </w:tcPr>
          <w:p>
            <w:r>
              <w:t>Femi-Oyewole et al. (2024)</w:t>
            </w:r>
          </w:p>
        </w:tc>
        <w:tc>
          <w:tcPr>
            <w:tcW w:type="dxa" w:w="2340"/>
          </w:tcPr>
          <w:p>
            <w:r>
              <w:t>Ensemble ML</w:t>
            </w:r>
          </w:p>
        </w:tc>
        <w:tc>
          <w:tcPr>
            <w:tcW w:type="dxa" w:w="2340"/>
          </w:tcPr>
          <w:p>
            <w:r>
              <w:t>85-88%</w:t>
            </w:r>
          </w:p>
        </w:tc>
        <w:tc>
          <w:tcPr>
            <w:tcW w:type="dxa" w:w="2340"/>
          </w:tcPr>
          <w:p>
            <w:r>
              <w:t>Not reported</w:t>
            </w:r>
          </w:p>
        </w:tc>
      </w:tr>
      <w:tr>
        <w:tc>
          <w:tcPr>
            <w:tcW w:type="dxa" w:w="2340"/>
          </w:tcPr>
          <w:p>
            <w:r>
              <w:t>Various UNSW-NB15 studies</w:t>
            </w:r>
          </w:p>
        </w:tc>
        <w:tc>
          <w:tcPr>
            <w:tcW w:type="dxa" w:w="2340"/>
          </w:tcPr>
          <w:p>
            <w:r>
              <w:t>Neural Networks</w:t>
            </w:r>
          </w:p>
        </w:tc>
        <w:tc>
          <w:tcPr>
            <w:tcW w:type="dxa" w:w="2340"/>
          </w:tcPr>
          <w:p>
            <w:r>
              <w:t>82-90%</w:t>
            </w:r>
          </w:p>
        </w:tc>
        <w:tc>
          <w:tcPr>
            <w:tcW w:type="dxa" w:w="2340"/>
          </w:tcPr>
          <w:p>
            <w:r>
              <w:t>80-95%</w:t>
            </w:r>
          </w:p>
        </w:tc>
      </w:tr>
      <w:tr>
        <w:tc>
          <w:tcPr>
            <w:tcW w:type="dxa" w:w="2340"/>
          </w:tcPr>
          <w:p>
            <w:r>
              <w:t>Our XGBoost (Optimized)</w:t>
            </w:r>
          </w:p>
        </w:tc>
        <w:tc>
          <w:tcPr>
            <w:tcW w:type="dxa" w:w="2340"/>
          </w:tcPr>
          <w:p>
            <w:r>
              <w:t>XGBoost + HPO</w:t>
            </w:r>
          </w:p>
        </w:tc>
        <w:tc>
          <w:tcPr>
            <w:tcW w:type="dxa" w:w="2340"/>
          </w:tcPr>
          <w:p>
            <w:r>
              <w:t>89.40%</w:t>
            </w:r>
          </w:p>
        </w:tc>
        <w:tc>
          <w:tcPr>
            <w:tcW w:type="dxa" w:w="2340"/>
          </w:tcPr>
          <w:p>
            <w:r>
              <w:t>98.29%</w:t>
            </w:r>
          </w:p>
        </w:tc>
      </w:tr>
    </w:tbl>
    <w:p/>
    <w:p>
      <w:r>
        <w:t>Our model achieves competitive F1-score performance while excelling at recall (98.29%), which is the most critical metric for security applications. The AACT framework on their proprietary dataset achieved 94.95% F1 and 90.97% recall, but our superior recall on the public UNSW-NB15 dataset demonstrates effective pattern learning for attack detection.</w:t>
      </w:r>
    </w:p>
    <w:p>
      <w:r>
        <w:br w:type="page"/>
      </w:r>
    </w:p>
    <w:p>
      <w:pPr>
        <w:pStyle w:val="Heading2"/>
      </w:pPr>
      <w:r>
        <w:t>2.2 Model Performance: Overfitting and Underfitting Analysis</w:t>
      </w:r>
    </w:p>
    <w:p>
      <w:r>
        <w:t>Following standard practice in machine learning research (Goodfellow et al., 2016), we assess model generalization through learning curve analysis and cross-validation to detect overfitting (high variance) or underfitting (high bias).</w:t>
      </w:r>
    </w:p>
    <w:p>
      <w:pPr>
        <w:pStyle w:val="Heading3"/>
      </w:pPr>
      <w:r>
        <w:t>Understanding Overfitting and Underfitting:</w:t>
      </w:r>
    </w:p>
    <w:p>
      <w:r>
        <w:rPr>
          <w:b/>
        </w:rPr>
        <w:t>Underfitting (High Bias):</w:t>
        <w:br/>
      </w:r>
      <w:r>
        <w:t>• Model is too simple to capture data patterns</w:t>
        <w:br/>
      </w:r>
      <w:r>
        <w:t>• Both training and validation error are high</w:t>
        <w:br/>
      </w:r>
      <w:r>
        <w:t>• Learning curves: training and validation error remain high and close</w:t>
        <w:br/>
        <w:br/>
      </w:r>
      <w:r>
        <w:rPr>
          <w:b/>
        </w:rPr>
        <w:t>Overfitting (High Variance):</w:t>
        <w:br/>
      </w:r>
      <w:r>
        <w:t>• Model memorizes training data instead of learning generalizable patterns</w:t>
        <w:br/>
      </w:r>
      <w:r>
        <w:t>• Training error is low but validation error is high</w:t>
        <w:br/>
      </w:r>
      <w:r>
        <w:t>• Learning curves: large gap between training and validation error</w:t>
        <w:br/>
        <w:br/>
      </w:r>
      <w:r>
        <w:rPr>
          <w:b/>
        </w:rPr>
        <w:t>Good Fit (Ideal):</w:t>
        <w:br/>
      </w:r>
      <w:r>
        <w:t>• Model captures underlying patterns without memorization</w:t>
        <w:br/>
      </w:r>
      <w:r>
        <w:t>• Both training and validation error are low</w:t>
        <w:br/>
      </w:r>
      <w:r>
        <w:t>• Learning curves: small, stable gap between training and validation</w:t>
      </w:r>
    </w:p>
    <w:p>
      <w:pPr>
        <w:pStyle w:val="Heading3"/>
      </w:pPr>
      <w:r>
        <w:t>Learning Curve Analysis:</w:t>
      </w:r>
    </w:p>
    <w:p>
      <w:r>
        <w:t>We trained the model with monitoring on both training and validation sets to track learning progression. Below are the learning curves showing log loss and error rate over 200 boosting rounds:</w:t>
      </w:r>
    </w:p>
    <w:p>
      <w:r>
        <w:t>[Figure 1: Learning Curves - Training vs Validation Loss and Error]</w:t>
      </w:r>
    </w:p>
    <w:p>
      <w:r>
        <w:drawing>
          <wp:inline xmlns:a="http://schemas.openxmlformats.org/drawingml/2006/main" xmlns:pic="http://schemas.openxmlformats.org/drawingml/2006/picture">
            <wp:extent cx="5486400" cy="1925726"/>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5486400" cy="1925726"/>
                    </a:xfrm>
                    <a:prstGeom prst="rect"/>
                  </pic:spPr>
                </pic:pic>
              </a:graphicData>
            </a:graphic>
          </wp:inline>
        </w:drawing>
      </w:r>
    </w:p>
    <w:p/>
    <w:p>
      <w:r>
        <w:rPr>
          <w:b/>
        </w:rPr>
        <w:t>Observations from Learning Curves:</w:t>
        <w:br/>
        <w:br/>
      </w:r>
      <w:r>
        <w:rPr>
          <w:b/>
        </w:rPr>
        <w:t xml:space="preserve">1. Convergence Pattern: </w:t>
      </w:r>
      <w:r>
        <w:t>Both training (blue) and validation (orange) loss curves show smooth convergence, decreasing rapidly in early rounds and stabilizing after ~50 rounds. This indicates the model is effectively learning patterns.</w:t>
        <w:br/>
        <w:br/>
      </w:r>
      <w:r>
        <w:rPr>
          <w:b/>
        </w:rPr>
        <w:t xml:space="preserve">2. Training-Validation Gap: </w:t>
      </w:r>
      <w:r>
        <w:t>The gap between training and validation curves is minimal and stable. At the final boosting round, the validation loss is only slightly higher than training loss, indicating healthy generalization without severe overfitting.</w:t>
        <w:br/>
        <w:br/>
      </w:r>
      <w:r>
        <w:rPr>
          <w:b/>
        </w:rPr>
        <w:t xml:space="preserve">3. No Divergence: </w:t>
      </w:r>
      <w:r>
        <w:t>Unlike overfitted models where validation error increases while training error continues to decrease, our curves remain parallel and close. This is a strong indicator of good generalization.</w:t>
        <w:br/>
        <w:br/>
      </w:r>
      <w:r>
        <w:rPr>
          <w:b/>
        </w:rPr>
        <w:t xml:space="preserve">4. Regularization Effectiveness: </w:t>
      </w:r>
      <w:r>
        <w:t>The subsample=0.9 and colsample_bytree=0.7 hyperparameters introduce regularization, preventing the model from memorizing training data. The learning curves confirm this regularization is working as intended.</w:t>
        <w:br/>
        <w:br/>
      </w:r>
      <w:r>
        <w:rPr>
          <w:b/>
        </w:rPr>
        <w:t xml:space="preserve">Conclusion: </w:t>
      </w:r>
      <w:r>
        <w:t>The model exhibits characteristics of a good fit with no evidence of severe overfitting. The stable, small gap between training and validation performance indicates the model has learned generalizable patterns rather than memorizing the training set.</w:t>
      </w:r>
    </w:p>
    <w:p>
      <w:pPr>
        <w:pStyle w:val="Heading3"/>
      </w:pPr>
      <w:r>
        <w:t>Cross-Validation for Robustness Assessment:</w:t>
      </w:r>
    </w:p>
    <w:p>
      <w:r>
        <w:t>To further validate model robustness and check for overfitting, we performed 5-fold stratified cross-validation on the full training set. This technique, standard in machine learning research, provides multiple independent estimates of model performance:</w:t>
      </w:r>
    </w:p>
    <w:p>
      <w:r>
        <w:t>[Figure 2: Cross-Validation Score Distribution and Mean ± Std]</w:t>
      </w:r>
    </w:p>
    <w:p>
      <w:r>
        <w:drawing>
          <wp:inline xmlns:a="http://schemas.openxmlformats.org/drawingml/2006/main" xmlns:pic="http://schemas.openxmlformats.org/drawingml/2006/picture">
            <wp:extent cx="5486400" cy="1931213"/>
            <wp:docPr id="2" name="Picture 2"/>
            <wp:cNvGraphicFramePr>
              <a:graphicFrameLocks noChangeAspect="1"/>
            </wp:cNvGraphicFramePr>
            <a:graphic>
              <a:graphicData uri="http://schemas.openxmlformats.org/drawingml/2006/picture">
                <pic:pic>
                  <pic:nvPicPr>
                    <pic:cNvPr id="0" name="cross_validation.png"/>
                    <pic:cNvPicPr/>
                  </pic:nvPicPr>
                  <pic:blipFill>
                    <a:blip r:embed="rId10"/>
                    <a:stretch>
                      <a:fillRect/>
                    </a:stretch>
                  </pic:blipFill>
                  <pic:spPr>
                    <a:xfrm>
                      <a:off x="0" y="0"/>
                      <a:ext cx="5486400" cy="1931213"/>
                    </a:xfrm>
                    <a:prstGeom prst="rect"/>
                  </pic:spPr>
                </pic:pic>
              </a:graphicData>
            </a:graphic>
          </wp:inline>
        </w:drawing>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Mean</w:t>
            </w:r>
          </w:p>
        </w:tc>
        <w:tc>
          <w:tcPr>
            <w:tcW w:type="dxa" w:w="2340"/>
          </w:tcPr>
          <w:p>
            <w:r>
              <w:t>Std Dev</w:t>
            </w:r>
          </w:p>
        </w:tc>
        <w:tc>
          <w:tcPr>
            <w:tcW w:type="dxa" w:w="2340"/>
          </w:tcPr>
          <w:p>
            <w:r>
              <w:t>Interpretation</w:t>
            </w:r>
          </w:p>
        </w:tc>
      </w:tr>
      <w:tr>
        <w:tc>
          <w:tcPr>
            <w:tcW w:type="dxa" w:w="2340"/>
          </w:tcPr>
          <w:p>
            <w:r>
              <w:t>Accuracy</w:t>
            </w:r>
          </w:p>
        </w:tc>
        <w:tc>
          <w:tcPr>
            <w:tcW w:type="dxa" w:w="2340"/>
          </w:tcPr>
          <w:p>
            <w:r>
              <w:t>96.03%</w:t>
            </w:r>
          </w:p>
        </w:tc>
        <w:tc>
          <w:tcPr>
            <w:tcW w:type="dxa" w:w="2340"/>
          </w:tcPr>
          <w:p>
            <w:r>
              <w:t>±0.17%</w:t>
            </w:r>
          </w:p>
        </w:tc>
        <w:tc>
          <w:tcPr>
            <w:tcW w:type="dxa" w:w="2340"/>
          </w:tcPr>
          <w:p>
            <w:r>
              <w:t>Very stable</w:t>
            </w:r>
          </w:p>
        </w:tc>
      </w:tr>
      <w:tr>
        <w:tc>
          <w:tcPr>
            <w:tcW w:type="dxa" w:w="2340"/>
          </w:tcPr>
          <w:p>
            <w:r>
              <w:t>Precision</w:t>
            </w:r>
          </w:p>
        </w:tc>
        <w:tc>
          <w:tcPr>
            <w:tcW w:type="dxa" w:w="2340"/>
          </w:tcPr>
          <w:p>
            <w:r>
              <w:t>96.35%</w:t>
            </w:r>
          </w:p>
        </w:tc>
        <w:tc>
          <w:tcPr>
            <w:tcW w:type="dxa" w:w="2340"/>
          </w:tcPr>
          <w:p>
            <w:r>
              <w:t>±0.15%</w:t>
            </w:r>
          </w:p>
        </w:tc>
        <w:tc>
          <w:tcPr>
            <w:tcW w:type="dxa" w:w="2340"/>
          </w:tcPr>
          <w:p>
            <w:r>
              <w:t>Very stable</w:t>
            </w:r>
          </w:p>
        </w:tc>
      </w:tr>
      <w:tr>
        <w:tc>
          <w:tcPr>
            <w:tcW w:type="dxa" w:w="2340"/>
          </w:tcPr>
          <w:p>
            <w:r>
              <w:t>Recall</w:t>
            </w:r>
          </w:p>
        </w:tc>
        <w:tc>
          <w:tcPr>
            <w:tcW w:type="dxa" w:w="2340"/>
          </w:tcPr>
          <w:p>
            <w:r>
              <w:t>97.87%</w:t>
            </w:r>
          </w:p>
        </w:tc>
        <w:tc>
          <w:tcPr>
            <w:tcW w:type="dxa" w:w="2340"/>
          </w:tcPr>
          <w:p>
            <w:r>
              <w:t>±0.13%</w:t>
            </w:r>
          </w:p>
        </w:tc>
        <w:tc>
          <w:tcPr>
            <w:tcW w:type="dxa" w:w="2340"/>
          </w:tcPr>
          <w:p>
            <w:r>
              <w:t>Consistently high</w:t>
            </w:r>
          </w:p>
        </w:tc>
      </w:tr>
      <w:tr>
        <w:tc>
          <w:tcPr>
            <w:tcW w:type="dxa" w:w="2340"/>
          </w:tcPr>
          <w:p>
            <w:r>
              <w:t>F1-Score</w:t>
            </w:r>
          </w:p>
        </w:tc>
        <w:tc>
          <w:tcPr>
            <w:tcW w:type="dxa" w:w="2340"/>
          </w:tcPr>
          <w:p>
            <w:r>
              <w:t>97.10%</w:t>
            </w:r>
          </w:p>
        </w:tc>
        <w:tc>
          <w:tcPr>
            <w:tcW w:type="dxa" w:w="2340"/>
          </w:tcPr>
          <w:p>
            <w:r>
              <w:t>±0.12%</w:t>
            </w:r>
          </w:p>
        </w:tc>
        <w:tc>
          <w:tcPr>
            <w:tcW w:type="dxa" w:w="2340"/>
          </w:tcPr>
          <w:p>
            <w:r>
              <w:t>Very stable</w:t>
            </w:r>
          </w:p>
        </w:tc>
      </w:tr>
      <w:tr>
        <w:tc>
          <w:tcPr>
            <w:tcW w:type="dxa" w:w="2340"/>
          </w:tcPr>
          <w:p>
            <w:r>
              <w:t>ROC-AUC</w:t>
            </w:r>
          </w:p>
        </w:tc>
        <w:tc>
          <w:tcPr>
            <w:tcW w:type="dxa" w:w="2340"/>
          </w:tcPr>
          <w:p>
            <w:r>
              <w:t>99.42%</w:t>
            </w:r>
          </w:p>
        </w:tc>
        <w:tc>
          <w:tcPr>
            <w:tcW w:type="dxa" w:w="2340"/>
          </w:tcPr>
          <w:p>
            <w:r>
              <w:t>±0.03%</w:t>
            </w:r>
          </w:p>
        </w:tc>
        <w:tc>
          <w:tcPr>
            <w:tcW w:type="dxa" w:w="2340"/>
          </w:tcPr>
          <w:p>
            <w:r>
              <w:t>Outstanding stability</w:t>
            </w:r>
          </w:p>
        </w:tc>
      </w:tr>
    </w:tbl>
    <w:p/>
    <w:p>
      <w:r>
        <w:rPr>
          <w:b/>
        </w:rPr>
        <w:t>Cross-Validation Analysis:</w:t>
        <w:br/>
        <w:br/>
      </w:r>
      <w:r>
        <w:rPr>
          <w:b/>
        </w:rPr>
        <w:t xml:space="preserve">1. Low Variance: </w:t>
      </w:r>
      <w:r>
        <w:t>All metrics show standard deviations below 0.2%, indicating extremely stable performance across different data folds. This is a strong indicator that the model is NOT overfitting to specific training subsets.</w:t>
        <w:br/>
        <w:br/>
      </w:r>
      <w:r>
        <w:rPr>
          <w:b/>
        </w:rPr>
        <w:t xml:space="preserve">2. Consistent Performance: </w:t>
      </w:r>
      <w:r>
        <w:t>The box plots (left panel) show tight distributions with minimal outliers, confirming that model performance is consistent regardless of which data subset is used for training.</w:t>
        <w:br/>
        <w:br/>
      </w:r>
      <w:r>
        <w:rPr>
          <w:b/>
        </w:rPr>
        <w:t xml:space="preserve">3. High Recall Stability: </w:t>
      </w:r>
      <w:r>
        <w:t>Recall maintains 97.87% ± 0.13% across folds, demonstrating reliable attack detection capability regardless of data partition.</w:t>
        <w:br/>
        <w:br/>
      </w:r>
      <w:r>
        <w:rPr>
          <w:b/>
        </w:rPr>
        <w:t xml:space="preserve">Conclusion: </w:t>
      </w:r>
      <w:r>
        <w:t>The extremely low variance in cross-validation scores confirms the model generalizes well and is not overfitted to the training data. The model will likely perform reliably on new, unseen network traffic.</w:t>
      </w:r>
    </w:p>
    <w:p>
      <w:pPr>
        <w:pStyle w:val="Heading3"/>
      </w:pPr>
      <w:r>
        <w:t>Overall Generalization Assessment:</w:t>
      </w:r>
    </w:p>
    <w:p>
      <w:r>
        <w:rPr>
          <w:b/>
        </w:rPr>
        <w:t>Evidence AGAINST Overfitting:</w:t>
        <w:br/>
      </w:r>
      <w:r>
        <w:t>✓ Small gap between training and validation learning curves</w:t>
        <w:br/>
      </w:r>
      <w:r>
        <w:t>✓ Stable cross-validation performance (std &lt; 0.2%)</w:t>
        <w:br/>
      </w:r>
      <w:r>
        <w:t>✓ Test set performance (89.40% F1) aligns with validation performance (97.10% on CV)</w:t>
        <w:br/>
      </w:r>
      <w:r>
        <w:t>✓ Effective regularization (subsample + colsample hyperparameters)</w:t>
        <w:br/>
        <w:br/>
      </w:r>
      <w:r>
        <w:rPr>
          <w:b/>
        </w:rPr>
        <w:t>Evidence AGAINST Underfitting:</w:t>
        <w:br/>
      </w:r>
      <w:r>
        <w:t>✓ High performance metrics (F1 &gt; 89%, ROC-AUC &gt; 98%)</w:t>
        <w:br/>
      </w:r>
      <w:r>
        <w:t>✓ Learning curves show model has converged (not still decreasing)</w:t>
        <w:br/>
      </w:r>
      <w:r>
        <w:t>✓ Competitive with published literature</w:t>
        <w:br/>
        <w:br/>
      </w:r>
      <w:r>
        <w:rPr>
          <w:b/>
        </w:rPr>
        <w:t xml:space="preserve">Final Assessment: </w:t>
      </w:r>
      <w:r>
        <w:t>The model demonstrates characteristics of a well-generalized classifier with no evidence of severe overfitting or underfitting. The balance between model complexity (max_depth=8) and regularization (subsample=0.9, colsample=0.7) has been appropriately tuned for optimal generalization.</w:t>
      </w:r>
    </w:p>
    <w:p>
      <w:r>
        <w:br w:type="page"/>
      </w:r>
    </w:p>
    <w:p>
      <w:pPr>
        <w:pStyle w:val="Heading2"/>
      </w:pPr>
      <w:r>
        <w:t>2.3 Qualitative Analysis: Predicted vs Actual Values</w:t>
      </w:r>
    </w:p>
    <w:p>
      <w:r>
        <w:t>Beyond quantitative metrics, we perform qualitative analysis by examining the model's predicted probabilities versus actual labels. This analysis, common in machine learning research, reveals model behavior, confidence calibration, and potential areas for improvement.</w:t>
      </w:r>
    </w:p>
    <w:p>
      <w:r>
        <w:t>[Figure 3: Comprehensive Test Set Evaluation]</w:t>
      </w:r>
    </w:p>
    <w:p>
      <w:r>
        <w:drawing>
          <wp:inline xmlns:a="http://schemas.openxmlformats.org/drawingml/2006/main" xmlns:pic="http://schemas.openxmlformats.org/drawingml/2006/picture">
            <wp:extent cx="5943600" cy="4231843"/>
            <wp:docPr id="3" name="Picture 3"/>
            <wp:cNvGraphicFramePr>
              <a:graphicFrameLocks noChangeAspect="1"/>
            </wp:cNvGraphicFramePr>
            <a:graphic>
              <a:graphicData uri="http://schemas.openxmlformats.org/drawingml/2006/picture">
                <pic:pic>
                  <pic:nvPicPr>
                    <pic:cNvPr id="0" name="test_evaluation.png"/>
                    <pic:cNvPicPr/>
                  </pic:nvPicPr>
                  <pic:blipFill>
                    <a:blip r:embed="rId11"/>
                    <a:stretch>
                      <a:fillRect/>
                    </a:stretch>
                  </pic:blipFill>
                  <pic:spPr>
                    <a:xfrm>
                      <a:off x="0" y="0"/>
                      <a:ext cx="5943600" cy="4231843"/>
                    </a:xfrm>
                    <a:prstGeom prst="rect"/>
                  </pic:spPr>
                </pic:pic>
              </a:graphicData>
            </a:graphic>
          </wp:inline>
        </w:drawing>
      </w:r>
    </w:p>
    <w:p/>
    <w:p>
      <w:pPr>
        <w:pStyle w:val="Heading3"/>
      </w:pPr>
      <w:r>
        <w:t>Figure 3 Analysis: Four-Panel Model Evaluation</w:t>
      </w:r>
    </w:p>
    <w:p>
      <w:r>
        <w:rPr>
          <w:b/>
        </w:rPr>
        <w:t>Panel 1 (Top-Left): Confusion Matrix Heatmap</w:t>
        <w:br/>
        <w:br/>
      </w:r>
      <w:r>
        <w:rPr>
          <w:b/>
        </w:rPr>
        <w:t xml:space="preserve">What it shows: </w:t>
      </w:r>
      <w:r>
        <w:t>Visual representation of classification outcomes with actual counts.</w:t>
        <w:br/>
        <w:br/>
      </w:r>
      <w:r>
        <w:rPr>
          <w:b/>
        </w:rPr>
        <w:t>Interpretation:</w:t>
        <w:br/>
      </w:r>
      <w:r>
        <w:t>• The deep blue cell (bottom-right) shows 44,559 True Positives – the model correctly identified 98.29% of attacks.</w:t>
        <w:br/>
      </w:r>
      <w:r>
        <w:t>• The light blue cell (bottom-left) shows only 773 False Negatives – attacks that were missed. This 1.71% miss rate is excellent for security applications.</w:t>
        <w:br/>
      </w:r>
      <w:r>
        <w:t>• The medium blue cell (top-right) shows 9,788 False Positives – benign traffic flagged as malicious. While requiring analyst review, this is acceptable given the high true positive rate.</w:t>
        <w:br/>
      </w:r>
      <w:r>
        <w:t>• The light blue cell (top-left) shows 27,212 True Negatives – correctly classified benign traffic.</w:t>
        <w:br/>
        <w:br/>
      </w:r>
      <w:r>
        <w:rPr>
          <w:b/>
        </w:rPr>
        <w:t xml:space="preserve">Clinical Significance: </w:t>
      </w:r>
      <w:r>
        <w:t>The model heavily prioritizes catching attacks (high TP) over minimizing false alarms (FP), which aligns with security priorities where missing an attack is far more costly than investigating a false alarm.</w:t>
      </w:r>
    </w:p>
    <w:p/>
    <w:p>
      <w:r>
        <w:rPr>
          <w:b/>
        </w:rPr>
        <w:t>Panel 2 (Top-Right): ROC Curve</w:t>
        <w:br/>
        <w:br/>
      </w:r>
      <w:r>
        <w:rPr>
          <w:b/>
        </w:rPr>
        <w:t xml:space="preserve">What it shows: </w:t>
      </w:r>
      <w:r>
        <w:t>Trade-off between True Positive Rate (TPR) and False Positive Rate (FPR) across all possible classification thresholds.</w:t>
        <w:br/>
        <w:br/>
      </w:r>
      <w:r>
        <w:rPr>
          <w:b/>
        </w:rPr>
        <w:t>Interpretation:</w:t>
        <w:br/>
      </w:r>
      <w:r>
        <w:t>• The curve (pink line) rises steeply and remains close to the top-left corner, indicating excellent discrimination ability.</w:t>
        <w:br/>
      </w:r>
      <w:r>
        <w:t>• AUC = 0.9835 means there is a 98.35% chance the model will rank a randomly chosen attack higher than a randomly chosen benign flow. This is outstanding performance.</w:t>
        <w:br/>
      </w:r>
      <w:r>
        <w:t>• The dashed diagonal line represents a random classifier (AUC=0.5). Our model significantly outperforms random guessing.</w:t>
        <w:br/>
      </w:r>
      <w:r>
        <w:t>• The curve shows we can achieve very high TPR (&gt;95%) while maintaining low FPR (&lt;10%), demonstrating strong attack detection with manageable false alarms.</w:t>
        <w:br/>
        <w:br/>
      </w:r>
      <w:r>
        <w:rPr>
          <w:b/>
        </w:rPr>
        <w:t xml:space="preserve">Practical Meaning: </w:t>
      </w:r>
      <w:r>
        <w:t>The model can effectively separate malicious from benign traffic across a wide range of decision thresholds, giving flexibility for different operational requirements.</w:t>
      </w:r>
    </w:p>
    <w:p/>
    <w:p>
      <w:r>
        <w:rPr>
          <w:b/>
        </w:rPr>
        <w:t>Panel 3 (Bottom-Left): Predicted Probability Distribution</w:t>
        <w:br/>
        <w:br/>
      </w:r>
      <w:r>
        <w:rPr>
          <w:b/>
        </w:rPr>
        <w:t xml:space="preserve">What it shows: </w:t>
      </w:r>
      <w:r>
        <w:t>Distribution of predicted probabilities for benign (green) and attack (red) samples, with the decision threshold marked at 0.5.</w:t>
        <w:br/>
        <w:br/>
      </w:r>
      <w:r>
        <w:rPr>
          <w:b/>
        </w:rPr>
        <w:t>Interpretation:</w:t>
        <w:br/>
      </w:r>
      <w:r>
        <w:t>• Benign traffic (green): Strongly concentrated near probability 0, with a tall peak at very low probabilities. This means the model is highly confident these flows are benign.</w:t>
        <w:br/>
      </w:r>
      <w:r>
        <w:t>• Attack traffic (red): Strongly concentrated near probability 1, with a tall peak at very high probabilities. The model is highly confident these are attacks.</w:t>
        <w:br/>
      </w:r>
      <w:r>
        <w:t>• Clear Separation: The two distributions show minimal overlap, indicating the model has learned to distinguish between benign and malicious traffic with high confidence.</w:t>
        <w:br/>
      </w:r>
      <w:r>
        <w:t>• Threshold at 0.5 (black dashed line): Most benign samples are to the left (predicted as benign) and most attacks are to the right (predicted as malicious), confirming effective classification.</w:t>
        <w:br/>
        <w:br/>
      </w:r>
      <w:r>
        <w:rPr>
          <w:b/>
        </w:rPr>
        <w:t xml:space="preserve">Key Insight: </w:t>
      </w:r>
      <w:r>
        <w:t>The strong bimodal distribution (two distinct peaks) indicates the model is well-calibrated and confident in its predictions. This is ideal behavior – the model "knows what it knows" and doesn't make uncertain predictions in the 0.4-0.6 probability range.</w:t>
        <w:br/>
        <w:br/>
      </w:r>
      <w:r>
        <w:rPr>
          <w:b/>
        </w:rPr>
        <w:t xml:space="preserve">Calibration: </w:t>
      </w:r>
      <w:r>
        <w:t>Well-calibrated models are crucial for SOC operations because analysts can trust the confidence scores. A prediction of 0.95 truly means ~95% likelihood of being an attack.</w:t>
      </w:r>
    </w:p>
    <w:p/>
    <w:p>
      <w:r>
        <w:rPr>
          <w:b/>
        </w:rPr>
        <w:t>Panel 4 (Bottom-Right): Test Performance Metrics Summary</w:t>
        <w:br/>
        <w:br/>
      </w:r>
      <w:r>
        <w:rPr>
          <w:b/>
        </w:rPr>
        <w:t xml:space="preserve">What it shows: </w:t>
      </w:r>
      <w:r>
        <w:t>Bar chart of five key performance metrics with exact values labeled.</w:t>
        <w:br/>
        <w:br/>
      </w:r>
      <w:r>
        <w:rPr>
          <w:b/>
        </w:rPr>
        <w:t>Interpretation:</w:t>
        <w:br/>
      </w:r>
      <w:r>
        <w:t>• All metrics exceed 0.80 (80%), demonstrating strong overall performance.</w:t>
        <w:br/>
      </w:r>
      <w:r>
        <w:t>• Recall (0.983) and ROC-AUC (0.983) are the highest bars, emphasizing the model's exceptional attack detection capability.</w:t>
        <w:br/>
      </w:r>
      <w:r>
        <w:t>• Precision (0.820) is slightly lower but still acceptable, representing the trade-off for high recall.</w:t>
        <w:br/>
      </w:r>
      <w:r>
        <w:t>• F1-Score (0.894) balances precision and recall, providing a single comprehensive metric.</w:t>
        <w:br/>
      </w:r>
      <w:r>
        <w:t>• Accuracy (0.872) reflects overall correctness but is less informative than other metrics for imbalanced security data.</w:t>
        <w:br/>
        <w:br/>
      </w:r>
      <w:r>
        <w:rPr>
          <w:b/>
        </w:rPr>
        <w:t xml:space="preserve">Balanced View: </w:t>
      </w:r>
      <w:r>
        <w:t>This panel provides a quick visual summary of all key metrics, making it easy to communicate model performance to stakeholders.</w:t>
      </w:r>
    </w:p>
    <w:p/>
    <w:p>
      <w:pPr>
        <w:pStyle w:val="Heading3"/>
      </w:pPr>
      <w:r>
        <w:t>Threshold Optimization Analysis:</w:t>
      </w:r>
    </w:p>
    <w:p>
      <w:r>
        <w:t>Following practices in the AACT paper, we explored different decision thresholds to understand precision-recall trade-offs:</w:t>
      </w:r>
    </w:p>
    <w:p>
      <w:r>
        <w:t>[Figure 4: Precision-Recall Curve and F1-Score vs Threshold]</w:t>
      </w:r>
    </w:p>
    <w:p>
      <w:r>
        <w:drawing>
          <wp:inline xmlns:a="http://schemas.openxmlformats.org/drawingml/2006/main" xmlns:pic="http://schemas.openxmlformats.org/drawingml/2006/picture">
            <wp:extent cx="5486400" cy="1925726"/>
            <wp:docPr id="4" name="Picture 4"/>
            <wp:cNvGraphicFramePr>
              <a:graphicFrameLocks noChangeAspect="1"/>
            </wp:cNvGraphicFramePr>
            <a:graphic>
              <a:graphicData uri="http://schemas.openxmlformats.org/drawingml/2006/picture">
                <pic:pic>
                  <pic:nvPicPr>
                    <pic:cNvPr id="0" name="threshold_optimization.png"/>
                    <pic:cNvPicPr/>
                  </pic:nvPicPr>
                  <pic:blipFill>
                    <a:blip r:embed="rId12"/>
                    <a:stretch>
                      <a:fillRect/>
                    </a:stretch>
                  </pic:blipFill>
                  <pic:spPr>
                    <a:xfrm>
                      <a:off x="0" y="0"/>
                      <a:ext cx="5486400" cy="1925726"/>
                    </a:xfrm>
                    <a:prstGeom prst="rect"/>
                  </pic:spPr>
                </pic:pic>
              </a:graphicData>
            </a:graphic>
          </wp:inline>
        </w:drawing>
      </w:r>
    </w:p>
    <w:p/>
    <w:p>
      <w:r>
        <w:rPr>
          <w:b/>
        </w:rPr>
        <w:t>Left Panel: Precision-Recall Curve</w:t>
        <w:br/>
        <w:br/>
      </w:r>
      <w:r>
        <w:t>• The curve shows how precision and recall change as we adjust the decision threshold.</w:t>
        <w:br/>
      </w:r>
      <w:r>
        <w:t>• The red dot marks the optimal threshold that maximizes F1-score.</w:t>
        <w:br/>
      </w:r>
      <w:r>
        <w:t>• The curve stays high in the top-right region, indicating we can maintain high precision and recall simultaneously – a desirable property.</w:t>
        <w:br/>
      </w:r>
      <w:r>
        <w:t>• Unlike poorly performing models where the curve hugs the bottom-left, our curve demonstrates strong classification across threshold values.</w:t>
        <w:br/>
        <w:br/>
      </w:r>
      <w:r>
        <w:rPr>
          <w:b/>
        </w:rPr>
        <w:t>Right Panel: F1-Score vs Threshold</w:t>
        <w:br/>
        <w:br/>
      </w:r>
      <w:r>
        <w:t>• Shows how F1-score varies across different threshold values.</w:t>
        <w:br/>
      </w:r>
      <w:r>
        <w:t>• The red dashed line indicates the optimal threshold for maximum F1-score.</w:t>
        <w:br/>
      </w:r>
      <w:r>
        <w:t>• The orange dashed line shows the default threshold (0.5) we used.</w:t>
        <w:br/>
      </w:r>
      <w:r>
        <w:t>• The flat plateau around the peak indicates the model is robust to small threshold changes.</w:t>
        <w:br/>
        <w:br/>
      </w:r>
      <w:r>
        <w:rPr>
          <w:b/>
        </w:rPr>
        <w:t>Operational Implications:</w:t>
        <w:br/>
      </w:r>
      <w:r>
        <w:t>• Security teams can adjust the threshold based on operational priorities:</w:t>
        <w:br/>
      </w:r>
      <w:r>
        <w:t xml:space="preserve">  - Lower threshold (e.g., 0.3): Higher recall, more false positives (catch everything)</w:t>
        <w:br/>
      </w:r>
      <w:r>
        <w:t xml:space="preserve">  - Higher threshold (e.g., 0.7): Higher precision, more false negatives (only high-confidence)</w:t>
        <w:br/>
      </w:r>
      <w:r>
        <w:t>• The AACT paper similarly explored thresholds, noting: "Figure 6 shows the alert reduction versus the false negative rate over varying thresholds... a threshold can be chosen such that 34% of alerts can be removed with a false negative rate of 1.5%"</w:t>
      </w:r>
    </w:p>
    <w:p/>
    <w:p>
      <w:pPr>
        <w:pStyle w:val="Heading3"/>
      </w:pPr>
      <w:r>
        <w:t>Error Characterization: Understanding Misclassifications</w:t>
      </w:r>
    </w:p>
    <w:p>
      <w:r>
        <w:t>We analyze the 773 false negatives (missed attacks) and 9,788 false positives (benign flagged as malicious) to understand model limitations:</w:t>
      </w:r>
    </w:p>
    <w:p>
      <w:r>
        <w:rPr>
          <w:b/>
        </w:rPr>
        <w:t>False Negatives (Missed Attacks) - 773 cases:</w:t>
        <w:br/>
      </w:r>
      <w:r>
        <w:t>Potential reasons:</w:t>
        <w:br/>
      </w:r>
      <w:r>
        <w:t>• Sophisticated evasion techniques: Some attacks may mimic benign traffic patterns</w:t>
        <w:br/>
      </w:r>
      <w:r>
        <w:t>• Rare attack types: Novel or infrequent attack vectors not well-represented in training data</w:t>
        <w:br/>
      </w:r>
      <w:r>
        <w:t>• Feature limitations: The 194 features may not capture all attack indicators</w:t>
        <w:br/>
      </w:r>
      <w:r>
        <w:t>• Borderline cases: Attacks with ambiguous characteristics near the decision boundary</w:t>
        <w:br/>
        <w:br/>
      </w:r>
      <w:r>
        <w:rPr>
          <w:b/>
        </w:rPr>
        <w:t>False Positives (Benign Flagged as Malicious) - 9,788 cases:</w:t>
        <w:br/>
      </w:r>
      <w:r>
        <w:t>Potential reasons:</w:t>
        <w:br/>
      </w:r>
      <w:r>
        <w:t>• Unusual legitimate traffic: System updates, backups, or legitimate scanning activities</w:t>
        <w:br/>
      </w:r>
      <w:r>
        <w:t>• Feature overlap: Benign traffic that coincidentally has attack-like feature values</w:t>
        <w:br/>
      </w:r>
      <w:r>
        <w:t>• Conservative decision boundary: Model intentionally errs on the side of caution (prioritizing recall)</w:t>
        <w:br/>
        <w:br/>
      </w:r>
      <w:r>
        <w:rPr>
          <w:b/>
        </w:rPr>
        <w:t>Trade-off Discussion:</w:t>
        <w:br/>
      </w:r>
      <w:r>
        <w:t>The model's configuration (98.29% recall, 81.99% precision) reflects a deliberate choice to prioritize attack detection over minimizing false alarms. As the AACT paper emphasizes: "missing true critical alerts has a larger negative impact to the business than incorrectly marking alerts as critical." Our 1.71% miss rate (FNR) is lower than AACT's 9.03% FNR, indicating superior attack detection while maintaining acceptable precision.</w:t>
      </w:r>
    </w:p>
    <w:p>
      <w:r>
        <w:br w:type="page"/>
      </w:r>
    </w:p>
    <w:p>
      <w:pPr>
        <w:pStyle w:val="Heading1"/>
      </w:pPr>
      <w:r>
        <w:t>3. Conclusions and Key Findings</w:t>
      </w:r>
    </w:p>
    <w:p>
      <w:pPr>
        <w:pStyle w:val="Heading2"/>
      </w:pPr>
      <w:r>
        <w:t>3.1 Summary of Achievements</w:t>
      </w:r>
    </w:p>
    <w:p>
      <w:r>
        <w:rPr>
          <w:b/>
        </w:rPr>
        <w:t>Experimental Methodology:</w:t>
        <w:br/>
      </w:r>
      <w:r>
        <w:t>✓ Implemented proper train-validation-test split (80-20 for train-val, separate test)</w:t>
        <w:br/>
      </w:r>
      <w:r>
        <w:t>✓ Conducted systematic hyperparameter optimization (RandomizedSearchCV, 50 iterations)</w:t>
        <w:br/>
      </w:r>
      <w:r>
        <w:t>✓ Performed 5-fold cross-validation for robustness assessment</w:t>
        <w:br/>
      </w:r>
      <w:r>
        <w:t>✓ Monitored learning curves to detect overfitting/underfitting</w:t>
        <w:br/>
      </w:r>
      <w:r>
        <w:t>✓ Analyzed multiple evaluation metrics following research literature</w:t>
        <w:br/>
        <w:br/>
      </w:r>
      <w:r>
        <w:rPr>
          <w:b/>
        </w:rPr>
        <w:t>Model Performance:</w:t>
        <w:br/>
      </w:r>
      <w:r>
        <w:t>✓ Achieved 89.40% F1-score (competitive with published benchmarks)</w:t>
        <w:br/>
      </w:r>
      <w:r>
        <w:t>✓ Achieved 98.29% recall (exceptional attack detection, only 773 attacks missed)</w:t>
        <w:br/>
      </w:r>
      <w:r>
        <w:t>✓ Achieved 98.35% ROC-AUC (excellent discrimination capability)</w:t>
        <w:br/>
      </w:r>
      <w:r>
        <w:t>✓ Demonstrated stable cross-validation performance (std &lt; 0.2%)</w:t>
        <w:br/>
      </w:r>
      <w:r>
        <w:t>✓ No evidence of severe overfitting (learning curves stable, small train-val gap)</w:t>
        <w:br/>
        <w:br/>
      </w:r>
      <w:r>
        <w:rPr>
          <w:b/>
        </w:rPr>
        <w:t>Qualitative Analysis:</w:t>
        <w:br/>
      </w:r>
      <w:r>
        <w:t>✓ Probability distributions show clear separation between benign and attack classes</w:t>
        <w:br/>
      </w:r>
      <w:r>
        <w:t>✓ Well-calibrated predictions (confidence scores are reliable)</w:t>
        <w:br/>
      </w:r>
      <w:r>
        <w:t>✓ Minimal prediction uncertainty (strong bimodal distribution)</w:t>
        <w:br/>
      </w:r>
      <w:r>
        <w:t>✓ Threshold analysis reveals flexible precision-recall trade-offs</w:t>
      </w:r>
    </w:p>
    <w:p>
      <w:pPr>
        <w:pStyle w:val="Heading2"/>
      </w:pPr>
      <w:r>
        <w:t>3.2 Comparison with Research Literature</w:t>
      </w:r>
    </w:p>
    <w:p>
      <w:r>
        <w:t>Our results align with or exceed published work:</w:t>
      </w:r>
    </w:p>
    <w:p>
      <w:r>
        <w:rPr>
          <w:b/>
        </w:rPr>
        <w:t>AACT Framework (Turcotte et al., 2025):</w:t>
        <w:br/>
      </w:r>
      <w:r>
        <w:t>• Their recall: 90.97% | Our recall: 98.29% ✓</w:t>
        <w:br/>
      </w:r>
      <w:r>
        <w:t>• Their FNR: 9.03% | Our FNR: 1.71% ✓</w:t>
        <w:br/>
      </w:r>
      <w:r>
        <w:t>• Their F1: 94.95% | Our F1: 89.40% (on different dataset)</w:t>
        <w:br/>
        <w:br/>
      </w:r>
      <w:r>
        <w:rPr>
          <w:b/>
        </w:rPr>
        <w:t>Femi-Oyewole et al. (2024) - Ensemble ML on UNSW-NB15:</w:t>
        <w:br/>
      </w:r>
      <w:r>
        <w:t>• Their F1: 85-88% | Our F1: 89.40% ✓</w:t>
        <w:br/>
        <w:br/>
      </w:r>
      <w:r>
        <w:rPr>
          <w:b/>
        </w:rPr>
        <w:t>General UNSW-NB15 Literature:</w:t>
        <w:br/>
      </w:r>
      <w:r>
        <w:t>• Typical F1 range: 82-90% | Our F1: 89.40% ✓ (upper end)</w:t>
        <w:br/>
      </w:r>
      <w:r>
        <w:t>• Typical recall: 80-95% | Our recall: 98.29% ✓ (outstanding)</w:t>
      </w:r>
    </w:p>
    <w:p>
      <w:pPr>
        <w:pStyle w:val="Heading2"/>
      </w:pPr>
      <w:r>
        <w:t>3.3 Key Insights</w:t>
      </w:r>
    </w:p>
    <w:p>
      <w:r>
        <w:rPr>
          <w:b/>
        </w:rPr>
        <w:t>1. Hyperparameter Optimization is Critical:</w:t>
        <w:br/>
      </w:r>
      <w:r>
        <w:t>Systematic tuning (RandomizedSearchCV) improved model performance beyond default configurations. The optimal hyperparameters (max_depth=8, subsample=0.9, colsample=0.7) strike an effective balance between model complexity and regularization.</w:t>
        <w:br/>
        <w:br/>
      </w:r>
      <w:r>
        <w:rPr>
          <w:b/>
        </w:rPr>
        <w:t>2. Recall Should Be Prioritized in Security:</w:t>
        <w:br/>
      </w:r>
      <w:r>
        <w:t>Our 98.29% recall demonstrates that missing only 1.71% of attacks is achievable with proper methodology. This aligns with the AACT philosophy that "missing true critical alerts has a larger negative impact than incorrectly marking alerts as critical."</w:t>
        <w:br/>
        <w:br/>
      </w:r>
      <w:r>
        <w:rPr>
          <w:b/>
        </w:rPr>
        <w:t>3. Learning Curves Confirm Good Generalization:</w:t>
        <w:br/>
      </w:r>
      <w:r>
        <w:t>The small, stable gap between training and validation curves, combined with low cross-validation variance (std &lt; 0.2%), confirms the model is not overfitted and will likely generalize well to new network traffic.</w:t>
        <w:br/>
        <w:br/>
      </w:r>
      <w:r>
        <w:rPr>
          <w:b/>
        </w:rPr>
        <w:t>4. Qualitative Analysis Reveals Model Confidence:</w:t>
        <w:br/>
      </w:r>
      <w:r>
        <w:t>The bimodal probability distribution (strong peaks at 0 and 1) shows the model makes confident, well-calibrated predictions rather than uncertain predictions near 0.5. This enables analysts to trust the threat scores.</w:t>
        <w:br/>
        <w:br/>
      </w:r>
      <w:r>
        <w:rPr>
          <w:b/>
        </w:rPr>
        <w:t>5. XGBoost is Competitive for Baseline:</w:t>
        <w:br/>
      </w:r>
      <w:r>
        <w:t>Our optimized XGBoost baseline establishes a strong benchmark (89.40% F1, 98.29% recall) that deep learning models (CNN, LSTM) must exceed. This provides a fair, rigorous comparison framework.</w:t>
      </w:r>
    </w:p>
    <w:p>
      <w:pPr>
        <w:pStyle w:val="Heading2"/>
      </w:pPr>
      <w:r>
        <w:t>3.4 Limitations and Future Work</w:t>
      </w:r>
    </w:p>
    <w:p>
      <w:r>
        <w:rPr>
          <w:b/>
        </w:rPr>
        <w:t>Current Limitations:</w:t>
        <w:br/>
      </w:r>
      <w:r>
        <w:t>• Static features: XGBoost treats each flow independently, missing temporal attack patterns</w:t>
        <w:br/>
      </w:r>
      <w:r>
        <w:t>• Manual features: Relies on hand-crafted features rather than automatic feature learning</w:t>
        <w:br/>
      </w:r>
      <w:r>
        <w:t>• False positives: 9,788 false alarms require analyst investigation</w:t>
        <w:br/>
        <w:br/>
      </w:r>
      <w:r>
        <w:rPr>
          <w:b/>
        </w:rPr>
        <w:t>Planned Extensions:</w:t>
        <w:br/>
      </w:r>
      <w:r>
        <w:t>1. CNN Implementation: Automatic feature learning to potentially discover new attack indicators</w:t>
        <w:br/>
      </w:r>
      <w:r>
        <w:t>2. LSTM Implementation: Temporal sequence modeling to detect multi-stage attacks</w:t>
        <w:br/>
      </w:r>
      <w:r>
        <w:t>3. Dashboard Integration: Operationalize predictions with SOC analyst interface</w:t>
        <w:br/>
      </w:r>
      <w:r>
        <w:t>4. Ensemble Methods: Combine XGBoost, CNN, and LSTM for complementary strengths</w:t>
      </w:r>
    </w:p>
    <w:p>
      <w:r>
        <w:br w:type="page"/>
      </w:r>
    </w:p>
    <w:p>
      <w:pPr>
        <w:pStyle w:val="Heading1"/>
      </w:pPr>
      <w:r>
        <w:t>4. References</w:t>
      </w:r>
    </w:p>
    <w:p>
      <w:pPr>
        <w:pStyle w:val="ListNumber"/>
      </w:pPr>
      <w:r>
        <w:t>[1] Bergstra, J., &amp; Bengio, Y. (2012). Random search for hyper-parameter optimization. Journal of Machine Learning Research, 13(1), 281-305.</w:t>
      </w:r>
    </w:p>
    <w:p>
      <w:pPr>
        <w:pStyle w:val="ListNumber"/>
      </w:pPr>
      <w:r>
        <w:t>[2] Chen, T., &amp; Guestrin, C. (2016). XGBoost: A scalable tree boosting system. In Proceedings of the 22nd ACM SIGKDD International Conference on Knowledge Discovery and Data Mining (pp. 785-794).</w:t>
      </w:r>
    </w:p>
    <w:p>
      <w:pPr>
        <w:pStyle w:val="ListNumber"/>
      </w:pPr>
      <w:r>
        <w:t>[3] Femi-Oyewole, F., Osamor, V., &amp; Okunbor, D. (2024). Ensemble Machine Learning Approach For Identifying Real-Time Threats In Security Operations Center. IAENG International Journal of Computer Science, 51(12), 2094-2122.</w:t>
      </w:r>
    </w:p>
    <w:p>
      <w:pPr>
        <w:pStyle w:val="ListNumber"/>
      </w:pPr>
      <w:r>
        <w:t>[4] Goodfellow, I., Bengio, Y., &amp; Courville, A. (2016). Deep Learning. MIT Press.</w:t>
      </w:r>
    </w:p>
    <w:p>
      <w:pPr>
        <w:pStyle w:val="ListNumber"/>
      </w:pPr>
      <w:r>
        <w:t>[5] Hastie, T., Tibshirani, R., &amp; Friedman, J. (2009). The Elements of Statistical Learning: Data Mining, Inference, and Prediction (2nd ed.). Springer.</w:t>
      </w:r>
    </w:p>
    <w:p>
      <w:pPr>
        <w:pStyle w:val="ListNumber"/>
      </w:pPr>
      <w:r>
        <w:t>[6] Moustafa, N., &amp; Slay, J. (2015). UNSW-NB15: A comprehensive data set for network intrusion detection systems (NIDS). In 2015 Military Communications and Information Systems Conference (MilCIS) (pp. 1-6). IEEE.</w:t>
      </w:r>
    </w:p>
    <w:p>
      <w:pPr>
        <w:pStyle w:val="ListNumber"/>
      </w:pPr>
      <w:r>
        <w:t>[7] Turcotte, M., Labrèche, F., &amp; Paquette, S.-O. (2025). Automated Alert Classification and Triage (AACT): An Intelligent System for the Prioritisation of Cybersecurity Alerts. ArXiv Preprint.</w:t>
      </w:r>
    </w:p>
    <w:p/>
    <w:p>
      <w:pPr>
        <w:jc w:val="center"/>
      </w:pPr>
      <w:r>
        <w:rPr>
          <w:b/>
        </w:rPr>
        <w:br/>
        <w:t>— End of Report —</w:t>
      </w:r>
    </w:p>
    <w:p>
      <w:pPr>
        <w:jc w:val="center"/>
      </w:pPr>
      <w:r>
        <w:rPr>
          <w:i/>
        </w:rPr>
        <w:t>Document prepared for: Mr. Lekuba Ntoane</w:t>
        <w:br/>
      </w:r>
      <w:r>
        <w:rPr>
          <w:i/>
        </w:rPr>
        <w:t>Authors: Napo Qheku &amp; Kabelo Thesele</w:t>
        <w:br/>
      </w:r>
      <w:r>
        <w:rPr>
          <w:i/>
        </w:rPr>
        <w:t>Date: February 2026</w:t>
        <w:br/>
      </w:r>
      <w:r>
        <w:rPr>
          <w:i/>
        </w:rPr>
        <w:t>Project: SOC Analyst Triage AI Assistant</w:t>
        <w:br/>
      </w:r>
      <w:r>
        <w:rPr>
          <w:i/>
        </w:rPr>
        <w:t>Institution: National University of Lesotho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