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24" w:rsidRPr="007728BF" w:rsidRDefault="007728BF">
      <w:pPr>
        <w:rPr>
          <w:lang w:val="pt-BR"/>
        </w:rPr>
      </w:pPr>
      <w:r w:rsidRPr="007728BF">
        <w:rPr>
          <w:rFonts w:ascii="Segoe Print" w:hAnsi="Segoe Print" w:cs="Segoe Print"/>
          <w:b/>
          <w:bCs/>
          <w:lang w:val="pt-BR"/>
        </w:rPr>
        <w:t xml:space="preserve">Pela mudança estar sempre se alterando, seguindo todas as possibilidades, em um momento se tornará a possibilidade estática parando assim de mudar. Deste modo nasce o estático, onde percebemos esta natureza da mudança, estando a percepção em um estado entrópico em relação </w:t>
      </w:r>
      <w:proofErr w:type="gramStart"/>
      <w:r w:rsidRPr="007728BF">
        <w:rPr>
          <w:rFonts w:ascii="Segoe Print" w:hAnsi="Segoe Print" w:cs="Segoe Print"/>
          <w:b/>
          <w:bCs/>
          <w:lang w:val="pt-BR"/>
        </w:rPr>
        <w:t>a</w:t>
      </w:r>
      <w:proofErr w:type="gramEnd"/>
      <w:r w:rsidRPr="007728BF">
        <w:rPr>
          <w:rFonts w:ascii="Segoe Print" w:hAnsi="Segoe Print" w:cs="Segoe Print"/>
          <w:b/>
          <w:bCs/>
          <w:lang w:val="pt-BR"/>
        </w:rPr>
        <w:t xml:space="preserve"> mudança: o estático é contido dentro do conjunto da mudança.</w:t>
      </w:r>
    </w:p>
    <w:sectPr w:rsidR="00563624" w:rsidRPr="007728BF" w:rsidSect="005636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8BF"/>
    <w:rsid w:val="00563624"/>
    <w:rsid w:val="0077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2015-05-03T18:00:00Z</dcterms:created>
  <dcterms:modified xsi:type="dcterms:W3CDTF">2015-05-03T18:00:00Z</dcterms:modified>
</cp:coreProperties>
</file>