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1AAC" w14:textId="1F5DE482" w:rsidR="004D0120" w:rsidRDefault="00C929D2">
      <w:pPr>
        <w:spacing w:after="60"/>
      </w:pPr>
      <w:r>
        <w:rPr>
          <w:b/>
          <w:bCs/>
          <w:color w:val="111111"/>
          <w:sz w:val="56"/>
          <w:szCs w:val="56"/>
        </w:rPr>
        <w:t>SEEK2000</w:t>
      </w:r>
    </w:p>
    <w:p w14:paraId="49B71C83" w14:textId="247F84DD" w:rsidR="004D0120" w:rsidRDefault="00BA0B3D">
      <w:pPr>
        <w:spacing w:after="200"/>
      </w:pPr>
      <w:r w:rsidRPr="00BA0B3D">
        <w:rPr>
          <w:i/>
          <w:iCs/>
          <w:color w:val="2DD4BF"/>
          <w:sz w:val="26"/>
          <w:szCs w:val="26"/>
        </w:rPr>
        <w:t>Answers grounded in evidence</w:t>
      </w:r>
      <w:r>
        <w:rPr>
          <w:i/>
          <w:iCs/>
          <w:color w:val="2DD4BF"/>
          <w:sz w:val="26"/>
          <w:szCs w:val="26"/>
        </w:rPr>
        <w:t xml:space="preserve">, </w:t>
      </w:r>
      <w:r w:rsidRPr="00BA0B3D">
        <w:rPr>
          <w:i/>
          <w:iCs/>
          <w:color w:val="2DD4BF"/>
          <w:sz w:val="26"/>
          <w:szCs w:val="26"/>
        </w:rPr>
        <w:t>not AI memory</w:t>
      </w:r>
      <w:r w:rsidR="00C929D2">
        <w:rPr>
          <w:i/>
          <w:iCs/>
          <w:color w:val="2DD4BF"/>
          <w:sz w:val="26"/>
          <w:szCs w:val="26"/>
        </w:rPr>
        <w:t xml:space="preserve">. </w:t>
      </w:r>
      <w:r w:rsidR="00000000">
        <w:rPr>
          <w:i/>
          <w:iCs/>
          <w:color w:val="2DD4BF"/>
          <w:sz w:val="26"/>
          <w:szCs w:val="26"/>
        </w:rPr>
        <w:t xml:space="preserve">Private by design. </w:t>
      </w:r>
      <w:r w:rsidR="00195040">
        <w:rPr>
          <w:i/>
          <w:iCs/>
          <w:color w:val="2DD4BF"/>
          <w:sz w:val="26"/>
          <w:szCs w:val="26"/>
        </w:rPr>
        <w:t xml:space="preserve">Evidence </w:t>
      </w:r>
      <w:r w:rsidR="00000000">
        <w:rPr>
          <w:i/>
          <w:iCs/>
          <w:color w:val="2DD4BF"/>
          <w:sz w:val="26"/>
          <w:szCs w:val="26"/>
        </w:rPr>
        <w:t>by default.</w:t>
      </w:r>
    </w:p>
    <w:p w14:paraId="10CDBA50" w14:textId="77777777" w:rsidR="004D0120" w:rsidRDefault="004D0120">
      <w:pPr>
        <w:pBdr>
          <w:bottom w:val="single" w:sz="6" w:space="1" w:color="2DD4BF"/>
        </w:pBdr>
        <w:spacing w:after="160"/>
      </w:pPr>
    </w:p>
    <w:p w14:paraId="677063A6" w14:textId="21BA451F" w:rsidR="00404BB4" w:rsidRPr="00404BB4" w:rsidRDefault="00404BB4" w:rsidP="00404BB4">
      <w:pPr>
        <w:spacing w:before="280" w:after="60"/>
      </w:pPr>
      <w:r w:rsidRPr="00404BB4">
        <w:t xml:space="preserve">SEEK2000 is a local-first evidence synthesis engine that </w:t>
      </w:r>
      <w:r w:rsidR="00195040" w:rsidRPr="00195040">
        <w:t>answers questions using authorized evidence sources rather than relying on AI memory</w:t>
      </w:r>
      <w:r w:rsidRPr="00404BB4">
        <w:t>. It retrieves relevant evidence, preserves provenance, synthesizes supported answers, and makes uncertainty explicit.</w:t>
      </w:r>
    </w:p>
    <w:p w14:paraId="5DABBAF5" w14:textId="77777777" w:rsidR="00404BB4" w:rsidRPr="00404BB4" w:rsidRDefault="00404BB4" w:rsidP="00404BB4">
      <w:pPr>
        <w:spacing w:before="280" w:after="60"/>
      </w:pPr>
      <w:r w:rsidRPr="00404BB4">
        <w:t>Unlike cloud-based document AI tools, SEEK2000 can run entirely on your infrastructure. That means organizations can work with protected health information (PHI), personally identifiable information (PII), confidential research, privileged legal documents, and proprietary records without surrendering control of their data.</w:t>
      </w:r>
    </w:p>
    <w:p w14:paraId="1938322B" w14:textId="77777777" w:rsidR="00404BB4" w:rsidRDefault="00404BB4" w:rsidP="00404BB4">
      <w:pPr>
        <w:pStyle w:val="Heading3"/>
      </w:pPr>
    </w:p>
    <w:p w14:paraId="6D76A740" w14:textId="49A6A5EC" w:rsidR="00404BB4" w:rsidRDefault="00404BB4" w:rsidP="00404BB4">
      <w:pPr>
        <w:pStyle w:val="Heading3"/>
      </w:pPr>
      <w:r>
        <w:t>YOUR EVIDENCE, UNLOCKED</w:t>
      </w:r>
    </w:p>
    <w:p w14:paraId="7BFB467F" w14:textId="77777777" w:rsidR="00404BB4" w:rsidRPr="00404BB4" w:rsidRDefault="00404BB4" w:rsidP="00404BB4">
      <w:pPr>
        <w:pStyle w:val="NormalWeb"/>
        <w:rPr>
          <w:rFonts w:ascii="Arial" w:hAnsi="Arial" w:cs="Arial"/>
          <w:sz w:val="20"/>
          <w:szCs w:val="20"/>
        </w:rPr>
      </w:pPr>
      <w:r w:rsidRPr="00404BB4">
        <w:rPr>
          <w:rStyle w:val="Strong"/>
          <w:rFonts w:ascii="Arial" w:hAnsi="Arial" w:cs="Arial"/>
          <w:sz w:val="20"/>
          <w:szCs w:val="20"/>
        </w:rPr>
        <w:t>Ask Questions of the Knowledge You Already Have</w:t>
      </w:r>
    </w:p>
    <w:p w14:paraId="71CC7271" w14:textId="77777777" w:rsidR="00404BB4" w:rsidRPr="00404BB4" w:rsidRDefault="00404BB4" w:rsidP="00404BB4">
      <w:pPr>
        <w:pStyle w:val="NormalWeb"/>
        <w:rPr>
          <w:rFonts w:ascii="Arial" w:hAnsi="Arial" w:cs="Arial"/>
          <w:sz w:val="20"/>
          <w:szCs w:val="20"/>
        </w:rPr>
      </w:pPr>
      <w:r w:rsidRPr="00404BB4">
        <w:rPr>
          <w:rFonts w:ascii="Arial" w:hAnsi="Arial" w:cs="Arial"/>
          <w:sz w:val="20"/>
          <w:szCs w:val="20"/>
        </w:rPr>
        <w:t>Organizations accumulate enormous amounts of knowledge in PDFs, research papers, clinical protocols, policy documents, legal filings, grant reports, meeting minutes, and internal records. Much of that knowledge can be found by keyword, but not interrogated by meaning or synthesized across sources.</w:t>
      </w:r>
    </w:p>
    <w:p w14:paraId="4B4F4014" w14:textId="77777777" w:rsidR="00404BB4" w:rsidRPr="00404BB4" w:rsidRDefault="00404BB4" w:rsidP="00404BB4">
      <w:pPr>
        <w:pStyle w:val="NormalWeb"/>
        <w:rPr>
          <w:rFonts w:ascii="Arial" w:hAnsi="Arial" w:cs="Arial"/>
          <w:sz w:val="20"/>
          <w:szCs w:val="20"/>
        </w:rPr>
      </w:pPr>
      <w:r w:rsidRPr="00404BB4">
        <w:rPr>
          <w:rFonts w:ascii="Arial" w:hAnsi="Arial" w:cs="Arial"/>
          <w:sz w:val="20"/>
          <w:szCs w:val="20"/>
        </w:rPr>
        <w:t>SEEK2000 changes that. Ask, “What were the primary risk factors identified across our clinical trial documentation?” and receive a supported answer with citations to the relevant evidence. Ask, “Which policy documents address data retention for PHI?” and receive a sourced response with page-level references.</w:t>
      </w:r>
    </w:p>
    <w:p w14:paraId="3A5A0FD0" w14:textId="77777777" w:rsidR="00404BB4" w:rsidRPr="00404BB4" w:rsidRDefault="00404BB4" w:rsidP="00404BB4">
      <w:pPr>
        <w:pStyle w:val="NormalWeb"/>
        <w:rPr>
          <w:rFonts w:ascii="Arial" w:hAnsi="Arial" w:cs="Arial"/>
          <w:sz w:val="20"/>
          <w:szCs w:val="20"/>
        </w:rPr>
      </w:pPr>
      <w:r w:rsidRPr="00404BB4">
        <w:rPr>
          <w:rFonts w:ascii="Arial" w:hAnsi="Arial" w:cs="Arial"/>
          <w:sz w:val="20"/>
          <w:szCs w:val="20"/>
        </w:rPr>
        <w:t>SEEK2000 uses semantic retrieval to identify evidence based on the meaning of a question rather than exact keyword matches. Local documents can be indexed directly without uploading them to a third-party service, turning existing collections into queryable evidence corpora while preserving organizational control of the source material.</w:t>
      </w:r>
    </w:p>
    <w:p w14:paraId="5A4E1745" w14:textId="4DE61437" w:rsidR="00111DF4" w:rsidRPr="00111DF4" w:rsidRDefault="00111DF4" w:rsidP="00111DF4">
      <w:pPr>
        <w:spacing w:before="100" w:beforeAutospacing="1" w:after="100" w:afterAutospacing="1"/>
        <w:outlineLvl w:val="2"/>
        <w:rPr>
          <w:rFonts w:eastAsia="Times New Roman"/>
          <w:color w:val="auto"/>
          <w:sz w:val="24"/>
          <w:szCs w:val="24"/>
        </w:rPr>
      </w:pPr>
      <w:r w:rsidRPr="00111DF4">
        <w:rPr>
          <w:sz w:val="24"/>
          <w:szCs w:val="24"/>
        </w:rPr>
        <w:t>THE PROBLEM</w:t>
      </w:r>
    </w:p>
    <w:p w14:paraId="00DF981F" w14:textId="77777777" w:rsidR="00111DF4" w:rsidRPr="00111DF4" w:rsidRDefault="00111DF4" w:rsidP="00111DF4">
      <w:pPr>
        <w:spacing w:before="100" w:beforeAutospacing="1" w:after="100" w:afterAutospacing="1"/>
        <w:rPr>
          <w:rFonts w:eastAsia="Times New Roman"/>
          <w:color w:val="auto"/>
        </w:rPr>
      </w:pPr>
      <w:r w:rsidRPr="00111DF4">
        <w:rPr>
          <w:rFonts w:eastAsia="Times New Roman"/>
          <w:b/>
          <w:bCs/>
          <w:color w:val="auto"/>
        </w:rPr>
        <w:t>Cloud RAG Creates Risk for Sensitive Organizations</w:t>
      </w:r>
    </w:p>
    <w:p w14:paraId="1CDB9FE0" w14:textId="77777777" w:rsidR="00111DF4" w:rsidRPr="00111DF4" w:rsidRDefault="00111DF4" w:rsidP="00111DF4">
      <w:pPr>
        <w:spacing w:before="100" w:beforeAutospacing="1" w:after="100" w:afterAutospacing="1"/>
        <w:rPr>
          <w:rFonts w:eastAsia="Times New Roman"/>
          <w:color w:val="auto"/>
        </w:rPr>
      </w:pPr>
      <w:r w:rsidRPr="00111DF4">
        <w:rPr>
          <w:rFonts w:eastAsia="Times New Roman"/>
          <w:color w:val="auto"/>
        </w:rPr>
        <w:t>Retrieval-Augmented Generation (RAG) has become a common architecture for document intelligence. Many implementations, however, depend on cloud infrastructure: documents are uploaded to external servers, queries are processed through third-party APIs, and organizational data cross trust boundaries during use.</w:t>
      </w:r>
    </w:p>
    <w:p w14:paraId="30911A36" w14:textId="77777777" w:rsidR="00111DF4" w:rsidRPr="00111DF4" w:rsidRDefault="00111DF4" w:rsidP="00111DF4">
      <w:pPr>
        <w:spacing w:before="100" w:beforeAutospacing="1" w:after="100" w:afterAutospacing="1"/>
        <w:rPr>
          <w:rFonts w:eastAsia="Times New Roman"/>
          <w:color w:val="auto"/>
        </w:rPr>
      </w:pPr>
      <w:r w:rsidRPr="00111DF4">
        <w:rPr>
          <w:rFonts w:eastAsia="Times New Roman"/>
          <w:color w:val="auto"/>
        </w:rPr>
        <w:t>For organizations operating under HIPAA, IRB protocols, attorney-client privilege, institutional data-governance policies, or competitive confidentiality requirements, those dependencies can create unnecessary risk and limit which information can safely be used.</w:t>
      </w:r>
    </w:p>
    <w:p w14:paraId="2BA1C2B8" w14:textId="4813B39F" w:rsidR="00111DF4" w:rsidRPr="00111DF4" w:rsidRDefault="00111DF4" w:rsidP="00111DF4">
      <w:pPr>
        <w:spacing w:before="100" w:beforeAutospacing="1" w:after="100" w:afterAutospacing="1"/>
        <w:outlineLvl w:val="2"/>
        <w:rPr>
          <w:rFonts w:eastAsia="Times New Roman"/>
          <w:color w:val="auto"/>
          <w:sz w:val="24"/>
          <w:szCs w:val="24"/>
        </w:rPr>
      </w:pPr>
      <w:r w:rsidRPr="00111DF4">
        <w:rPr>
          <w:sz w:val="24"/>
          <w:szCs w:val="24"/>
        </w:rPr>
        <w:t xml:space="preserve">THE </w:t>
      </w:r>
      <w:r>
        <w:rPr>
          <w:sz w:val="24"/>
          <w:szCs w:val="24"/>
        </w:rPr>
        <w:t>SOLUTION</w:t>
      </w:r>
    </w:p>
    <w:p w14:paraId="2BD79736" w14:textId="77777777" w:rsidR="00111DF4" w:rsidRPr="00111DF4" w:rsidRDefault="00111DF4" w:rsidP="00111DF4">
      <w:pPr>
        <w:spacing w:before="280" w:after="60"/>
        <w:rPr>
          <w:b/>
          <w:bCs/>
          <w:color w:val="111111"/>
        </w:rPr>
      </w:pPr>
      <w:r w:rsidRPr="00111DF4">
        <w:rPr>
          <w:b/>
          <w:bCs/>
          <w:color w:val="111111"/>
        </w:rPr>
        <w:t>Evidence-Bounded AI, On Your Terms</w:t>
      </w:r>
    </w:p>
    <w:p w14:paraId="08D0C8DD" w14:textId="77777777" w:rsidR="00111DF4" w:rsidRPr="00111DF4" w:rsidRDefault="00111DF4" w:rsidP="00111DF4">
      <w:pPr>
        <w:spacing w:before="280" w:after="60"/>
        <w:rPr>
          <w:color w:val="111111"/>
        </w:rPr>
      </w:pPr>
      <w:r w:rsidRPr="00111DF4">
        <w:rPr>
          <w:color w:val="111111"/>
        </w:rPr>
        <w:t>SEEK2000 gives organizations control over both their evidence and the systems used to analyze it:</w:t>
      </w:r>
    </w:p>
    <w:p w14:paraId="4CB67C62" w14:textId="77777777" w:rsidR="00111DF4" w:rsidRPr="00111DF4" w:rsidRDefault="00111DF4" w:rsidP="00111DF4">
      <w:pPr>
        <w:spacing w:before="280" w:after="60"/>
        <w:rPr>
          <w:color w:val="111111"/>
        </w:rPr>
      </w:pPr>
      <w:r w:rsidRPr="00111DF4">
        <w:rPr>
          <w:color w:val="111111"/>
        </w:rPr>
        <w:t>Fully Local. Processing can run exclusively on organizational hardware, with no external API calls and no source documents leaving the network. Compatible with air-gapped environments.</w:t>
      </w:r>
    </w:p>
    <w:p w14:paraId="0FCE9AFD" w14:textId="77777777" w:rsidR="00111DF4" w:rsidRPr="00111DF4" w:rsidRDefault="00111DF4" w:rsidP="00111DF4">
      <w:pPr>
        <w:spacing w:before="280" w:after="60"/>
        <w:rPr>
          <w:color w:val="111111"/>
        </w:rPr>
      </w:pPr>
      <w:r w:rsidRPr="00111DF4">
        <w:rPr>
          <w:color w:val="111111"/>
        </w:rPr>
        <w:t>Hybrid. Retrieval and indexing remain local while organizations may optionally use external LLMs for synthesis using their own API credentials and policies. Organizations determine what information, if any, crosses the boundary.</w:t>
      </w:r>
    </w:p>
    <w:p w14:paraId="66D9C510" w14:textId="77777777" w:rsidR="009C4370" w:rsidRDefault="009C4370" w:rsidP="00111DF4">
      <w:pPr>
        <w:spacing w:before="280" w:after="60"/>
        <w:rPr>
          <w:color w:val="111111"/>
        </w:rPr>
      </w:pPr>
      <w:r w:rsidRPr="009C4370">
        <w:rPr>
          <w:color w:val="111111"/>
        </w:rPr>
        <w:lastRenderedPageBreak/>
        <w:t>Multiple Evidence Sources. SEEK2000 is designed to work across local files, public evidence sources, and external systems through native connectors and standards-based interfaces such as the Model Context Protocol (MCP). This allows new evidence sources to be incorporated without making any single vendor or API the center of the architecture.</w:t>
      </w:r>
    </w:p>
    <w:p w14:paraId="5805EB81" w14:textId="2E3FF654" w:rsidR="00111DF4" w:rsidRPr="00111DF4" w:rsidRDefault="00111DF4" w:rsidP="00111DF4">
      <w:pPr>
        <w:spacing w:before="280" w:after="60"/>
        <w:rPr>
          <w:color w:val="111111"/>
        </w:rPr>
      </w:pPr>
      <w:r w:rsidRPr="00111DF4">
        <w:rPr>
          <w:color w:val="111111"/>
        </w:rPr>
        <w:t>Evidence Before Inference. Answers are grounded in retrieved evidence rather than AI memory. SEEK2000 constrains unsupported generation by preserving the evidentiary basis of responses and making uncertainty or insufficient evidence explicit.</w:t>
      </w:r>
    </w:p>
    <w:p w14:paraId="3995F517" w14:textId="0D9366C9" w:rsidR="00111DF4" w:rsidRPr="00111DF4" w:rsidRDefault="00111DF4" w:rsidP="00111DF4">
      <w:pPr>
        <w:spacing w:before="100" w:beforeAutospacing="1" w:after="100" w:afterAutospacing="1"/>
        <w:outlineLvl w:val="2"/>
        <w:rPr>
          <w:rFonts w:eastAsia="Times New Roman"/>
          <w:color w:val="auto"/>
          <w:sz w:val="24"/>
          <w:szCs w:val="24"/>
        </w:rPr>
      </w:pPr>
      <w:r>
        <w:rPr>
          <w:sz w:val="24"/>
          <w:szCs w:val="24"/>
        </w:rPr>
        <w:t>HOW IT WORKS</w:t>
      </w:r>
    </w:p>
    <w:p w14:paraId="013FEFF3" w14:textId="77777777" w:rsidR="00111DF4" w:rsidRPr="00111DF4" w:rsidRDefault="00111DF4" w:rsidP="00111DF4">
      <w:pPr>
        <w:pStyle w:val="pdq2pgselectionanchorcontainer"/>
        <w:rPr>
          <w:rFonts w:ascii="Arial" w:hAnsi="Arial" w:cs="Arial"/>
          <w:sz w:val="20"/>
          <w:szCs w:val="20"/>
        </w:rPr>
      </w:pPr>
      <w:r w:rsidRPr="00111DF4">
        <w:rPr>
          <w:rStyle w:val="Strong"/>
          <w:rFonts w:ascii="Arial" w:hAnsi="Arial" w:cs="Arial"/>
          <w:sz w:val="20"/>
          <w:szCs w:val="20"/>
        </w:rPr>
        <w:t>The SEEK2000 Pipeline</w:t>
      </w:r>
    </w:p>
    <w:p w14:paraId="0CE4DD20"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Ingest.</w:t>
      </w:r>
      <w:r w:rsidRPr="00111DF4">
        <w:rPr>
          <w:rFonts w:ascii="Arial" w:hAnsi="Arial" w:cs="Arial"/>
          <w:sz w:val="20"/>
          <w:szCs w:val="20"/>
        </w:rPr>
        <w:t xml:space="preserve"> Evidence is ingested from authorized sources. The current implementation supports local PDF collections, with additional evidence connectors planned.</w:t>
      </w:r>
    </w:p>
    <w:p w14:paraId="4303CFAB"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Chunk.</w:t>
      </w:r>
      <w:r w:rsidRPr="00111DF4">
        <w:rPr>
          <w:rFonts w:ascii="Arial" w:hAnsi="Arial" w:cs="Arial"/>
          <w:sz w:val="20"/>
          <w:szCs w:val="20"/>
        </w:rPr>
        <w:t xml:space="preserve"> Documents are divided into overlapping text segments to preserve context across boundaries.</w:t>
      </w:r>
    </w:p>
    <w:p w14:paraId="0442BD90"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Embed.</w:t>
      </w:r>
      <w:r w:rsidRPr="00111DF4">
        <w:rPr>
          <w:rFonts w:ascii="Arial" w:hAnsi="Arial" w:cs="Arial"/>
          <w:sz w:val="20"/>
          <w:szCs w:val="20"/>
        </w:rPr>
        <w:t xml:space="preserve"> Content is encoded into dense vector representations locally using sentence-transformer models.</w:t>
      </w:r>
    </w:p>
    <w:p w14:paraId="0F6EDE6F"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Index.</w:t>
      </w:r>
      <w:r w:rsidRPr="00111DF4">
        <w:rPr>
          <w:rFonts w:ascii="Arial" w:hAnsi="Arial" w:cs="Arial"/>
          <w:sz w:val="20"/>
          <w:szCs w:val="20"/>
        </w:rPr>
        <w:t xml:space="preserve"> Vector representations are stored in a persistent local FAISS index for rapid retrieval.</w:t>
      </w:r>
    </w:p>
    <w:p w14:paraId="2B5806BE"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Retrieve.</w:t>
      </w:r>
      <w:r w:rsidRPr="00111DF4">
        <w:rPr>
          <w:rFonts w:ascii="Arial" w:hAnsi="Arial" w:cs="Arial"/>
          <w:sz w:val="20"/>
          <w:szCs w:val="20"/>
        </w:rPr>
        <w:t xml:space="preserve"> Questions are semantically matched against indexed evidence. Results are reranked using Maximal Marginal Relevance (MMR) to improve diversity and reduce redundant sources.</w:t>
      </w:r>
    </w:p>
    <w:p w14:paraId="6B076643" w14:textId="77777777" w:rsidR="00111DF4" w:rsidRPr="00111DF4" w:rsidRDefault="00111DF4" w:rsidP="00111DF4">
      <w:pPr>
        <w:pStyle w:val="NormalWeb"/>
        <w:rPr>
          <w:rFonts w:ascii="Arial" w:hAnsi="Arial" w:cs="Arial"/>
          <w:sz w:val="20"/>
          <w:szCs w:val="20"/>
        </w:rPr>
      </w:pPr>
      <w:r w:rsidRPr="00111DF4">
        <w:rPr>
          <w:rStyle w:val="Strong"/>
          <w:rFonts w:ascii="Arial" w:hAnsi="Arial" w:cs="Arial"/>
          <w:sz w:val="20"/>
          <w:szCs w:val="20"/>
        </w:rPr>
        <w:t>Synthesize.</w:t>
      </w:r>
      <w:r w:rsidRPr="00111DF4">
        <w:rPr>
          <w:rFonts w:ascii="Arial" w:hAnsi="Arial" w:cs="Arial"/>
          <w:sz w:val="20"/>
          <w:szCs w:val="20"/>
        </w:rPr>
        <w:t xml:space="preserve"> Retrieved evidence is assembled into a supported response with linked citations, page-level provenance, and explicit indication of uncertainty or insufficient evidence.</w:t>
      </w:r>
    </w:p>
    <w:p w14:paraId="75A496A7" w14:textId="0DB99A00" w:rsidR="002010D3" w:rsidRPr="00111DF4" w:rsidRDefault="002010D3" w:rsidP="002010D3">
      <w:pPr>
        <w:spacing w:before="100" w:beforeAutospacing="1" w:after="100" w:afterAutospacing="1"/>
        <w:outlineLvl w:val="2"/>
        <w:rPr>
          <w:rFonts w:eastAsia="Times New Roman"/>
          <w:color w:val="auto"/>
          <w:sz w:val="24"/>
          <w:szCs w:val="24"/>
        </w:rPr>
      </w:pPr>
      <w:r>
        <w:rPr>
          <w:sz w:val="24"/>
          <w:szCs w:val="24"/>
        </w:rPr>
        <w:t>USE CASES</w:t>
      </w:r>
    </w:p>
    <w:p w14:paraId="3CD715FE" w14:textId="77777777" w:rsidR="002010D3" w:rsidRPr="002010D3" w:rsidRDefault="002010D3" w:rsidP="002010D3">
      <w:pPr>
        <w:pStyle w:val="pdq2pgselectionanchorcontainer"/>
        <w:rPr>
          <w:rFonts w:ascii="Arial" w:hAnsi="Arial" w:cs="Arial"/>
          <w:sz w:val="20"/>
          <w:szCs w:val="20"/>
        </w:rPr>
      </w:pPr>
      <w:r w:rsidRPr="002010D3">
        <w:rPr>
          <w:rStyle w:val="Strong"/>
          <w:rFonts w:ascii="Arial" w:hAnsi="Arial" w:cs="Arial"/>
          <w:sz w:val="20"/>
          <w:szCs w:val="20"/>
        </w:rPr>
        <w:t>Built for High-Stakes Data Environments</w:t>
      </w:r>
    </w:p>
    <w:p w14:paraId="2273734A" w14:textId="77777777" w:rsidR="002010D3" w:rsidRPr="002010D3" w:rsidRDefault="002010D3" w:rsidP="002010D3">
      <w:pPr>
        <w:pStyle w:val="NormalWeb"/>
        <w:rPr>
          <w:rFonts w:ascii="Arial" w:hAnsi="Arial" w:cs="Arial"/>
          <w:sz w:val="20"/>
          <w:szCs w:val="20"/>
        </w:rPr>
      </w:pPr>
      <w:r w:rsidRPr="002010D3">
        <w:rPr>
          <w:rStyle w:val="Strong"/>
          <w:rFonts w:ascii="Arial" w:hAnsi="Arial" w:cs="Arial"/>
          <w:sz w:val="20"/>
          <w:szCs w:val="20"/>
        </w:rPr>
        <w:t>Healthcare &amp; Clinical Research.</w:t>
      </w:r>
      <w:r w:rsidRPr="002010D3">
        <w:rPr>
          <w:rFonts w:ascii="Arial" w:hAnsi="Arial" w:cs="Arial"/>
          <w:sz w:val="20"/>
          <w:szCs w:val="20"/>
        </w:rPr>
        <w:t xml:space="preserve"> Query clinical documentation, research literature, protocols, and other authorized evidence while keeping PHI and PII under organizational control.</w:t>
      </w:r>
    </w:p>
    <w:p w14:paraId="421A9255" w14:textId="77777777" w:rsidR="002010D3" w:rsidRPr="002010D3" w:rsidRDefault="002010D3" w:rsidP="002010D3">
      <w:pPr>
        <w:pStyle w:val="NormalWeb"/>
        <w:rPr>
          <w:rFonts w:ascii="Arial" w:hAnsi="Arial" w:cs="Arial"/>
          <w:sz w:val="20"/>
          <w:szCs w:val="20"/>
        </w:rPr>
      </w:pPr>
      <w:r w:rsidRPr="002010D3">
        <w:rPr>
          <w:rStyle w:val="Strong"/>
          <w:rFonts w:ascii="Arial" w:hAnsi="Arial" w:cs="Arial"/>
          <w:sz w:val="20"/>
          <w:szCs w:val="20"/>
        </w:rPr>
        <w:t>Public Health Agencies.</w:t>
      </w:r>
      <w:r w:rsidRPr="002010D3">
        <w:rPr>
          <w:rFonts w:ascii="Arial" w:hAnsi="Arial" w:cs="Arial"/>
          <w:sz w:val="20"/>
          <w:szCs w:val="20"/>
        </w:rPr>
        <w:t xml:space="preserve"> Analyze surveillance reports, policy documents, epidemiological literature, and institutional records across large historical collections.</w:t>
      </w:r>
    </w:p>
    <w:p w14:paraId="106CA66A" w14:textId="77777777" w:rsidR="002010D3" w:rsidRPr="002010D3" w:rsidRDefault="002010D3" w:rsidP="002010D3">
      <w:pPr>
        <w:pStyle w:val="NormalWeb"/>
        <w:rPr>
          <w:rFonts w:ascii="Arial" w:hAnsi="Arial" w:cs="Arial"/>
          <w:sz w:val="20"/>
          <w:szCs w:val="20"/>
        </w:rPr>
      </w:pPr>
      <w:r w:rsidRPr="002010D3">
        <w:rPr>
          <w:rStyle w:val="Strong"/>
          <w:rFonts w:ascii="Arial" w:hAnsi="Arial" w:cs="Arial"/>
          <w:sz w:val="20"/>
          <w:szCs w:val="20"/>
        </w:rPr>
        <w:t>Legal &amp; Compliance.</w:t>
      </w:r>
      <w:r w:rsidRPr="002010D3">
        <w:rPr>
          <w:rFonts w:ascii="Arial" w:hAnsi="Arial" w:cs="Arial"/>
          <w:sz w:val="20"/>
          <w:szCs w:val="20"/>
        </w:rPr>
        <w:t xml:space="preserve"> Analyze privileged documents, contracts, regulatory filings, policies, and case materials while maintaining control over confidential source material.</w:t>
      </w:r>
    </w:p>
    <w:p w14:paraId="3338FAB0" w14:textId="77777777" w:rsidR="002010D3" w:rsidRPr="002010D3" w:rsidRDefault="002010D3" w:rsidP="002010D3">
      <w:pPr>
        <w:pStyle w:val="NormalWeb"/>
        <w:rPr>
          <w:rFonts w:ascii="Arial" w:hAnsi="Arial" w:cs="Arial"/>
          <w:sz w:val="20"/>
          <w:szCs w:val="20"/>
        </w:rPr>
      </w:pPr>
      <w:r w:rsidRPr="002010D3">
        <w:rPr>
          <w:rStyle w:val="Strong"/>
          <w:rFonts w:ascii="Arial" w:hAnsi="Arial" w:cs="Arial"/>
          <w:sz w:val="20"/>
          <w:szCs w:val="20"/>
        </w:rPr>
        <w:t>Academic &amp; Institutional Research.</w:t>
      </w:r>
      <w:r w:rsidRPr="002010D3">
        <w:rPr>
          <w:rFonts w:ascii="Arial" w:hAnsi="Arial" w:cs="Arial"/>
          <w:sz w:val="20"/>
          <w:szCs w:val="20"/>
        </w:rPr>
        <w:t xml:space="preserve"> Query publication corpora, grant documentation, research records, policies, and institutional knowledge.</w:t>
      </w:r>
    </w:p>
    <w:p w14:paraId="2BF60509" w14:textId="77777777" w:rsidR="002010D3" w:rsidRPr="002010D3" w:rsidRDefault="002010D3" w:rsidP="002010D3">
      <w:pPr>
        <w:pStyle w:val="NormalWeb"/>
        <w:rPr>
          <w:rFonts w:ascii="Arial" w:hAnsi="Arial" w:cs="Arial"/>
          <w:sz w:val="20"/>
          <w:szCs w:val="20"/>
        </w:rPr>
      </w:pPr>
      <w:r w:rsidRPr="002010D3">
        <w:rPr>
          <w:rStyle w:val="Strong"/>
          <w:rFonts w:ascii="Arial" w:hAnsi="Arial" w:cs="Arial"/>
          <w:sz w:val="20"/>
          <w:szCs w:val="20"/>
        </w:rPr>
        <w:t>Insurance &amp; Actuarial.</w:t>
      </w:r>
      <w:r w:rsidRPr="002010D3">
        <w:rPr>
          <w:rFonts w:ascii="Arial" w:hAnsi="Arial" w:cs="Arial"/>
          <w:sz w:val="20"/>
          <w:szCs w:val="20"/>
        </w:rPr>
        <w:t xml:space="preserve"> Analyze policy documents, claims records, regulatory materials, and other authorized evidence within controlled environments.</w:t>
      </w:r>
    </w:p>
    <w:p w14:paraId="5BC1C19D" w14:textId="5FF1107D" w:rsidR="002010D3" w:rsidRPr="00111DF4" w:rsidRDefault="002010D3" w:rsidP="002010D3">
      <w:pPr>
        <w:spacing w:before="100" w:beforeAutospacing="1" w:after="100" w:afterAutospacing="1"/>
        <w:outlineLvl w:val="2"/>
        <w:rPr>
          <w:rFonts w:eastAsia="Times New Roman"/>
          <w:color w:val="auto"/>
          <w:sz w:val="24"/>
          <w:szCs w:val="24"/>
        </w:rPr>
      </w:pPr>
      <w:r>
        <w:rPr>
          <w:sz w:val="24"/>
          <w:szCs w:val="24"/>
        </w:rPr>
        <w:t>TECHNICAL STACK</w:t>
      </w:r>
    </w:p>
    <w:p w14:paraId="2F79420A" w14:textId="77777777" w:rsidR="004D0120" w:rsidRDefault="00000000">
      <w:pPr>
        <w:spacing w:after="100"/>
      </w:pPr>
      <w:r>
        <w:rPr>
          <w:b/>
          <w:bCs/>
          <w:color w:val="111111"/>
          <w:sz w:val="24"/>
          <w:szCs w:val="24"/>
        </w:rPr>
        <w:t>Architecture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6232"/>
      </w:tblGrid>
      <w:tr w:rsidR="004D0120" w14:paraId="147C149D" w14:textId="77777777">
        <w:tc>
          <w:tcPr>
            <w:tcW w:w="0" w:type="auto"/>
            <w:shd w:val="clear" w:color="auto" w:fill="111827"/>
            <w:tcMar>
              <w:top w:w="80" w:type="dxa"/>
              <w:left w:w="120" w:type="dxa"/>
              <w:bottom w:w="80" w:type="dxa"/>
              <w:right w:w="120" w:type="dxa"/>
            </w:tcMar>
            <w:vAlign w:val="center"/>
          </w:tcPr>
          <w:p w14:paraId="59E75199" w14:textId="77777777" w:rsidR="004D0120" w:rsidRDefault="00000000">
            <w:r>
              <w:rPr>
                <w:b/>
                <w:bCs/>
                <w:color w:val="FFFFFF"/>
                <w:sz w:val="18"/>
                <w:szCs w:val="18"/>
              </w:rPr>
              <w:t>Component</w:t>
            </w:r>
          </w:p>
        </w:tc>
        <w:tc>
          <w:tcPr>
            <w:tcW w:w="0" w:type="auto"/>
            <w:shd w:val="clear" w:color="auto" w:fill="111827"/>
            <w:tcMar>
              <w:top w:w="80" w:type="dxa"/>
              <w:left w:w="120" w:type="dxa"/>
              <w:bottom w:w="80" w:type="dxa"/>
              <w:right w:w="120" w:type="dxa"/>
            </w:tcMar>
            <w:vAlign w:val="center"/>
          </w:tcPr>
          <w:p w14:paraId="1A323DDD" w14:textId="77777777" w:rsidR="004D0120" w:rsidRDefault="00000000">
            <w:r>
              <w:rPr>
                <w:b/>
                <w:bCs/>
                <w:color w:val="FFFFFF"/>
                <w:sz w:val="18"/>
                <w:szCs w:val="18"/>
              </w:rPr>
              <w:t>Technology</w:t>
            </w:r>
          </w:p>
        </w:tc>
      </w:tr>
      <w:tr w:rsidR="004D0120" w14:paraId="5D128F83" w14:textId="77777777">
        <w:tc>
          <w:tcPr>
            <w:tcW w:w="0" w:type="auto"/>
            <w:shd w:val="clear" w:color="auto" w:fill="FFFFFF"/>
            <w:tcMar>
              <w:top w:w="80" w:type="dxa"/>
              <w:left w:w="120" w:type="dxa"/>
              <w:bottom w:w="80" w:type="dxa"/>
              <w:right w:w="120" w:type="dxa"/>
            </w:tcMar>
            <w:vAlign w:val="center"/>
          </w:tcPr>
          <w:p w14:paraId="772F8FE4" w14:textId="77777777" w:rsidR="004D0120" w:rsidRDefault="00000000">
            <w:r>
              <w:rPr>
                <w:b/>
                <w:bCs/>
                <w:color w:val="111111"/>
                <w:sz w:val="18"/>
                <w:szCs w:val="18"/>
              </w:rPr>
              <w:t>API Layer</w:t>
            </w:r>
          </w:p>
        </w:tc>
        <w:tc>
          <w:tcPr>
            <w:tcW w:w="0" w:type="auto"/>
            <w:shd w:val="clear" w:color="auto" w:fill="FFFFFF"/>
            <w:tcMar>
              <w:top w:w="80" w:type="dxa"/>
              <w:left w:w="120" w:type="dxa"/>
              <w:bottom w:w="80" w:type="dxa"/>
              <w:right w:w="120" w:type="dxa"/>
            </w:tcMar>
            <w:vAlign w:val="center"/>
          </w:tcPr>
          <w:p w14:paraId="76B01B41" w14:textId="77777777" w:rsidR="004D0120" w:rsidRDefault="00000000">
            <w:r>
              <w:rPr>
                <w:sz w:val="18"/>
                <w:szCs w:val="18"/>
              </w:rPr>
              <w:t>FastAPI + Uvicorn</w:t>
            </w:r>
          </w:p>
        </w:tc>
      </w:tr>
      <w:tr w:rsidR="004D0120" w14:paraId="66D1F4DF" w14:textId="77777777">
        <w:tc>
          <w:tcPr>
            <w:tcW w:w="0" w:type="auto"/>
            <w:shd w:val="clear" w:color="auto" w:fill="F9FAFB"/>
            <w:tcMar>
              <w:top w:w="80" w:type="dxa"/>
              <w:left w:w="120" w:type="dxa"/>
              <w:bottom w:w="80" w:type="dxa"/>
              <w:right w:w="120" w:type="dxa"/>
            </w:tcMar>
            <w:vAlign w:val="center"/>
          </w:tcPr>
          <w:p w14:paraId="2C187B05" w14:textId="77777777" w:rsidR="004D0120" w:rsidRDefault="00000000">
            <w:r>
              <w:rPr>
                <w:b/>
                <w:bCs/>
                <w:color w:val="111111"/>
                <w:sz w:val="18"/>
                <w:szCs w:val="18"/>
              </w:rPr>
              <w:t>Embeddings</w:t>
            </w:r>
          </w:p>
        </w:tc>
        <w:tc>
          <w:tcPr>
            <w:tcW w:w="0" w:type="auto"/>
            <w:shd w:val="clear" w:color="auto" w:fill="F9FAFB"/>
            <w:tcMar>
              <w:top w:w="80" w:type="dxa"/>
              <w:left w:w="120" w:type="dxa"/>
              <w:bottom w:w="80" w:type="dxa"/>
              <w:right w:w="120" w:type="dxa"/>
            </w:tcMar>
            <w:vAlign w:val="center"/>
          </w:tcPr>
          <w:p w14:paraId="42342DE8" w14:textId="77777777" w:rsidR="004D0120" w:rsidRDefault="00000000">
            <w:r>
              <w:rPr>
                <w:sz w:val="18"/>
                <w:szCs w:val="18"/>
              </w:rPr>
              <w:t>sentence-transformers (all-MiniLM-L6-v2)</w:t>
            </w:r>
          </w:p>
        </w:tc>
      </w:tr>
      <w:tr w:rsidR="004D0120" w14:paraId="20F2E120" w14:textId="77777777">
        <w:tc>
          <w:tcPr>
            <w:tcW w:w="0" w:type="auto"/>
            <w:shd w:val="clear" w:color="auto" w:fill="FFFFFF"/>
            <w:tcMar>
              <w:top w:w="80" w:type="dxa"/>
              <w:left w:w="120" w:type="dxa"/>
              <w:bottom w:w="80" w:type="dxa"/>
              <w:right w:w="120" w:type="dxa"/>
            </w:tcMar>
            <w:vAlign w:val="center"/>
          </w:tcPr>
          <w:p w14:paraId="1FABF5D1" w14:textId="77777777" w:rsidR="004D0120" w:rsidRDefault="00000000">
            <w:r>
              <w:rPr>
                <w:b/>
                <w:bCs/>
                <w:color w:val="111111"/>
                <w:sz w:val="18"/>
                <w:szCs w:val="18"/>
              </w:rPr>
              <w:t>Vector Index</w:t>
            </w:r>
          </w:p>
        </w:tc>
        <w:tc>
          <w:tcPr>
            <w:tcW w:w="0" w:type="auto"/>
            <w:shd w:val="clear" w:color="auto" w:fill="FFFFFF"/>
            <w:tcMar>
              <w:top w:w="80" w:type="dxa"/>
              <w:left w:w="120" w:type="dxa"/>
              <w:bottom w:w="80" w:type="dxa"/>
              <w:right w:w="120" w:type="dxa"/>
            </w:tcMar>
            <w:vAlign w:val="center"/>
          </w:tcPr>
          <w:p w14:paraId="23020E7F" w14:textId="77777777" w:rsidR="004D0120" w:rsidRDefault="00000000">
            <w:r>
              <w:rPr>
                <w:sz w:val="18"/>
                <w:szCs w:val="18"/>
              </w:rPr>
              <w:t>FAISS (Facebook AI Similarity Search)</w:t>
            </w:r>
          </w:p>
        </w:tc>
      </w:tr>
      <w:tr w:rsidR="004D0120" w14:paraId="79C9D5A3" w14:textId="77777777">
        <w:tc>
          <w:tcPr>
            <w:tcW w:w="0" w:type="auto"/>
            <w:shd w:val="clear" w:color="auto" w:fill="F9FAFB"/>
            <w:tcMar>
              <w:top w:w="80" w:type="dxa"/>
              <w:left w:w="120" w:type="dxa"/>
              <w:bottom w:w="80" w:type="dxa"/>
              <w:right w:w="120" w:type="dxa"/>
            </w:tcMar>
            <w:vAlign w:val="center"/>
          </w:tcPr>
          <w:p w14:paraId="20B34AF0" w14:textId="77777777" w:rsidR="004D0120" w:rsidRDefault="00000000">
            <w:r>
              <w:rPr>
                <w:b/>
                <w:bCs/>
                <w:color w:val="111111"/>
                <w:sz w:val="18"/>
                <w:szCs w:val="18"/>
              </w:rPr>
              <w:t>PDF Parsing</w:t>
            </w:r>
          </w:p>
        </w:tc>
        <w:tc>
          <w:tcPr>
            <w:tcW w:w="0" w:type="auto"/>
            <w:shd w:val="clear" w:color="auto" w:fill="F9FAFB"/>
            <w:tcMar>
              <w:top w:w="80" w:type="dxa"/>
              <w:left w:w="120" w:type="dxa"/>
              <w:bottom w:w="80" w:type="dxa"/>
              <w:right w:w="120" w:type="dxa"/>
            </w:tcMar>
            <w:vAlign w:val="center"/>
          </w:tcPr>
          <w:p w14:paraId="194EA983" w14:textId="77777777" w:rsidR="004D0120" w:rsidRDefault="00000000">
            <w:r>
              <w:rPr>
                <w:sz w:val="18"/>
                <w:szCs w:val="18"/>
              </w:rPr>
              <w:t>pdfplumber</w:t>
            </w:r>
          </w:p>
        </w:tc>
      </w:tr>
      <w:tr w:rsidR="004D0120" w14:paraId="3637304B" w14:textId="77777777">
        <w:tc>
          <w:tcPr>
            <w:tcW w:w="0" w:type="auto"/>
            <w:shd w:val="clear" w:color="auto" w:fill="FFFFFF"/>
            <w:tcMar>
              <w:top w:w="80" w:type="dxa"/>
              <w:left w:w="120" w:type="dxa"/>
              <w:bottom w:w="80" w:type="dxa"/>
              <w:right w:w="120" w:type="dxa"/>
            </w:tcMar>
            <w:vAlign w:val="center"/>
          </w:tcPr>
          <w:p w14:paraId="4F15C041" w14:textId="77777777" w:rsidR="004D0120" w:rsidRDefault="00000000">
            <w:r>
              <w:rPr>
                <w:b/>
                <w:bCs/>
                <w:color w:val="111111"/>
                <w:sz w:val="18"/>
                <w:szCs w:val="18"/>
              </w:rPr>
              <w:lastRenderedPageBreak/>
              <w:t>Reranking</w:t>
            </w:r>
          </w:p>
        </w:tc>
        <w:tc>
          <w:tcPr>
            <w:tcW w:w="0" w:type="auto"/>
            <w:shd w:val="clear" w:color="auto" w:fill="FFFFFF"/>
            <w:tcMar>
              <w:top w:w="80" w:type="dxa"/>
              <w:left w:w="120" w:type="dxa"/>
              <w:bottom w:w="80" w:type="dxa"/>
              <w:right w:w="120" w:type="dxa"/>
            </w:tcMar>
            <w:vAlign w:val="center"/>
          </w:tcPr>
          <w:p w14:paraId="107D6923" w14:textId="77777777" w:rsidR="004D0120" w:rsidRDefault="00000000">
            <w:r>
              <w:rPr>
                <w:sz w:val="18"/>
                <w:szCs w:val="18"/>
              </w:rPr>
              <w:t>Maximal Marginal Relevance (MMR)</w:t>
            </w:r>
          </w:p>
        </w:tc>
      </w:tr>
      <w:tr w:rsidR="004D0120" w14:paraId="299EEB7C" w14:textId="77777777">
        <w:tc>
          <w:tcPr>
            <w:tcW w:w="0" w:type="auto"/>
            <w:shd w:val="clear" w:color="auto" w:fill="F9FAFB"/>
            <w:tcMar>
              <w:top w:w="80" w:type="dxa"/>
              <w:left w:w="120" w:type="dxa"/>
              <w:bottom w:w="80" w:type="dxa"/>
              <w:right w:w="120" w:type="dxa"/>
            </w:tcMar>
            <w:vAlign w:val="center"/>
          </w:tcPr>
          <w:p w14:paraId="7E447925" w14:textId="77777777" w:rsidR="004D0120" w:rsidRDefault="00000000">
            <w:r>
              <w:rPr>
                <w:b/>
                <w:bCs/>
                <w:color w:val="111111"/>
                <w:sz w:val="18"/>
                <w:szCs w:val="18"/>
              </w:rPr>
              <w:t>Connectors</w:t>
            </w:r>
          </w:p>
        </w:tc>
        <w:tc>
          <w:tcPr>
            <w:tcW w:w="0" w:type="auto"/>
            <w:shd w:val="clear" w:color="auto" w:fill="F9FAFB"/>
            <w:tcMar>
              <w:top w:w="80" w:type="dxa"/>
              <w:left w:w="120" w:type="dxa"/>
              <w:bottom w:w="80" w:type="dxa"/>
              <w:right w:w="120" w:type="dxa"/>
            </w:tcMar>
            <w:vAlign w:val="center"/>
          </w:tcPr>
          <w:p w14:paraId="23E880B8" w14:textId="2395C2FF" w:rsidR="004D0120" w:rsidRDefault="00000000">
            <w:r>
              <w:rPr>
                <w:sz w:val="18"/>
                <w:szCs w:val="18"/>
              </w:rPr>
              <w:t xml:space="preserve">Local PDF </w:t>
            </w:r>
            <w:r w:rsidR="002010D3">
              <w:rPr>
                <w:sz w:val="18"/>
                <w:szCs w:val="18"/>
              </w:rPr>
              <w:t>collections</w:t>
            </w:r>
            <w:r>
              <w:rPr>
                <w:sz w:val="18"/>
                <w:szCs w:val="18"/>
              </w:rPr>
              <w:t>,</w:t>
            </w:r>
            <w:r w:rsidR="002010D3">
              <w:rPr>
                <w:sz w:val="18"/>
                <w:szCs w:val="18"/>
              </w:rPr>
              <w:t xml:space="preserve"> PubMed</w:t>
            </w:r>
          </w:p>
        </w:tc>
      </w:tr>
      <w:tr w:rsidR="009C4370" w14:paraId="66F21F91" w14:textId="77777777">
        <w:tc>
          <w:tcPr>
            <w:tcW w:w="0" w:type="auto"/>
            <w:shd w:val="clear" w:color="auto" w:fill="F9FAFB"/>
            <w:tcMar>
              <w:top w:w="80" w:type="dxa"/>
              <w:left w:w="120" w:type="dxa"/>
              <w:bottom w:w="80" w:type="dxa"/>
              <w:right w:w="120" w:type="dxa"/>
            </w:tcMar>
            <w:vAlign w:val="center"/>
          </w:tcPr>
          <w:p w14:paraId="0666B0C5" w14:textId="7929A6D7" w:rsidR="009C4370" w:rsidRDefault="009C4370">
            <w:pPr>
              <w:rPr>
                <w:b/>
                <w:bCs/>
                <w:color w:val="111111"/>
                <w:sz w:val="18"/>
                <w:szCs w:val="18"/>
              </w:rPr>
            </w:pPr>
            <w:r>
              <w:rPr>
                <w:b/>
                <w:bCs/>
                <w:color w:val="111111"/>
                <w:sz w:val="18"/>
                <w:szCs w:val="18"/>
              </w:rPr>
              <w:t>Planned Connectors</w:t>
            </w:r>
          </w:p>
        </w:tc>
        <w:tc>
          <w:tcPr>
            <w:tcW w:w="0" w:type="auto"/>
            <w:shd w:val="clear" w:color="auto" w:fill="F9FAFB"/>
            <w:tcMar>
              <w:top w:w="80" w:type="dxa"/>
              <w:left w:w="120" w:type="dxa"/>
              <w:bottom w:w="80" w:type="dxa"/>
              <w:right w:w="120" w:type="dxa"/>
            </w:tcMar>
            <w:vAlign w:val="center"/>
          </w:tcPr>
          <w:p w14:paraId="2C9839E7" w14:textId="0F900829" w:rsidR="009C4370" w:rsidRDefault="009C4370">
            <w:pPr>
              <w:rPr>
                <w:sz w:val="18"/>
                <w:szCs w:val="18"/>
              </w:rPr>
            </w:pPr>
            <w:r>
              <w:rPr>
                <w:sz w:val="18"/>
                <w:szCs w:val="18"/>
              </w:rPr>
              <w:t>arXiv, websites</w:t>
            </w:r>
          </w:p>
        </w:tc>
      </w:tr>
      <w:tr w:rsidR="004D0120" w14:paraId="62A88FC6" w14:textId="77777777">
        <w:tc>
          <w:tcPr>
            <w:tcW w:w="0" w:type="auto"/>
            <w:shd w:val="clear" w:color="auto" w:fill="FFFFFF"/>
            <w:tcMar>
              <w:top w:w="80" w:type="dxa"/>
              <w:left w:w="120" w:type="dxa"/>
              <w:bottom w:w="80" w:type="dxa"/>
              <w:right w:w="120" w:type="dxa"/>
            </w:tcMar>
            <w:vAlign w:val="center"/>
          </w:tcPr>
          <w:p w14:paraId="50BCC951" w14:textId="77777777" w:rsidR="004D0120" w:rsidRDefault="00000000">
            <w:r>
              <w:rPr>
                <w:b/>
                <w:bCs/>
                <w:color w:val="111111"/>
                <w:sz w:val="18"/>
                <w:szCs w:val="18"/>
              </w:rPr>
              <w:t>External LLM</w:t>
            </w:r>
          </w:p>
        </w:tc>
        <w:tc>
          <w:tcPr>
            <w:tcW w:w="0" w:type="auto"/>
            <w:shd w:val="clear" w:color="auto" w:fill="FFFFFF"/>
            <w:tcMar>
              <w:top w:w="80" w:type="dxa"/>
              <w:left w:w="120" w:type="dxa"/>
              <w:bottom w:w="80" w:type="dxa"/>
              <w:right w:w="120" w:type="dxa"/>
            </w:tcMar>
            <w:vAlign w:val="center"/>
          </w:tcPr>
          <w:p w14:paraId="7583F706" w14:textId="534A6F42" w:rsidR="004D0120" w:rsidRDefault="00000000">
            <w:r>
              <w:rPr>
                <w:sz w:val="18"/>
                <w:szCs w:val="18"/>
              </w:rPr>
              <w:t>None required</w:t>
            </w:r>
            <w:r w:rsidR="00944334">
              <w:rPr>
                <w:sz w:val="18"/>
                <w:szCs w:val="18"/>
              </w:rPr>
              <w:t xml:space="preserve">, </w:t>
            </w:r>
            <w:r>
              <w:rPr>
                <w:sz w:val="18"/>
                <w:szCs w:val="18"/>
              </w:rPr>
              <w:t>fully local by default</w:t>
            </w:r>
          </w:p>
        </w:tc>
      </w:tr>
      <w:tr w:rsidR="009C4370" w14:paraId="659E5BBC" w14:textId="77777777">
        <w:tc>
          <w:tcPr>
            <w:tcW w:w="0" w:type="auto"/>
            <w:shd w:val="clear" w:color="auto" w:fill="FFFFFF"/>
            <w:tcMar>
              <w:top w:w="80" w:type="dxa"/>
              <w:left w:w="120" w:type="dxa"/>
              <w:bottom w:w="80" w:type="dxa"/>
              <w:right w:w="120" w:type="dxa"/>
            </w:tcMar>
            <w:vAlign w:val="center"/>
          </w:tcPr>
          <w:p w14:paraId="155EB50F" w14:textId="35A7B73E" w:rsidR="009C4370" w:rsidRDefault="009C4370">
            <w:pPr>
              <w:rPr>
                <w:b/>
                <w:bCs/>
                <w:color w:val="111111"/>
                <w:sz w:val="18"/>
                <w:szCs w:val="18"/>
              </w:rPr>
            </w:pPr>
            <w:r>
              <w:rPr>
                <w:b/>
                <w:bCs/>
                <w:color w:val="111111"/>
                <w:sz w:val="18"/>
                <w:szCs w:val="18"/>
              </w:rPr>
              <w:t>Interoperability</w:t>
            </w:r>
          </w:p>
        </w:tc>
        <w:tc>
          <w:tcPr>
            <w:tcW w:w="0" w:type="auto"/>
            <w:shd w:val="clear" w:color="auto" w:fill="FFFFFF"/>
            <w:tcMar>
              <w:top w:w="80" w:type="dxa"/>
              <w:left w:w="120" w:type="dxa"/>
              <w:bottom w:w="80" w:type="dxa"/>
              <w:right w:w="120" w:type="dxa"/>
            </w:tcMar>
            <w:vAlign w:val="center"/>
          </w:tcPr>
          <w:p w14:paraId="6D54B486" w14:textId="0114BE40" w:rsidR="009C4370" w:rsidRDefault="009C4370">
            <w:pPr>
              <w:rPr>
                <w:sz w:val="18"/>
                <w:szCs w:val="18"/>
              </w:rPr>
            </w:pPr>
            <w:r>
              <w:rPr>
                <w:sz w:val="18"/>
                <w:szCs w:val="18"/>
              </w:rPr>
              <w:t>Model Context Protocol (MCP)</w:t>
            </w:r>
          </w:p>
        </w:tc>
      </w:tr>
      <w:tr w:rsidR="004D0120" w14:paraId="16455304" w14:textId="77777777">
        <w:tc>
          <w:tcPr>
            <w:tcW w:w="0" w:type="auto"/>
            <w:shd w:val="clear" w:color="auto" w:fill="F9FAFB"/>
            <w:tcMar>
              <w:top w:w="80" w:type="dxa"/>
              <w:left w:w="120" w:type="dxa"/>
              <w:bottom w:w="80" w:type="dxa"/>
              <w:right w:w="120" w:type="dxa"/>
            </w:tcMar>
            <w:vAlign w:val="center"/>
          </w:tcPr>
          <w:p w14:paraId="77A07CA9" w14:textId="77777777" w:rsidR="004D0120" w:rsidRDefault="00000000">
            <w:r>
              <w:rPr>
                <w:b/>
                <w:bCs/>
                <w:color w:val="111111"/>
                <w:sz w:val="18"/>
                <w:szCs w:val="18"/>
              </w:rPr>
              <w:t>Deployment</w:t>
            </w:r>
          </w:p>
        </w:tc>
        <w:tc>
          <w:tcPr>
            <w:tcW w:w="0" w:type="auto"/>
            <w:shd w:val="clear" w:color="auto" w:fill="F9FAFB"/>
            <w:tcMar>
              <w:top w:w="80" w:type="dxa"/>
              <w:left w:w="120" w:type="dxa"/>
              <w:bottom w:w="80" w:type="dxa"/>
              <w:right w:w="120" w:type="dxa"/>
            </w:tcMar>
            <w:vAlign w:val="center"/>
          </w:tcPr>
          <w:p w14:paraId="62DB6883" w14:textId="77777777" w:rsidR="004D0120" w:rsidRDefault="00000000">
            <w:r>
              <w:rPr>
                <w:sz w:val="18"/>
                <w:szCs w:val="18"/>
              </w:rPr>
              <w:t>Python 3.12+, Windows / Linux / macOS</w:t>
            </w:r>
          </w:p>
        </w:tc>
      </w:tr>
    </w:tbl>
    <w:p w14:paraId="7C8E89BB" w14:textId="77777777" w:rsidR="004D0120" w:rsidRDefault="004D0120">
      <w:pPr>
        <w:spacing w:after="80"/>
      </w:pPr>
    </w:p>
    <w:p w14:paraId="0346BD81" w14:textId="77777777" w:rsidR="004D0120" w:rsidRDefault="004D0120">
      <w:pPr>
        <w:pBdr>
          <w:bottom w:val="single" w:sz="6" w:space="1" w:color="2DD4BF"/>
        </w:pBdr>
        <w:spacing w:after="160"/>
      </w:pPr>
    </w:p>
    <w:p w14:paraId="4BE0A700" w14:textId="77777777" w:rsidR="004D0120" w:rsidRDefault="00000000">
      <w:pPr>
        <w:spacing w:after="100"/>
      </w:pPr>
      <w:r>
        <w:rPr>
          <w:b/>
          <w:bCs/>
          <w:color w:val="111111"/>
          <w:sz w:val="24"/>
          <w:szCs w:val="24"/>
        </w:rPr>
        <w:t>Early Access</w:t>
      </w:r>
    </w:p>
    <w:p w14:paraId="21AF7C5F" w14:textId="77777777" w:rsidR="002010D3" w:rsidRDefault="002010D3">
      <w:pPr>
        <w:spacing w:after="80"/>
      </w:pPr>
      <w:r w:rsidRPr="002010D3">
        <w:rPr>
          <w:b/>
          <w:bCs/>
        </w:rPr>
        <w:t>SEEK2000 is currently available to a limited number of early-access partners.</w:t>
      </w:r>
      <w:r w:rsidRPr="002010D3">
        <w:t xml:space="preserve"> We are particularly interested in working with healthcare, public health, legal, and research organizations where evidence synthesis, privacy, provenance, and organizational control address a meaningful operational need.</w:t>
      </w:r>
    </w:p>
    <w:p w14:paraId="7998E144" w14:textId="77777777" w:rsidR="002010D3" w:rsidRDefault="002010D3">
      <w:pPr>
        <w:spacing w:after="80"/>
      </w:pPr>
    </w:p>
    <w:p w14:paraId="5D210746" w14:textId="64430161" w:rsidR="004D0120" w:rsidRDefault="00000000">
      <w:pPr>
        <w:spacing w:after="80"/>
      </w:pPr>
      <w:r>
        <w:rPr>
          <w:b/>
          <w:bCs/>
          <w:color w:val="2DD4BF"/>
        </w:rPr>
        <w:t>hello@n61.io  ·  n61.io</w:t>
      </w:r>
    </w:p>
    <w:p w14:paraId="5720E69D" w14:textId="77777777" w:rsidR="004D0120" w:rsidRDefault="00000000">
      <w:r>
        <w:rPr>
          <w:color w:val="6B7280"/>
          <w:sz w:val="16"/>
          <w:szCs w:val="16"/>
        </w:rPr>
        <w:t>© 2026 n61. All rights reserved. Anchorage, Alaska.</w:t>
      </w:r>
    </w:p>
    <w:sectPr w:rsidR="004D012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438F2"/>
    <w:multiLevelType w:val="hybridMultilevel"/>
    <w:tmpl w:val="3048C4B0"/>
    <w:lvl w:ilvl="0" w:tplc="1090E2E6">
      <w:start w:val="1"/>
      <w:numFmt w:val="bullet"/>
      <w:lvlText w:val="●"/>
      <w:lvlJc w:val="left"/>
      <w:pPr>
        <w:ind w:left="720" w:hanging="360"/>
      </w:pPr>
    </w:lvl>
    <w:lvl w:ilvl="1" w:tplc="518CFC08">
      <w:start w:val="1"/>
      <w:numFmt w:val="bullet"/>
      <w:lvlText w:val="○"/>
      <w:lvlJc w:val="left"/>
      <w:pPr>
        <w:ind w:left="1440" w:hanging="360"/>
      </w:pPr>
    </w:lvl>
    <w:lvl w:ilvl="2" w:tplc="7F78912E">
      <w:start w:val="1"/>
      <w:numFmt w:val="bullet"/>
      <w:lvlText w:val="■"/>
      <w:lvlJc w:val="left"/>
      <w:pPr>
        <w:ind w:left="2160" w:hanging="360"/>
      </w:pPr>
    </w:lvl>
    <w:lvl w:ilvl="3" w:tplc="1958AADC">
      <w:start w:val="1"/>
      <w:numFmt w:val="bullet"/>
      <w:lvlText w:val="●"/>
      <w:lvlJc w:val="left"/>
      <w:pPr>
        <w:ind w:left="2880" w:hanging="360"/>
      </w:pPr>
    </w:lvl>
    <w:lvl w:ilvl="4" w:tplc="4A367658">
      <w:start w:val="1"/>
      <w:numFmt w:val="bullet"/>
      <w:lvlText w:val="○"/>
      <w:lvlJc w:val="left"/>
      <w:pPr>
        <w:ind w:left="3600" w:hanging="360"/>
      </w:pPr>
    </w:lvl>
    <w:lvl w:ilvl="5" w:tplc="917CBB2C">
      <w:start w:val="1"/>
      <w:numFmt w:val="bullet"/>
      <w:lvlText w:val="■"/>
      <w:lvlJc w:val="left"/>
      <w:pPr>
        <w:ind w:left="4320" w:hanging="360"/>
      </w:pPr>
    </w:lvl>
    <w:lvl w:ilvl="6" w:tplc="FDB6DF96">
      <w:start w:val="1"/>
      <w:numFmt w:val="bullet"/>
      <w:lvlText w:val="●"/>
      <w:lvlJc w:val="left"/>
      <w:pPr>
        <w:ind w:left="5040" w:hanging="360"/>
      </w:pPr>
    </w:lvl>
    <w:lvl w:ilvl="7" w:tplc="3DD21016">
      <w:start w:val="1"/>
      <w:numFmt w:val="bullet"/>
      <w:lvlText w:val="●"/>
      <w:lvlJc w:val="left"/>
      <w:pPr>
        <w:ind w:left="5760" w:hanging="360"/>
      </w:pPr>
    </w:lvl>
    <w:lvl w:ilvl="8" w:tplc="694E5B6C">
      <w:start w:val="1"/>
      <w:numFmt w:val="bullet"/>
      <w:lvlText w:val="●"/>
      <w:lvlJc w:val="left"/>
      <w:pPr>
        <w:ind w:left="6480" w:hanging="360"/>
      </w:pPr>
    </w:lvl>
  </w:abstractNum>
  <w:num w:numId="1" w16cid:durableId="194249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120"/>
    <w:rsid w:val="000C29C2"/>
    <w:rsid w:val="00111DF4"/>
    <w:rsid w:val="00195040"/>
    <w:rsid w:val="002010D3"/>
    <w:rsid w:val="00400B8D"/>
    <w:rsid w:val="00404BB4"/>
    <w:rsid w:val="004D0120"/>
    <w:rsid w:val="004E7E79"/>
    <w:rsid w:val="0067683F"/>
    <w:rsid w:val="006C1F41"/>
    <w:rsid w:val="00944334"/>
    <w:rsid w:val="009C4370"/>
    <w:rsid w:val="00A10F59"/>
    <w:rsid w:val="00B01B6B"/>
    <w:rsid w:val="00BA0B3D"/>
    <w:rsid w:val="00C92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976E"/>
  <w15:docId w15:val="{82D2F05A-7F60-4E5C-8EA1-8CE75B47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04BB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04BB4"/>
    <w:rPr>
      <w:b/>
      <w:bCs/>
    </w:rPr>
  </w:style>
  <w:style w:type="paragraph" w:customStyle="1" w:styleId="pdq2pgselectionanchorcontainer">
    <w:name w:val="pdq2pg_selectionanchorcontainer"/>
    <w:basedOn w:val="Normal"/>
    <w:rsid w:val="00111DF4"/>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Parker</cp:lastModifiedBy>
  <cp:revision>9</cp:revision>
  <dcterms:created xsi:type="dcterms:W3CDTF">2026-08-14T01:45:00Z</dcterms:created>
  <dcterms:modified xsi:type="dcterms:W3CDTF">2026-08-14T02:03:00Z</dcterms:modified>
</cp:coreProperties>
</file>