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Определения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9daf8" w:val="clear"/>
          <w:rtl w:val="0"/>
        </w:rPr>
        <w:t xml:space="preserve">Важные пунктики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1 лекция:</w:t>
      </w:r>
    </w:p>
    <w:p w:rsidR="00000000" w:rsidDel="00000000" w:rsidP="00000000" w:rsidRDefault="00000000" w:rsidRPr="00000000" w14:paraId="00000005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8"/>
          <w:szCs w:val="28"/>
          <w:highlight w:val="green"/>
          <w:rtl w:val="0"/>
        </w:rPr>
        <w:t xml:space="preserve">База данных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 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54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Модель данных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абстракция, описывающая структуру (организацию) данных и методы их обработки. </w:t>
      </w:r>
    </w:p>
    <w:p w:rsidR="00000000" w:rsidDel="00000000" w:rsidP="00000000" w:rsidRDefault="00000000" w:rsidRPr="00000000" w14:paraId="00000007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Реляционная БД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набор плоских взаимосвязанных таблиц.</w:t>
      </w:r>
    </w:p>
    <w:p w:rsidR="00000000" w:rsidDel="00000000" w:rsidP="00000000" w:rsidRDefault="00000000" w:rsidRPr="00000000" w14:paraId="00000008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  <w:rtl w:val="0"/>
        </w:rPr>
        <w:t xml:space="preserve">Основные понятия реляционной базы данных: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Тип данных - характеристика объекта в языке программирования.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Домен - множество отдельных допустимых значений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Атрибут - столбцы таблицы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Кортеж - строка таблицы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Отношение - список имен атрибутов отношения с указанием имен типов.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Первичный ключ - специальное дополнительное поле (атрибут) таблицы, которое создается для обеспечения уникальности идентификации записей таблицы</w:t>
      </w:r>
    </w:p>
    <w:p w:rsidR="00000000" w:rsidDel="00000000" w:rsidP="00000000" w:rsidRDefault="00000000" w:rsidRPr="00000000" w14:paraId="0000000F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8"/>
          <w:szCs w:val="28"/>
          <w:highlight w:val="green"/>
          <w:rtl w:val="0"/>
        </w:rPr>
        <w:t xml:space="preserve">Система управления базами данных(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СУБД)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</w:p>
    <w:p w:rsidR="00000000" w:rsidDel="00000000" w:rsidP="00000000" w:rsidRDefault="00000000" w:rsidRPr="00000000" w14:paraId="00000010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  <w:rtl w:val="0"/>
        </w:rPr>
        <w:t xml:space="preserve">Операторы определения доступа к данным: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f3f3f"/>
          <w:sz w:val="28"/>
          <w:szCs w:val="28"/>
          <w:rtl w:val="0"/>
        </w:rPr>
        <w:t xml:space="preserve">-GRANT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предоставление пользователю (группе пользователей) разрешения на определенные действия в БД </w:t>
      </w:r>
    </w:p>
    <w:p w:rsidR="00000000" w:rsidDel="00000000" w:rsidP="00000000" w:rsidRDefault="00000000" w:rsidRPr="00000000" w14:paraId="00000013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f3f3f"/>
          <w:sz w:val="28"/>
          <w:szCs w:val="28"/>
          <w:rtl w:val="0"/>
        </w:rPr>
        <w:t xml:space="preserve">- REVOKE – 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отзыв ранее выданных разрешений </w:t>
      </w:r>
    </w:p>
    <w:p w:rsidR="00000000" w:rsidDel="00000000" w:rsidP="00000000" w:rsidRDefault="00000000" w:rsidRPr="00000000" w14:paraId="00000014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f3f3f"/>
          <w:sz w:val="28"/>
          <w:szCs w:val="28"/>
          <w:rtl w:val="0"/>
        </w:rPr>
        <w:t xml:space="preserve">- DENY – 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запрет определенных действий, имеющий приоритет над разрешением</w:t>
      </w:r>
    </w:p>
    <w:p w:rsidR="00000000" w:rsidDel="00000000" w:rsidP="00000000" w:rsidRDefault="00000000" w:rsidRPr="00000000" w14:paraId="00000015">
      <w:pPr>
        <w:widowControl w:val="0"/>
        <w:spacing w:before="200"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  <w:rtl w:val="0"/>
        </w:rPr>
        <w:t xml:space="preserve">Операторы управления транзакциями:</w:t>
      </w:r>
    </w:p>
    <w:p w:rsidR="00000000" w:rsidDel="00000000" w:rsidP="00000000" w:rsidRDefault="00000000" w:rsidRPr="00000000" w14:paraId="00000016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f3f3f"/>
          <w:sz w:val="28"/>
          <w:szCs w:val="28"/>
          <w:rtl w:val="0"/>
        </w:rPr>
        <w:t xml:space="preserve">-COMMIT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фиксация транзакции </w:t>
      </w:r>
    </w:p>
    <w:p w:rsidR="00000000" w:rsidDel="00000000" w:rsidP="00000000" w:rsidRDefault="00000000" w:rsidRPr="00000000" w14:paraId="00000017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f3f3f"/>
          <w:sz w:val="28"/>
          <w:szCs w:val="28"/>
          <w:rtl w:val="0"/>
        </w:rPr>
        <w:t xml:space="preserve">- ROLLBACK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откат изменений, сделанных в транзакции</w:t>
      </w:r>
    </w:p>
    <w:p w:rsidR="00000000" w:rsidDel="00000000" w:rsidP="00000000" w:rsidRDefault="00000000" w:rsidRPr="00000000" w14:paraId="00000018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f3f3f"/>
          <w:sz w:val="28"/>
          <w:szCs w:val="28"/>
          <w:rtl w:val="0"/>
        </w:rPr>
        <w:t xml:space="preserve">- SAVEPOINT –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создание точки сохранения в транзакции</w:t>
      </w:r>
    </w:p>
    <w:p w:rsidR="00000000" w:rsidDel="00000000" w:rsidP="00000000" w:rsidRDefault="00000000" w:rsidRPr="00000000" w14:paraId="00000019">
      <w:pPr>
        <w:pStyle w:val="Heading6"/>
        <w:rPr/>
      </w:pPr>
      <w:bookmarkStart w:colFirst="0" w:colLast="0" w:name="_rmyuzit8a3wg" w:id="0"/>
      <w:bookmarkEnd w:id="0"/>
      <w:r w:rsidDel="00000000" w:rsidR="00000000" w:rsidRPr="00000000">
        <w:rPr>
          <w:rtl w:val="0"/>
        </w:rPr>
        <w:t xml:space="preserve">2 лекция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9daf8" w:val="clear"/>
          <w:rtl w:val="0"/>
        </w:rPr>
        <w:t xml:space="preserve">Структура БД в SSMS: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Diagrams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Tables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Views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Synonyms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Programmability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Service Broker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Storage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Security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  <w:rtl w:val="0"/>
        </w:rPr>
        <w:t xml:space="preserve">Структура таблицы в SSMS: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Columns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Primary key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Foreign key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Constraint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Trigger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Index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Statistic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rPr/>
      </w:pPr>
      <w:bookmarkStart w:colFirst="0" w:colLast="0" w:name="_fb5dxpqxw63" w:id="1"/>
      <w:bookmarkEnd w:id="1"/>
      <w:r w:rsidDel="00000000" w:rsidR="00000000" w:rsidRPr="00000000">
        <w:rPr>
          <w:rtl w:val="0"/>
        </w:rPr>
        <w:t xml:space="preserve">3 лекция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Целостность БД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соответствие имеющейся в базе данных информации её внутренней логике, структуре и всем явно заданным правилам.</w:t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Безопасность БД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защита БД от несанкционированного разрушения, изменения и получения данных.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Достоверность БД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соответствие фактов, хранящихся в базе данных, реальному миру.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9daf8" w:val="clear"/>
          <w:rtl w:val="0"/>
        </w:rPr>
        <w:t xml:space="preserve">Ограничение целостности: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NULL / NOT NULL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DEFAULT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CHECK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PRIMARY KEY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FOREIGN KEY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before="200" w:line="240" w:lineRule="auto"/>
        <w:ind w:left="540" w:hanging="3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UNIQUE</w:t>
      </w:r>
    </w:p>
    <w:p w:rsidR="00000000" w:rsidDel="00000000" w:rsidP="00000000" w:rsidRDefault="00000000" w:rsidRPr="00000000" w14:paraId="00000036">
      <w:pPr>
        <w:pStyle w:val="Heading6"/>
        <w:widowControl w:val="0"/>
        <w:spacing w:before="200" w:line="240" w:lineRule="auto"/>
        <w:rPr/>
      </w:pPr>
      <w:bookmarkStart w:colFirst="0" w:colLast="0" w:name="_nh3xts7hc37q" w:id="2"/>
      <w:bookmarkEnd w:id="2"/>
      <w:r w:rsidDel="00000000" w:rsidR="00000000" w:rsidRPr="00000000">
        <w:rPr>
          <w:rtl w:val="0"/>
        </w:rPr>
        <w:t xml:space="preserve">4 лекция</w:t>
      </w:r>
    </w:p>
    <w:p w:rsidR="00000000" w:rsidDel="00000000" w:rsidP="00000000" w:rsidRDefault="00000000" w:rsidRPr="00000000" w14:paraId="00000037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Транзакция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набор операций (изменений), который должен быть выполнен полностью или не выполнен совсем (единый логический блок).</w:t>
      </w:r>
    </w:p>
    <w:p w:rsidR="00000000" w:rsidDel="00000000" w:rsidP="00000000" w:rsidRDefault="00000000" w:rsidRPr="00000000" w14:paraId="00000038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  <w:rtl w:val="0"/>
        </w:rPr>
        <w:t xml:space="preserve">Требования к системе транзакций: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Атомарность: Никакая транзакция не может быть зафиксирована частично.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Cогласованность: Транзакция переводит БД из одного согласованного (целостного) состояния в другое.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Изолированность: Параллельные транзакции не должны влиять друг на друга.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Устойчивость (долговечность):Изменения, сделанные завершенной транзакцией, должны остаться в БД независимо от сбоев в работе.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BEGIN TRANSACTION &lt;t1&gt;</w:t>
      </w:r>
    </w:p>
    <w:p w:rsidR="00000000" w:rsidDel="00000000" w:rsidP="00000000" w:rsidRDefault="00000000" w:rsidRPr="00000000" w14:paraId="0000003F">
      <w:pPr>
        <w:widowControl w:val="0"/>
        <w:spacing w:before="200"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0">
      <w:pPr>
        <w:widowControl w:val="0"/>
        <w:spacing w:before="200"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SAVE TRANSACTION &lt;t1&gt;</w:t>
      </w:r>
    </w:p>
    <w:p w:rsidR="00000000" w:rsidDel="00000000" w:rsidP="00000000" w:rsidRDefault="00000000" w:rsidRPr="00000000" w14:paraId="00000041">
      <w:pPr>
        <w:widowControl w:val="0"/>
        <w:spacing w:before="200"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2">
      <w:pPr>
        <w:widowControl w:val="0"/>
        <w:spacing w:before="200"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COMMIT TRANSACTION &lt;t1&gt; / ROLLBACK TRANSACTION &lt;t1&gt;</w:t>
      </w:r>
    </w:p>
    <w:p w:rsidR="00000000" w:rsidDel="00000000" w:rsidP="00000000" w:rsidRDefault="00000000" w:rsidRPr="00000000" w14:paraId="00000043">
      <w:pPr>
        <w:widowControl w:val="0"/>
        <w:spacing w:before="200"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Блокировка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отметка о захвате объекта транзакцией в ограниченный или исключительный доступ с целью предотвращения конфликтов и поддержания целостности данных.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Эскалация блокировок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замена множества низкоуровневых блокировок одной или несколькими блокировками более высокого уровня.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Блокирование (blocking)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процесс не может получить доступ к ресурсу (наложить блокировку), так как он (ресурс) заблокирован другим процессом.</w:t>
      </w:r>
    </w:p>
    <w:p w:rsidR="00000000" w:rsidDel="00000000" w:rsidP="00000000" w:rsidRDefault="00000000" w:rsidRPr="00000000" w14:paraId="00000047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Взаимоблокировка (deadlock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) – процессы заблокированы друг другом (каждый ждет освобождения ресурса, занятого другим).</w:t>
      </w:r>
    </w:p>
    <w:p w:rsidR="00000000" w:rsidDel="00000000" w:rsidP="00000000" w:rsidRDefault="00000000" w:rsidRPr="00000000" w14:paraId="00000048">
      <w:pPr>
        <w:pStyle w:val="Heading6"/>
        <w:widowControl w:val="0"/>
        <w:spacing w:before="200" w:line="240" w:lineRule="auto"/>
        <w:rPr/>
      </w:pPr>
      <w:bookmarkStart w:colFirst="0" w:colLast="0" w:name="_yvy6gtfq4bkq" w:id="3"/>
      <w:bookmarkEnd w:id="3"/>
      <w:r w:rsidDel="00000000" w:rsidR="00000000" w:rsidRPr="00000000">
        <w:rPr>
          <w:rtl w:val="0"/>
        </w:rPr>
        <w:t xml:space="preserve">6 лекция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Страница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 - основная (минимальная) единица хранения, которой манипулирует сервер. Размер – 8 килобайт.</w:t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Экстент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непрерывная область дисковой памяти, состоит из заданного числа страниц (в MS SQL Server – 8 страниц). Используется для эффективного управления страницами.</w:t>
      </w:r>
    </w:p>
    <w:p w:rsidR="00000000" w:rsidDel="00000000" w:rsidP="00000000" w:rsidRDefault="00000000" w:rsidRPr="00000000" w14:paraId="0000004B">
      <w:pPr>
        <w:widowControl w:val="0"/>
        <w:spacing w:before="200" w:line="276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Секция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пользовательская единица организации данных (по умолчанию секция единственная).</w:t>
      </w:r>
    </w:p>
    <w:p w:rsidR="00000000" w:rsidDel="00000000" w:rsidP="00000000" w:rsidRDefault="00000000" w:rsidRPr="00000000" w14:paraId="0000004C">
      <w:pPr>
        <w:widowControl w:val="0"/>
        <w:spacing w:before="200" w:line="276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Индекс (INDEX)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вспомогательная структура данных, используемая для доступа к данным. Хранит указатели на места хранения записей. Создается для столбцов таблицы. </w:t>
      </w:r>
    </w:p>
    <w:p w:rsidR="00000000" w:rsidDel="00000000" w:rsidP="00000000" w:rsidRDefault="00000000" w:rsidRPr="00000000" w14:paraId="0000004E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CREATE INDEX Index_1 ON Table_1 (Column_1, Column_2);</w:t>
      </w:r>
    </w:p>
    <w:p w:rsidR="00000000" w:rsidDel="00000000" w:rsidP="00000000" w:rsidRDefault="00000000" w:rsidRPr="00000000" w14:paraId="0000004F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  <w:rtl w:val="0"/>
        </w:rPr>
        <w:t xml:space="preserve">Модель востановления БД: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rebuchet MS" w:cs="Trebuchet MS" w:eastAsia="Trebuchet MS" w:hAnsi="Trebuchet MS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8"/>
          <w:szCs w:val="28"/>
          <w:u w:val="single"/>
          <w:rtl w:val="0"/>
        </w:rPr>
        <w:t xml:space="preserve">Модель восстановления (recovery model)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 — это свойство базы данных, которое управляет процессом регистрации транзакций, определяет, требуется ли для журнала транзакций резервное копирование, а также определяет, какие типы операций восстановления доступны.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rebuchet MS" w:cs="Trebuchet MS" w:eastAsia="Trebuchet MS" w:hAnsi="Trebuchet MS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8"/>
          <w:szCs w:val="28"/>
          <w:u w:val="single"/>
          <w:rtl w:val="0"/>
        </w:rPr>
        <w:t xml:space="preserve">Простая модель восстановления (simple)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. Автоматически освобождает место на диске, занятое журналами, устраняя таким образом необходимость в управлении размером журналов транзакций.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rebuchet MS" w:cs="Trebuchet MS" w:eastAsia="Trebuchet MS" w:hAnsi="Trebuchet MS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8"/>
          <w:szCs w:val="28"/>
          <w:u w:val="single"/>
          <w:rtl w:val="0"/>
        </w:rPr>
        <w:t xml:space="preserve">Модель полного восстановления (full)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. Содержимое журнала хранится до выполнения его резервного копирования. Потеря результатов работы из-за повреждения файлов данных исключена.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rebuchet MS" w:cs="Trebuchet MS" w:eastAsia="Trebuchet MS" w:hAnsi="Trebuchet MS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8"/>
          <w:szCs w:val="28"/>
          <w:u w:val="single"/>
          <w:rtl w:val="0"/>
        </w:rPr>
        <w:t xml:space="preserve">Модель восстановления с неполным протоколированием (bulk-logged)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. Дополнение к полной модели полного восстановления, позволяющее выполнять высокопроизводительные операции массового копирования.</w:t>
        <w:br w:type="textWrapping"/>
        <w:t xml:space="preserve">Уменьшает место, занимаемое журналами, за счет неполного протоколирования большинства массовых операций.</w:t>
      </w:r>
    </w:p>
    <w:p w:rsidR="00000000" w:rsidDel="00000000" w:rsidP="00000000" w:rsidRDefault="00000000" w:rsidRPr="00000000" w14:paraId="00000054">
      <w:pPr>
        <w:pStyle w:val="Heading6"/>
        <w:widowControl w:val="0"/>
        <w:spacing w:line="240" w:lineRule="auto"/>
        <w:rPr/>
      </w:pPr>
      <w:bookmarkStart w:colFirst="0" w:colLast="0" w:name="_bvxub5hsmofj" w:id="4"/>
      <w:bookmarkEnd w:id="4"/>
      <w:r w:rsidDel="00000000" w:rsidR="00000000" w:rsidRPr="00000000">
        <w:rPr>
          <w:rtl w:val="0"/>
        </w:rPr>
        <w:t xml:space="preserve">7 лекция</w:t>
      </w:r>
    </w:p>
    <w:p w:rsidR="00000000" w:rsidDel="00000000" w:rsidP="00000000" w:rsidRDefault="00000000" w:rsidRPr="00000000" w14:paraId="00000055">
      <w:pPr>
        <w:spacing w:before="2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90c226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Логический оператор - концептуальное выполнение операции реляционной алгебры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Физический оператор - практическая реализация действий, описанных логическим оператором.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</w:rPr>
        <w:drawing>
          <wp:inline distB="114300" distT="114300" distL="114300" distR="114300">
            <wp:extent cx="6319838" cy="13684055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1368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6"/>
        <w:widowControl w:val="0"/>
        <w:spacing w:line="240" w:lineRule="auto"/>
        <w:rPr/>
      </w:pPr>
      <w:bookmarkStart w:colFirst="0" w:colLast="0" w:name="_8rsn9grul3cd" w:id="5"/>
      <w:bookmarkEnd w:id="5"/>
      <w:r w:rsidDel="00000000" w:rsidR="00000000" w:rsidRPr="00000000">
        <w:rPr>
          <w:rtl w:val="0"/>
        </w:rPr>
        <w:t xml:space="preserve">8 лекция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  <w:rtl w:val="0"/>
        </w:rPr>
        <w:t xml:space="preserve">Резервное копирование: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1.Полное (архивная копия БД на момент сохранения)</w:t>
      </w:r>
    </w:p>
    <w:p w:rsidR="00000000" w:rsidDel="00000000" w:rsidP="00000000" w:rsidRDefault="00000000" w:rsidRPr="00000000" w14:paraId="00000060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BACKUP DATABASE db1 TO DISK=‘…’</w:t>
      </w:r>
    </w:p>
    <w:p w:rsidR="00000000" w:rsidDel="00000000" w:rsidP="00000000" w:rsidRDefault="00000000" w:rsidRPr="00000000" w14:paraId="00000061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2. Дифференциальное (архив данных, измененившихся после последнего полного копирования)</w:t>
      </w:r>
    </w:p>
    <w:p w:rsidR="00000000" w:rsidDel="00000000" w:rsidP="00000000" w:rsidRDefault="00000000" w:rsidRPr="00000000" w14:paraId="00000062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BACKUP DATABASE db1 TO DISK=‘…’ WITH DIFFERENTIAL</w:t>
      </w:r>
    </w:p>
    <w:p w:rsidR="00000000" w:rsidDel="00000000" w:rsidP="00000000" w:rsidRDefault="00000000" w:rsidRPr="00000000" w14:paraId="00000063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3. Журналов (архив списка транзакций с момента последнего резервного копирования (полного, дифференциального, журнала транзакций))</w:t>
      </w:r>
    </w:p>
    <w:p w:rsidR="00000000" w:rsidDel="00000000" w:rsidP="00000000" w:rsidRDefault="00000000" w:rsidRPr="00000000" w14:paraId="00000064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BACKUP LOG db1 TO DISK=‘…’</w:t>
      </w:r>
    </w:p>
    <w:p w:rsidR="00000000" w:rsidDel="00000000" w:rsidP="00000000" w:rsidRDefault="00000000" w:rsidRPr="00000000" w14:paraId="00000065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4. Файловое</w:t>
      </w:r>
    </w:p>
    <w:p w:rsidR="00000000" w:rsidDel="00000000" w:rsidP="00000000" w:rsidRDefault="00000000" w:rsidRPr="00000000" w14:paraId="00000066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BACKUP DATABASE db1 FILEGROUP=fg1 TO DISK=‘…’</w:t>
      </w:r>
    </w:p>
    <w:p w:rsidR="00000000" w:rsidDel="00000000" w:rsidP="00000000" w:rsidRDefault="00000000" w:rsidRPr="00000000" w14:paraId="00000067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  <w:rtl w:val="0"/>
        </w:rPr>
        <w:t xml:space="preserve">Восстановление БД: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1.Полная копия:</w:t>
      </w:r>
    </w:p>
    <w:p w:rsidR="00000000" w:rsidDel="00000000" w:rsidP="00000000" w:rsidRDefault="00000000" w:rsidRPr="00000000" w14:paraId="00000069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RESTORE DATABASE db1 FROM DISK=‘…’ WITH NORECOVERY;</w:t>
      </w:r>
    </w:p>
    <w:p w:rsidR="00000000" w:rsidDel="00000000" w:rsidP="00000000" w:rsidRDefault="00000000" w:rsidRPr="00000000" w14:paraId="0000006A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2. Разностная копия:</w:t>
      </w:r>
    </w:p>
    <w:p w:rsidR="00000000" w:rsidDel="00000000" w:rsidP="00000000" w:rsidRDefault="00000000" w:rsidRPr="00000000" w14:paraId="0000006B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RESTORE DATABASE db1 FROM DISK=‘…’ WITH NORECOVERY;</w:t>
      </w:r>
    </w:p>
    <w:p w:rsidR="00000000" w:rsidDel="00000000" w:rsidP="00000000" w:rsidRDefault="00000000" w:rsidRPr="00000000" w14:paraId="0000006C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3. Копии журналов:</w:t>
      </w:r>
    </w:p>
    <w:p w:rsidR="00000000" w:rsidDel="00000000" w:rsidP="00000000" w:rsidRDefault="00000000" w:rsidRPr="00000000" w14:paraId="0000006D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RESTORE LOG db1 FROM DISK=‘…’ WITH NORECOVERY;</w:t>
      </w:r>
    </w:p>
    <w:p w:rsidR="00000000" w:rsidDel="00000000" w:rsidP="00000000" w:rsidRDefault="00000000" w:rsidRPr="00000000" w14:paraId="0000006E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4…</w:t>
      </w:r>
    </w:p>
    <w:p w:rsidR="00000000" w:rsidDel="00000000" w:rsidP="00000000" w:rsidRDefault="00000000" w:rsidRPr="00000000" w14:paraId="0000006F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RESTORE LOG db1 FROM DISK=‘…’ WITH RECOVERY;</w:t>
      </w:r>
    </w:p>
    <w:p w:rsidR="00000000" w:rsidDel="00000000" w:rsidP="00000000" w:rsidRDefault="00000000" w:rsidRPr="00000000" w14:paraId="00000070">
      <w:pPr>
        <w:pStyle w:val="Heading6"/>
        <w:widowControl w:val="0"/>
        <w:spacing w:before="200" w:line="240" w:lineRule="auto"/>
        <w:rPr/>
      </w:pPr>
      <w:bookmarkStart w:colFirst="0" w:colLast="0" w:name="_4ud1cui1qeps" w:id="6"/>
      <w:bookmarkEnd w:id="6"/>
      <w:r w:rsidDel="00000000" w:rsidR="00000000" w:rsidRPr="00000000">
        <w:rPr>
          <w:rtl w:val="0"/>
        </w:rPr>
        <w:t xml:space="preserve">9 лекция</w:t>
      </w:r>
    </w:p>
    <w:p w:rsidR="00000000" w:rsidDel="00000000" w:rsidP="00000000" w:rsidRDefault="00000000" w:rsidRPr="00000000" w14:paraId="00000071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shd w:fill="c9daf8" w:val="clear"/>
          <w:rtl w:val="0"/>
        </w:rPr>
        <w:t xml:space="preserve">Объявление переменных</w:t>
      </w:r>
    </w:p>
    <w:p w:rsidR="00000000" w:rsidDel="00000000" w:rsidP="00000000" w:rsidRDefault="00000000" w:rsidRPr="00000000" w14:paraId="00000072">
      <w:pPr>
        <w:widowControl w:val="0"/>
        <w:spacing w:before="200"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DECLARE @MyCounter int;</w:t>
      </w:r>
    </w:p>
    <w:p w:rsidR="00000000" w:rsidDel="00000000" w:rsidP="00000000" w:rsidRDefault="00000000" w:rsidRPr="00000000" w14:paraId="00000073">
      <w:pPr>
        <w:widowControl w:val="0"/>
        <w:spacing w:before="200"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SET @MyCounter = 1;</w:t>
      </w:r>
    </w:p>
    <w:p w:rsidR="00000000" w:rsidDel="00000000" w:rsidP="00000000" w:rsidRDefault="00000000" w:rsidRPr="00000000" w14:paraId="00000074">
      <w:pPr>
        <w:widowControl w:val="0"/>
        <w:spacing w:before="200" w:line="24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BEGIN { sql_statement | statement_block } END </w:t>
      </w:r>
    </w:p>
    <w:p w:rsidR="00000000" w:rsidDel="00000000" w:rsidP="00000000" w:rsidRDefault="00000000" w:rsidRPr="00000000" w14:paraId="00000076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IF Boolean_expression { sql_statement | statement_block } [ ELSE { sql_statement | statement_block } ] </w:t>
      </w:r>
    </w:p>
    <w:p w:rsidR="00000000" w:rsidDel="00000000" w:rsidP="00000000" w:rsidRDefault="00000000" w:rsidRPr="00000000" w14:paraId="00000077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WHILE Boolean_expression { sql_statement | statement_block | BREAK | CONTINUE } </w:t>
      </w:r>
    </w:p>
    <w:p w:rsidR="00000000" w:rsidDel="00000000" w:rsidP="00000000" w:rsidRDefault="00000000" w:rsidRPr="00000000" w14:paraId="00000078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b w:val="1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00"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</w:rPr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Функции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– подпрограммы, которые принимают параметры, выполняют действие и возвращают результат этого действия в виде значения.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Процедура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- это группа инструкций Transact-SQL, которые обрабатывают входные параметры и возвращают вызывающей программе значения в виде выходных параметров; и содержат программные инструкции, которые выполняют операции в базе данных, включая вызов других процедур.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highlight w:val="green"/>
          <w:rtl w:val="0"/>
        </w:rPr>
        <w:t xml:space="preserve">Триггеры DML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— это хранимые процедуры особого типа, автоматически выполняемые, если происходит событие языка обработки данных DML, которое затрагивает таблицу или представление, определенное в триггере. 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6"/>
        <w:widowControl w:val="0"/>
        <w:spacing w:line="240" w:lineRule="auto"/>
        <w:rPr/>
      </w:pPr>
      <w:bookmarkStart w:colFirst="0" w:colLast="0" w:name="_y2zgtuu9814k" w:id="7"/>
      <w:bookmarkEnd w:id="7"/>
      <w:r w:rsidDel="00000000" w:rsidR="00000000" w:rsidRPr="00000000">
        <w:rPr>
          <w:rtl w:val="0"/>
        </w:rPr>
        <w:t xml:space="preserve">10 лекция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tbkqb8thgxwj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Внутреннее соединение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62088" cy="167045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088" cy="167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* FROM 'Auto'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INNER JOIN 'Selling' ON 'Auto'.id = 'Selling'.id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результат: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id   name          id   sum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   ----          --   ----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   bmw           1    250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    kia           3    300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Внешнее соединение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OUTER 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44000" cy="1374789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374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* FROM 'Auto'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FULL OUTER JOIN 'Selling' ON 'Auto'.id = 'Selling'.id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id   name          id   sum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   ----          --   ----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   bmw           1    250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   opel        NULL   NULL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    kia           3    300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   audi        NULL   NULL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 NULL          5    450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NULL NULL          6    400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Левое внешнее объединение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LEFT OUTER 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82112" cy="141728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112" cy="141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SELECT * FROM 'Auto'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LEFT OUTER JOIN 'Selling' ON 'Auto'.id = 'Selling'.id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id   name          id   sum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--   ----          --   ----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    bmw           1    250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    opel        NULL   NULL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    kia           3    300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   audi        NULL   NULL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CROSS 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это объединение SQL по которым каждая строка одной таблицы объединяется с каждой строкой другой таблицы.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i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highlight w:val="white"/>
          <w:rtl w:val="0"/>
        </w:rPr>
        <w:t xml:space="preserve">Умножение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388" cy="340093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13151" l="10850" r="37394" t="22573"/>
                    <a:stretch>
                      <a:fillRect/>
                    </a:stretch>
                  </pic:blipFill>
                  <pic:spPr>
                    <a:xfrm>
                      <a:off x="0" y="0"/>
                      <a:ext cx="4867388" cy="3400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►"/>
      <w:lvlJc w:val="right"/>
      <w:pPr>
        <w:ind w:left="540" w:hanging="39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1">
      <w:start w:val="1"/>
      <w:numFmt w:val="bullet"/>
      <w:lvlText w:val="►"/>
      <w:lvlJc w:val="right"/>
      <w:pPr>
        <w:ind w:left="1170" w:hanging="30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2">
      <w:start w:val="1"/>
      <w:numFmt w:val="bullet"/>
      <w:lvlText w:val="►"/>
      <w:lvlJc w:val="right"/>
      <w:pPr>
        <w:ind w:left="180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3">
      <w:start w:val="1"/>
      <w:numFmt w:val="bullet"/>
      <w:lvlText w:val="►"/>
      <w:lvlJc w:val="right"/>
      <w:pPr>
        <w:ind w:left="252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4">
      <w:start w:val="1"/>
      <w:numFmt w:val="bullet"/>
      <w:lvlText w:val="►"/>
      <w:lvlJc w:val="right"/>
      <w:pPr>
        <w:ind w:left="324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5">
      <w:start w:val="1"/>
      <w:numFmt w:val="bullet"/>
      <w:lvlText w:val="►"/>
      <w:lvlJc w:val="right"/>
      <w:pPr>
        <w:ind w:left="396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6">
      <w:start w:val="1"/>
      <w:numFmt w:val="bullet"/>
      <w:lvlText w:val="►"/>
      <w:lvlJc w:val="right"/>
      <w:pPr>
        <w:ind w:left="468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7">
      <w:start w:val="1"/>
      <w:numFmt w:val="bullet"/>
      <w:lvlText w:val="►"/>
      <w:lvlJc w:val="right"/>
      <w:pPr>
        <w:ind w:left="540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8">
      <w:start w:val="1"/>
      <w:numFmt w:val="bullet"/>
      <w:lvlText w:val="►"/>
      <w:lvlJc w:val="right"/>
      <w:pPr>
        <w:ind w:left="612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►"/>
      <w:lvlJc w:val="right"/>
      <w:pPr>
        <w:ind w:left="540" w:hanging="39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1">
      <w:start w:val="1"/>
      <w:numFmt w:val="bullet"/>
      <w:lvlText w:val="►"/>
      <w:lvlJc w:val="right"/>
      <w:pPr>
        <w:ind w:left="1170" w:hanging="30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2">
      <w:start w:val="1"/>
      <w:numFmt w:val="bullet"/>
      <w:lvlText w:val="►"/>
      <w:lvlJc w:val="right"/>
      <w:pPr>
        <w:ind w:left="180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3">
      <w:start w:val="1"/>
      <w:numFmt w:val="bullet"/>
      <w:lvlText w:val="►"/>
      <w:lvlJc w:val="right"/>
      <w:pPr>
        <w:ind w:left="252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4">
      <w:start w:val="1"/>
      <w:numFmt w:val="bullet"/>
      <w:lvlText w:val="►"/>
      <w:lvlJc w:val="right"/>
      <w:pPr>
        <w:ind w:left="324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5">
      <w:start w:val="1"/>
      <w:numFmt w:val="bullet"/>
      <w:lvlText w:val="►"/>
      <w:lvlJc w:val="right"/>
      <w:pPr>
        <w:ind w:left="396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6">
      <w:start w:val="1"/>
      <w:numFmt w:val="bullet"/>
      <w:lvlText w:val="►"/>
      <w:lvlJc w:val="right"/>
      <w:pPr>
        <w:ind w:left="468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7">
      <w:start w:val="1"/>
      <w:numFmt w:val="bullet"/>
      <w:lvlText w:val="►"/>
      <w:lvlJc w:val="right"/>
      <w:pPr>
        <w:ind w:left="540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  <w:lvl w:ilvl="8">
      <w:start w:val="1"/>
      <w:numFmt w:val="bullet"/>
      <w:lvlText w:val="►"/>
      <w:lvlJc w:val="right"/>
      <w:pPr>
        <w:ind w:left="6120" w:hanging="216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90c226"/>
        <w:sz w:val="28.8"/>
        <w:szCs w:val="28.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color w:val="3f3f3f"/>
      <w:sz w:val="28"/>
      <w:szCs w:val="28"/>
      <w:highlight w:val="yellow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