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25A" w:rsidRDefault="00924A7C">
      <w:pPr>
        <w:rPr>
          <w:rFonts w:ascii="Tahoma" w:hAnsi="Tahoma" w:cs="Tahoma"/>
          <w:color w:val="49494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94949"/>
          <w:sz w:val="21"/>
          <w:szCs w:val="21"/>
          <w:shd w:val="clear" w:color="auto" w:fill="FFFFFF"/>
        </w:rPr>
        <w:t>Основное отличие кейнсианской теории денежно-кредитной политики от монетаристской заключается в том, что</w:t>
      </w:r>
    </w:p>
    <w:p w:rsidR="00924A7C" w:rsidRDefault="00924A7C">
      <w:r>
        <w:rPr>
          <w:noProof/>
          <w:lang w:eastAsia="ru-RU"/>
        </w:rPr>
        <w:drawing>
          <wp:inline distT="0" distB="0" distL="0" distR="0" wp14:anchorId="74EFFCAE" wp14:editId="2E69583D">
            <wp:extent cx="5940425" cy="1665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7C" w:rsidRDefault="00924A7C">
      <w:pPr>
        <w:rPr>
          <w:rFonts w:ascii="Tahoma" w:hAnsi="Tahoma" w:cs="Tahoma"/>
          <w:color w:val="49494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94949"/>
          <w:sz w:val="21"/>
          <w:szCs w:val="21"/>
          <w:shd w:val="clear" w:color="auto" w:fill="FFFFFF"/>
        </w:rPr>
        <w:t>В рамках институционального подхода границы государства определяются</w:t>
      </w:r>
    </w:p>
    <w:p w:rsidR="00924A7C" w:rsidRDefault="00924A7C">
      <w:r>
        <w:rPr>
          <w:noProof/>
          <w:lang w:eastAsia="ru-RU"/>
        </w:rPr>
        <w:drawing>
          <wp:inline distT="0" distB="0" distL="0" distR="0" wp14:anchorId="5A795078" wp14:editId="3F432E83">
            <wp:extent cx="5940425" cy="1454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7C" w:rsidRDefault="00924A7C">
      <w:pPr>
        <w:rPr>
          <w:rFonts w:ascii="Tahoma" w:hAnsi="Tahoma" w:cs="Tahoma"/>
          <w:color w:val="49494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94949"/>
          <w:sz w:val="21"/>
          <w:szCs w:val="21"/>
          <w:shd w:val="clear" w:color="auto" w:fill="FFFFFF"/>
        </w:rPr>
        <w:t>Воздействие современной научно-технической революции на международном разделении труда (МРТ) выразилось в</w:t>
      </w:r>
    </w:p>
    <w:p w:rsidR="00924A7C" w:rsidRDefault="00924A7C">
      <w:r>
        <w:rPr>
          <w:noProof/>
          <w:lang w:eastAsia="ru-RU"/>
        </w:rPr>
        <w:drawing>
          <wp:inline distT="0" distB="0" distL="0" distR="0" wp14:anchorId="5DD9C1B7" wp14:editId="4538B0D9">
            <wp:extent cx="5940425" cy="1283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7C" w:rsidRDefault="00924A7C" w:rsidP="00924A7C">
      <w:pPr>
        <w:tabs>
          <w:tab w:val="left" w:pos="3372"/>
        </w:tabs>
        <w:rPr>
          <w:rFonts w:ascii="Tahoma" w:hAnsi="Tahoma" w:cs="Tahoma"/>
          <w:color w:val="49494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94949"/>
          <w:sz w:val="21"/>
          <w:szCs w:val="21"/>
          <w:shd w:val="clear" w:color="auto" w:fill="FFFFFF"/>
        </w:rPr>
        <w:t>Биржевой кризис относится к</w:t>
      </w:r>
      <w:r>
        <w:rPr>
          <w:rFonts w:ascii="Tahoma" w:hAnsi="Tahoma" w:cs="Tahoma"/>
          <w:color w:val="494949"/>
          <w:sz w:val="21"/>
          <w:szCs w:val="21"/>
          <w:shd w:val="clear" w:color="auto" w:fill="FFFFFF"/>
        </w:rPr>
        <w:tab/>
      </w:r>
    </w:p>
    <w:p w:rsidR="00924A7C" w:rsidRDefault="00924A7C" w:rsidP="00924A7C">
      <w:pPr>
        <w:tabs>
          <w:tab w:val="left" w:pos="3372"/>
        </w:tabs>
        <w:rPr>
          <w:rFonts w:ascii="Tahoma" w:hAnsi="Tahoma" w:cs="Tahoma"/>
          <w:color w:val="494949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5973784" wp14:editId="590A3CC5">
            <wp:extent cx="5533333" cy="148571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7C" w:rsidRDefault="00924A7C" w:rsidP="00924A7C">
      <w:pPr>
        <w:tabs>
          <w:tab w:val="left" w:pos="3372"/>
        </w:tabs>
        <w:rPr>
          <w:rFonts w:ascii="Tahoma" w:hAnsi="Tahoma" w:cs="Tahoma"/>
          <w:color w:val="49494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94949"/>
          <w:sz w:val="21"/>
          <w:szCs w:val="21"/>
          <w:shd w:val="clear" w:color="auto" w:fill="FFFFFF"/>
        </w:rPr>
        <w:t>Нобелевскую премию по экономике за разработку проблемы неравномерности мирового развития получил</w:t>
      </w:r>
    </w:p>
    <w:p w:rsidR="00924A7C" w:rsidRDefault="00924A7C">
      <w:r>
        <w:rPr>
          <w:noProof/>
          <w:lang w:eastAsia="ru-RU"/>
        </w:rPr>
        <w:lastRenderedPageBreak/>
        <w:drawing>
          <wp:inline distT="0" distB="0" distL="0" distR="0" wp14:anchorId="7F620294" wp14:editId="65AB24A6">
            <wp:extent cx="5940425" cy="13747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7C" w:rsidRDefault="00924A7C">
      <w:pPr>
        <w:rPr>
          <w:rFonts w:ascii="Tahoma" w:hAnsi="Tahoma" w:cs="Tahoma"/>
          <w:color w:val="49494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94949"/>
          <w:sz w:val="21"/>
          <w:szCs w:val="21"/>
          <w:shd w:val="clear" w:color="auto" w:fill="FFFFFF"/>
        </w:rPr>
        <w:t xml:space="preserve">Теоретической базой </w:t>
      </w:r>
      <w:proofErr w:type="spellStart"/>
      <w:r>
        <w:rPr>
          <w:rFonts w:ascii="Tahoma" w:hAnsi="Tahoma" w:cs="Tahoma"/>
          <w:color w:val="494949"/>
          <w:sz w:val="21"/>
          <w:szCs w:val="21"/>
          <w:shd w:val="clear" w:color="auto" w:fill="FFFFFF"/>
        </w:rPr>
        <w:t>Бреттон-Вудской</w:t>
      </w:r>
      <w:proofErr w:type="spellEnd"/>
      <w:r>
        <w:rPr>
          <w:rFonts w:ascii="Tahoma" w:hAnsi="Tahoma" w:cs="Tahoma"/>
          <w:color w:val="494949"/>
          <w:sz w:val="21"/>
          <w:szCs w:val="21"/>
          <w:shd w:val="clear" w:color="auto" w:fill="FFFFFF"/>
        </w:rPr>
        <w:t xml:space="preserve"> системы является</w:t>
      </w:r>
    </w:p>
    <w:p w:rsidR="00924A7C" w:rsidRDefault="00924A7C">
      <w:r>
        <w:rPr>
          <w:noProof/>
          <w:lang w:eastAsia="ru-RU"/>
        </w:rPr>
        <w:drawing>
          <wp:inline distT="0" distB="0" distL="0" distR="0" wp14:anchorId="5C00C67B" wp14:editId="0AB66606">
            <wp:extent cx="5066667" cy="1495238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7C" w:rsidRDefault="00924A7C">
      <w:pPr>
        <w:rPr>
          <w:rFonts w:ascii="Tahoma" w:hAnsi="Tahoma" w:cs="Tahoma"/>
          <w:color w:val="49494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94949"/>
          <w:sz w:val="21"/>
          <w:szCs w:val="21"/>
          <w:shd w:val="clear" w:color="auto" w:fill="FFFFFF"/>
        </w:rPr>
        <w:t>Количество «безбилетников» возрастает</w:t>
      </w:r>
    </w:p>
    <w:p w:rsidR="00107F14" w:rsidRDefault="00107F14">
      <w:r>
        <w:rPr>
          <w:noProof/>
          <w:lang w:eastAsia="ru-RU"/>
        </w:rPr>
        <w:drawing>
          <wp:inline distT="0" distB="0" distL="0" distR="0" wp14:anchorId="40525FA9" wp14:editId="0A0C50CB">
            <wp:extent cx="5940425" cy="1544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14" w:rsidRDefault="00107F14">
      <w:pPr>
        <w:rPr>
          <w:rFonts w:ascii="Tahoma" w:hAnsi="Tahoma" w:cs="Tahoma"/>
          <w:color w:val="49494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94949"/>
          <w:sz w:val="21"/>
          <w:szCs w:val="21"/>
          <w:shd w:val="clear" w:color="auto" w:fill="FFFFFF"/>
        </w:rPr>
        <w:t>Сырьевой кризис относится к</w:t>
      </w:r>
    </w:p>
    <w:p w:rsidR="00107F14" w:rsidRDefault="00107F14">
      <w:r>
        <w:rPr>
          <w:noProof/>
          <w:lang w:eastAsia="ru-RU"/>
        </w:rPr>
        <w:drawing>
          <wp:inline distT="0" distB="0" distL="0" distR="0" wp14:anchorId="38EBA1C7" wp14:editId="13F61AAA">
            <wp:extent cx="2923809" cy="14952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14" w:rsidRDefault="00107F14">
      <w:pPr>
        <w:rPr>
          <w:rFonts w:ascii="Tahoma" w:hAnsi="Tahoma" w:cs="Tahoma"/>
          <w:color w:val="49494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94949"/>
          <w:sz w:val="21"/>
          <w:szCs w:val="21"/>
          <w:shd w:val="clear" w:color="auto" w:fill="FFFFFF"/>
        </w:rPr>
        <w:t>Чтобы избежать двойного счета, товары и услуги учитываются</w:t>
      </w:r>
    </w:p>
    <w:p w:rsidR="00107F14" w:rsidRDefault="00107F14">
      <w:r>
        <w:rPr>
          <w:noProof/>
          <w:lang w:eastAsia="ru-RU"/>
        </w:rPr>
        <w:drawing>
          <wp:inline distT="0" distB="0" distL="0" distR="0" wp14:anchorId="0E937E9B" wp14:editId="3599252D">
            <wp:extent cx="3238095" cy="1533333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14" w:rsidRDefault="00107F14">
      <w:pPr>
        <w:rPr>
          <w:rFonts w:ascii="Tahoma" w:hAnsi="Tahoma" w:cs="Tahoma"/>
          <w:color w:val="49494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94949"/>
          <w:sz w:val="21"/>
          <w:szCs w:val="21"/>
          <w:shd w:val="clear" w:color="auto" w:fill="FFFFFF"/>
        </w:rPr>
        <w:lastRenderedPageBreak/>
        <w:t>Какие шаги предпримет Центральный банк при «перегреве» национальной экономики?</w:t>
      </w:r>
    </w:p>
    <w:p w:rsidR="00107F14" w:rsidRDefault="00107F14">
      <w:r>
        <w:rPr>
          <w:noProof/>
          <w:lang w:eastAsia="ru-RU"/>
        </w:rPr>
        <w:drawing>
          <wp:inline distT="0" distB="0" distL="0" distR="0" wp14:anchorId="4BF3C5F7" wp14:editId="29B1A6C7">
            <wp:extent cx="5940425" cy="14027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14" w:rsidRPr="00107F14" w:rsidRDefault="00107F14" w:rsidP="00107F14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 w:rsidRPr="00107F14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Основными методами регулирования международной торговли, согласно нормам ВТО, должны стать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(Отметьте один правильный вариант ответа.)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1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14" o:title=""/>
          </v:shape>
          <w:control r:id="rId15" w:name="DefaultOcxName" w:shapeid="_x0000_i1036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импортные и экспортные пошлины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2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35" type="#_x0000_t75" style="width:18pt;height:15.6pt" o:ole="">
            <v:imagedata r:id="rId14" o:title=""/>
          </v:shape>
          <w:control r:id="rId16" w:name="DefaultOcxName1" w:shapeid="_x0000_i1035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административные методы регулирования</w:t>
      </w:r>
    </w:p>
    <w:p w:rsidR="00107F14" w:rsidRPr="00107F14" w:rsidRDefault="00107F14" w:rsidP="00107F14">
      <w:pPr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3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34" type="#_x0000_t75" style="width:18pt;height:15.6pt" o:ole="">
            <v:imagedata r:id="rId14" o:title=""/>
          </v:shape>
          <w:control r:id="rId17" w:name="DefaultOcxName2" w:shapeid="_x0000_i1034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92D050"/>
          <w:lang w:eastAsia="ru-RU"/>
        </w:rPr>
        <w:t>нетарифные ограничения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4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33" type="#_x0000_t75" style="width:18pt;height:15.6pt" o:ole="">
            <v:imagedata r:id="rId14" o:title=""/>
          </v:shape>
          <w:control r:id="rId18" w:name="DefaultOcxName3" w:shapeid="_x0000_i1033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косвенные методы регулирования</w:t>
      </w:r>
    </w:p>
    <w:p w:rsidR="00107F14" w:rsidRPr="00107F14" w:rsidRDefault="00107F14" w:rsidP="00107F14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 w:rsidRPr="00107F14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Предельная склонность к потреблению — это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(Отметьте один правильный вариант ответа.)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1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45" type="#_x0000_t75" style="width:18pt;height:15.6pt" o:ole="">
            <v:imagedata r:id="rId14" o:title=""/>
          </v:shape>
          <w:control r:id="rId19" w:name="DefaultOcxName4" w:shapeid="_x0000_i1045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соотношение между объемом потребления и доходом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2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44" type="#_x0000_t75" style="width:18pt;height:15.6pt" o:ole="">
            <v:imagedata r:id="rId14" o:title=""/>
          </v:shape>
          <w:control r:id="rId20" w:name="DefaultOcxName11" w:shapeid="_x0000_i1044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92D050"/>
          <w:lang w:eastAsia="ru-RU"/>
        </w:rPr>
        <w:t>прирост объема потребления на единицу прироста дохода</w:t>
      </w:r>
    </w:p>
    <w:p w:rsid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3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43" type="#_x0000_t75" style="width:18pt;height:15.6pt" o:ole="">
            <v:imagedata r:id="rId14" o:title=""/>
          </v:shape>
          <w:control r:id="rId21" w:name="DefaultOcxName21" w:shapeid="_x0000_i1043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прирост потребления по отношению к приросту сбережений</w:t>
      </w:r>
    </w:p>
    <w:p w:rsid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107F14" w:rsidRPr="00107F14" w:rsidRDefault="00107F14" w:rsidP="00107F14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 w:rsidRPr="00107F14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Возможность привлечения в страну иностранных инвестиций зависит от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(Отметьте один правильный вариант ответа.)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1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57" type="#_x0000_t75" style="width:18pt;height:15.6pt" o:ole="">
            <v:imagedata r:id="rId14" o:title=""/>
          </v:shape>
          <w:control r:id="rId22" w:name="DefaultOcxName5" w:shapeid="_x0000_i1057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имиджа страны на мировом рынке капитала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2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56" type="#_x0000_t75" style="width:18pt;height:15.6pt" o:ole="">
            <v:imagedata r:id="rId14" o:title=""/>
          </v:shape>
          <w:control r:id="rId23" w:name="DefaultOcxName12" w:shapeid="_x0000_i1056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состояния инвестиционного климата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3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55" type="#_x0000_t75" style="width:18pt;height:15.6pt" o:ole="">
            <v:imagedata r:id="rId14" o:title=""/>
          </v:shape>
          <w:control r:id="rId24" w:name="DefaultOcxName22" w:shapeid="_x0000_i1055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92D050"/>
          <w:lang w:eastAsia="ru-RU"/>
        </w:rPr>
        <w:t>всех перечисленных факторов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4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54" type="#_x0000_t75" style="width:18pt;height:15.6pt" o:ole="">
            <v:imagedata r:id="rId14" o:title=""/>
          </v:shape>
          <w:control r:id="rId25" w:name="DefaultOcxName31" w:shapeid="_x0000_i1054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уровня доверия зарубежных инвесторов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107F14" w:rsidRPr="00107F14" w:rsidRDefault="00107F14" w:rsidP="00107F14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 w:rsidRPr="00107F14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Автором теории жизненного цикла товара является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(Отметьте один правильный вариант ответа.)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1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69" type="#_x0000_t75" style="width:18pt;height:15.6pt" o:ole="">
            <v:imagedata r:id="rId14" o:title=""/>
          </v:shape>
          <w:control r:id="rId26" w:name="DefaultOcxName6" w:shapeid="_x0000_i1069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М. Познер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2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68" type="#_x0000_t75" style="width:18pt;height:15.6pt" o:ole="">
            <v:imagedata r:id="rId14" o:title=""/>
          </v:shape>
          <w:control r:id="rId27" w:name="DefaultOcxName13" w:shapeid="_x0000_i1068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М. Портер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3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67" type="#_x0000_t75" style="width:18pt;height:15.6pt" o:ole="">
            <v:imagedata r:id="rId14" o:title=""/>
          </v:shape>
          <w:control r:id="rId28" w:name="DefaultOcxName23" w:shapeid="_x0000_i1067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92D050"/>
          <w:lang w:eastAsia="ru-RU"/>
        </w:rPr>
        <w:t xml:space="preserve">Р. </w:t>
      </w:r>
      <w:proofErr w:type="spellStart"/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92D050"/>
          <w:lang w:eastAsia="ru-RU"/>
        </w:rPr>
        <w:t>Вернон</w:t>
      </w:r>
      <w:proofErr w:type="spellEnd"/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4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66" type="#_x0000_t75" style="width:18pt;height:15.6pt" o:ole="">
            <v:imagedata r:id="rId14" o:title=""/>
          </v:shape>
          <w:control r:id="rId29" w:name="DefaultOcxName32" w:shapeid="_x0000_i1066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Р. </w:t>
      </w:r>
      <w:proofErr w:type="spellStart"/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Хаберлер</w:t>
      </w:r>
      <w:proofErr w:type="spellEnd"/>
    </w:p>
    <w:p w:rsidR="00107F14" w:rsidRDefault="00107F14"/>
    <w:p w:rsidR="00107F14" w:rsidRPr="00107F14" w:rsidRDefault="00107F14" w:rsidP="00107F14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 w:rsidRPr="00107F14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К пассивным операциям коммерческих банков не относятся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(Отметьте один правильный вариант ответа.)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1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81" type="#_x0000_t75" style="width:18pt;height:15.6pt" o:ole="">
            <v:imagedata r:id="rId14" o:title=""/>
          </v:shape>
          <w:control r:id="rId30" w:name="DefaultOcxName7" w:shapeid="_x0000_i1081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первоначальная эмиссия ценных бумаг банка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lastRenderedPageBreak/>
        <w:t>Вариант 2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80" type="#_x0000_t75" style="width:18pt;height:15.6pt" o:ole="">
            <v:imagedata r:id="rId14" o:title=""/>
          </v:shape>
          <w:control r:id="rId31" w:name="DefaultOcxName14" w:shapeid="_x0000_i1080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ссудные операции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3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79" type="#_x0000_t75" style="width:18pt;height:15.6pt" o:ole="">
            <v:imagedata r:id="rId14" o:title=""/>
          </v:shape>
          <w:control r:id="rId32" w:name="DefaultOcxName24" w:shapeid="_x0000_i1079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92D050"/>
          <w:lang w:eastAsia="ru-RU"/>
        </w:rPr>
        <w:t>все перечисленные операции</w:t>
      </w:r>
    </w:p>
    <w:p w:rsid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4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78" type="#_x0000_t75" style="width:18pt;height:15.6pt" o:ole="">
            <v:imagedata r:id="rId14" o:title=""/>
          </v:shape>
          <w:control r:id="rId33" w:name="DefaultOcxName33" w:shapeid="_x0000_i1078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первоначальная эмиссия ценных бумаг банка</w:t>
      </w:r>
    </w:p>
    <w:p w:rsid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107F14" w:rsidRPr="00107F14" w:rsidRDefault="00107F14" w:rsidP="00107F14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 w:rsidRPr="00107F14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К основным инструментам социальной политики не относится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(Отметьте один правильный вариант ответа.)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1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93" type="#_x0000_t75" style="width:18pt;height:15.6pt" o:ole="">
            <v:imagedata r:id="rId14" o:title=""/>
          </v:shape>
          <w:control r:id="rId34" w:name="DefaultOcxName8" w:shapeid="_x0000_i1093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92D050"/>
          <w:lang w:eastAsia="ru-RU"/>
        </w:rPr>
        <w:t>установление ставок заработной платы на всех предприятиях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2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92" type="#_x0000_t75" style="width:18pt;height:15.6pt" o:ole="">
            <v:imagedata r:id="rId14" o:title=""/>
          </v:shape>
          <w:control r:id="rId35" w:name="DefaultOcxName15" w:shapeid="_x0000_i1092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установление прожиточного минимума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3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91" type="#_x0000_t75" style="width:18pt;height:15.6pt" o:ole="">
            <v:imagedata r:id="rId14" o:title=""/>
          </v:shape>
          <w:control r:id="rId36" w:name="DefaultOcxName25" w:shapeid="_x0000_i1091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перераспределение доходов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4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090" type="#_x0000_t75" style="width:18pt;height:15.6pt" o:ole="">
            <v:imagedata r:id="rId14" o:title=""/>
          </v:shape>
          <w:control r:id="rId37" w:name="DefaultOcxName34" w:shapeid="_x0000_i1090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регулирование заработной платы на государственных предприятиях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107F14" w:rsidRPr="00107F14" w:rsidRDefault="00107F14" w:rsidP="00107F14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 w:rsidRPr="00107F14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К факторам, влияющим на инвестиции, относится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(Отметьте один правильный вариант ответа.)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1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105" type="#_x0000_t75" style="width:18pt;height:15.6pt" o:ole="">
            <v:imagedata r:id="rId14" o:title=""/>
          </v:shape>
          <w:control r:id="rId38" w:name="DefaultOcxName9" w:shapeid="_x0000_i1105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правительственная политика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2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104" type="#_x0000_t75" style="width:18pt;height:15.6pt" o:ole="">
            <v:imagedata r:id="rId14" o:title=""/>
          </v:shape>
          <w:control r:id="rId39" w:name="DefaultOcxName16" w:shapeid="_x0000_i1104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правительственная политика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3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103" type="#_x0000_t75" style="width:18pt;height:15.6pt" o:ole="">
            <v:imagedata r:id="rId14" o:title=""/>
          </v:shape>
          <w:control r:id="rId40" w:name="DefaultOcxName26" w:shapeid="_x0000_i1103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92D050"/>
          <w:lang w:eastAsia="ru-RU"/>
        </w:rPr>
        <w:t>все перечисленное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4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102" type="#_x0000_t75" style="width:18pt;height:15.6pt" o:ole="">
            <v:imagedata r:id="rId14" o:title=""/>
          </v:shape>
          <w:control r:id="rId41" w:name="DefaultOcxName35" w:shapeid="_x0000_i1102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уровень ставки процента</w:t>
      </w:r>
    </w:p>
    <w:p w:rsidR="00107F14" w:rsidRDefault="00107F14"/>
    <w:p w:rsidR="00107F14" w:rsidRPr="00107F14" w:rsidRDefault="00107F14" w:rsidP="00107F14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 w:rsidRPr="00107F14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К авторам теории постиндустриального общества относится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(Отметьте один правильный вариант ответа.)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1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117" type="#_x0000_t75" style="width:18pt;height:15.6pt" o:ole="">
            <v:imagedata r:id="rId14" o:title=""/>
          </v:shape>
          <w:control r:id="rId42" w:name="DefaultOcxName10" w:shapeid="_x0000_i1117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М. </w:t>
      </w:r>
      <w:proofErr w:type="spellStart"/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Фридмен</w:t>
      </w:r>
      <w:proofErr w:type="spellEnd"/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2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116" type="#_x0000_t75" style="width:18pt;height:15.6pt" o:ole="">
            <v:imagedata r:id="rId14" o:title=""/>
          </v:shape>
          <w:control r:id="rId43" w:name="DefaultOcxName17" w:shapeid="_x0000_i1116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К. Маркс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3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115" type="#_x0000_t75" style="width:18pt;height:15.6pt" o:ole="">
            <v:imagedata r:id="rId14" o:title=""/>
          </v:shape>
          <w:control r:id="rId44" w:name="DefaultOcxName27" w:shapeid="_x0000_i1115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Дж. М. </w:t>
      </w:r>
      <w:proofErr w:type="spellStart"/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Кейнс</w:t>
      </w:r>
      <w:proofErr w:type="spellEnd"/>
    </w:p>
    <w:p w:rsid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shd w:val="clear" w:color="auto" w:fill="92D050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4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114" type="#_x0000_t75" style="width:18pt;height:15.6pt" o:ole="">
            <v:imagedata r:id="rId14" o:title=""/>
          </v:shape>
          <w:control r:id="rId45" w:name="DefaultOcxName36" w:shapeid="_x0000_i1114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92D050"/>
          <w:lang w:eastAsia="ru-RU"/>
        </w:rPr>
        <w:t>Д. Белл</w:t>
      </w:r>
    </w:p>
    <w:p w:rsid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shd w:val="clear" w:color="auto" w:fill="92D050"/>
          <w:lang w:eastAsia="ru-RU"/>
        </w:rPr>
      </w:pPr>
    </w:p>
    <w:p w:rsidR="00107F14" w:rsidRPr="00107F14" w:rsidRDefault="00107F14" w:rsidP="00107F14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 w:rsidRPr="00107F14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Основоположником теории государственного регулирования является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(Отметьте один правильный вариант ответа.)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1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129" type="#_x0000_t75" style="width:18pt;height:15.6pt" o:ole="">
            <v:imagedata r:id="rId14" o:title=""/>
          </v:shape>
          <w:control r:id="rId46" w:name="DefaultOcxName19" w:shapeid="_x0000_i1129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92D050"/>
          <w:lang w:eastAsia="ru-RU"/>
        </w:rPr>
        <w:t xml:space="preserve">Дж. М. </w:t>
      </w:r>
      <w:proofErr w:type="spellStart"/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92D050"/>
          <w:lang w:eastAsia="ru-RU"/>
        </w:rPr>
        <w:t>Кейнс</w:t>
      </w:r>
      <w:proofErr w:type="spellEnd"/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2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128" type="#_x0000_t75" style="width:18pt;height:15.6pt" o:ole="">
            <v:imagedata r:id="rId14" o:title=""/>
          </v:shape>
          <w:control r:id="rId47" w:name="DefaultOcxName18" w:shapeid="_x0000_i1128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К. Маркс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3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127" type="#_x0000_t75" style="width:18pt;height:15.6pt" o:ole="">
            <v:imagedata r:id="rId14" o:title=""/>
          </v:shape>
          <w:control r:id="rId48" w:name="DefaultOcxName28" w:shapeid="_x0000_i1127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А. Вагнер</w:t>
      </w:r>
    </w:p>
    <w:p w:rsid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4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126" type="#_x0000_t75" style="width:18pt;height:15.6pt" o:ole="">
            <v:imagedata r:id="rId14" o:title=""/>
          </v:shape>
          <w:control r:id="rId49" w:name="DefaultOcxName37" w:shapeid="_x0000_i1126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Дж. </w:t>
      </w:r>
      <w:proofErr w:type="spellStart"/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Хикс</w:t>
      </w:r>
      <w:proofErr w:type="spellEnd"/>
    </w:p>
    <w:p w:rsid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107F14" w:rsidRPr="00107F14" w:rsidRDefault="00107F14" w:rsidP="00107F14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 w:rsidRPr="00107F14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Границы вмешательства государства в экономические процессы определяются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(Отметьте один правильный вариант ответа.)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1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141" type="#_x0000_t75" style="width:18pt;height:15.6pt" o:ole="">
            <v:imagedata r:id="rId14" o:title=""/>
          </v:shape>
          <w:control r:id="rId50" w:name="DefaultOcxName20" w:shapeid="_x0000_i1141"/>
        </w:object>
      </w:r>
      <w:bookmarkStart w:id="0" w:name="_GoBack"/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92D050"/>
          <w:lang w:eastAsia="ru-RU"/>
        </w:rPr>
        <w:t>пределом, за которым подрывается рыночный механизм</w:t>
      </w:r>
      <w:bookmarkEnd w:id="0"/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2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140" type="#_x0000_t75" style="width:18pt;height:15.6pt" o:ole="">
            <v:imagedata r:id="rId14" o:title=""/>
          </v:shape>
          <w:control r:id="rId51" w:name="DefaultOcxName110" w:shapeid="_x0000_i1140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численностью государственного аппарата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3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139" type="#_x0000_t75" style="width:18pt;height:15.6pt" o:ole="">
            <v:imagedata r:id="rId14" o:title=""/>
          </v:shape>
          <w:control r:id="rId52" w:name="DefaultOcxName29" w:shapeid="_x0000_i1139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его способностью собирать налоги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lastRenderedPageBreak/>
        <w:t>Вариант 4</w:t>
      </w:r>
      <w:r w:rsidRPr="00107F14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1440" w:dyaOrig="1440">
          <v:shape id="_x0000_i1138" type="#_x0000_t75" style="width:18pt;height:15.6pt" o:ole="">
            <v:imagedata r:id="rId14" o:title=""/>
          </v:shape>
          <w:control r:id="rId53" w:name="DefaultOcxName38" w:shapeid="_x0000_i1138"/>
        </w:object>
      </w:r>
      <w:r w:rsidRPr="00107F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силой властных структур</w:t>
      </w: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107F14" w:rsidRPr="00107F14" w:rsidRDefault="00107F14" w:rsidP="00107F14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107F14" w:rsidRDefault="00107F14"/>
    <w:sectPr w:rsidR="00107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7C"/>
    <w:rsid w:val="0003625A"/>
    <w:rsid w:val="00107F14"/>
    <w:rsid w:val="0092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EA83"/>
  <w15:chartTrackingRefBased/>
  <w15:docId w15:val="{19E74822-592F-41D6-9953-E769C886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ft">
    <w:name w:val="left"/>
    <w:basedOn w:val="a0"/>
    <w:rsid w:val="00107F14"/>
  </w:style>
  <w:style w:type="character" w:customStyle="1" w:styleId="right">
    <w:name w:val="right"/>
    <w:basedOn w:val="a0"/>
    <w:rsid w:val="00107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98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137084084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8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6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93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76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121500162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46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33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9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8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183448615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11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6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9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180087494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50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80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55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34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13468717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5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6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23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3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9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60203655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15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59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7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209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68401891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17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8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59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2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9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37782736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60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77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16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5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47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104683282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56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58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3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3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9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110411427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31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0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61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control" Target="activeX/activeX4.xml"/><Relationship Id="rId26" Type="http://schemas.openxmlformats.org/officeDocument/2006/relationships/control" Target="activeX/activeX12.xml"/><Relationship Id="rId39" Type="http://schemas.openxmlformats.org/officeDocument/2006/relationships/control" Target="activeX/activeX25.xml"/><Relationship Id="rId21" Type="http://schemas.openxmlformats.org/officeDocument/2006/relationships/control" Target="activeX/activeX7.xml"/><Relationship Id="rId34" Type="http://schemas.openxmlformats.org/officeDocument/2006/relationships/control" Target="activeX/activeX20.xml"/><Relationship Id="rId42" Type="http://schemas.openxmlformats.org/officeDocument/2006/relationships/control" Target="activeX/activeX28.xml"/><Relationship Id="rId47" Type="http://schemas.openxmlformats.org/officeDocument/2006/relationships/control" Target="activeX/activeX33.xml"/><Relationship Id="rId50" Type="http://schemas.openxmlformats.org/officeDocument/2006/relationships/control" Target="activeX/activeX36.xml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control" Target="activeX/activeX2.xml"/><Relationship Id="rId29" Type="http://schemas.openxmlformats.org/officeDocument/2006/relationships/control" Target="activeX/activeX15.xml"/><Relationship Id="rId11" Type="http://schemas.openxmlformats.org/officeDocument/2006/relationships/image" Target="media/image8.png"/><Relationship Id="rId24" Type="http://schemas.openxmlformats.org/officeDocument/2006/relationships/control" Target="activeX/activeX10.xml"/><Relationship Id="rId32" Type="http://schemas.openxmlformats.org/officeDocument/2006/relationships/control" Target="activeX/activeX18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53" Type="http://schemas.openxmlformats.org/officeDocument/2006/relationships/control" Target="activeX/activeX39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control" Target="activeX/activeX5.xml"/><Relationship Id="rId31" Type="http://schemas.openxmlformats.org/officeDocument/2006/relationships/control" Target="activeX/activeX17.xml"/><Relationship Id="rId44" Type="http://schemas.openxmlformats.org/officeDocument/2006/relationships/control" Target="activeX/activeX30.xml"/><Relationship Id="rId52" Type="http://schemas.openxmlformats.org/officeDocument/2006/relationships/control" Target="activeX/activeX38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wmf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21.xml"/><Relationship Id="rId43" Type="http://schemas.openxmlformats.org/officeDocument/2006/relationships/control" Target="activeX/activeX29.xml"/><Relationship Id="rId48" Type="http://schemas.openxmlformats.org/officeDocument/2006/relationships/control" Target="activeX/activeX34.xml"/><Relationship Id="rId8" Type="http://schemas.openxmlformats.org/officeDocument/2006/relationships/image" Target="media/image5.png"/><Relationship Id="rId51" Type="http://schemas.openxmlformats.org/officeDocument/2006/relationships/control" Target="activeX/activeX37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control" Target="activeX/activeX3.xml"/><Relationship Id="rId25" Type="http://schemas.openxmlformats.org/officeDocument/2006/relationships/control" Target="activeX/activeX11.xml"/><Relationship Id="rId33" Type="http://schemas.openxmlformats.org/officeDocument/2006/relationships/control" Target="activeX/activeX19.xml"/><Relationship Id="rId38" Type="http://schemas.openxmlformats.org/officeDocument/2006/relationships/control" Target="activeX/activeX24.xml"/><Relationship Id="rId46" Type="http://schemas.openxmlformats.org/officeDocument/2006/relationships/control" Target="activeX/activeX32.xml"/><Relationship Id="rId20" Type="http://schemas.openxmlformats.org/officeDocument/2006/relationships/control" Target="activeX/activeX6.xml"/><Relationship Id="rId41" Type="http://schemas.openxmlformats.org/officeDocument/2006/relationships/control" Target="activeX/activeX27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control" Target="activeX/activeX1.xml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36" Type="http://schemas.openxmlformats.org/officeDocument/2006/relationships/control" Target="activeX/activeX22.xml"/><Relationship Id="rId49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</cp:revision>
  <dcterms:created xsi:type="dcterms:W3CDTF">2023-04-02T12:21:00Z</dcterms:created>
  <dcterms:modified xsi:type="dcterms:W3CDTF">2023-04-02T12:51:00Z</dcterms:modified>
</cp:coreProperties>
</file>