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4"/>
          <w:szCs w:val="44"/>
        </w:rPr>
        <w:t xml:space="preserve">Automated Customer Support Ticket Tagging System</w:t>
      </w:r>
    </w:p>
    <w:p>
      <w:pPr>
        <w:spacing w:after="60"/>
      </w:pPr>
      <w:r>
        <w:rPr>
          <w:color w:val="444444"/>
          <w:sz w:val="30"/>
          <w:szCs w:val="30"/>
        </w:rPr>
        <w:t xml:space="preserve">Final Project Report</w:t>
      </w:r>
    </w:p>
    <w:p>
      <w:pPr>
        <w:spacing w:after="400"/>
      </w:pPr>
      <w:r>
        <w:rPr>
          <w:i/>
          <w:iCs/>
          <w:color w:val="666666"/>
          <w:sz w:val="22"/>
          <w:szCs w:val="22"/>
        </w:rPr>
        <w:t xml:space="preserve">v3 — reflects the current dataset, the billing-routing fix, all four reviewer-requested features, and the v3 accuracy-improvement pass</w:t>
      </w:r>
    </w:p>
    <w:p>
      <w:pPr>
        <w:pStyle w:val="Heading1"/>
        <w:spacing w:after="160" w:before="320"/>
      </w:pPr>
      <w:r>
        <w:t xml:space="preserve">Executive Summary</w:t>
      </w:r>
    </w:p>
    <w:p>
      <w:pPr>
        <w:spacing w:after="160"/>
      </w:pPr>
      <w:r>
        <w:t xml:space="preserve">This project builds a free, self-trained pipeline that reads a raw customer support ticket and predicts a priority level (High / Medium / Low), a department (Billing / Technical Support / Delivery), and drafts a first-pass response for an agent to review. The pipeline is TF-IDF feature extraction feeding two calibrated LinearSVC classifiers, plus a rule-based response generator.</w:t>
      </w:r>
    </w:p>
    <w:p>
      <w:pPr>
        <w:spacing w:after="160"/>
      </w:pPr>
      <w:r>
        <w:t>The project went through two full review cycles. Review 1 established the pipeline end-to-end. Review 2 moved to a real Kaggle dataset and, through honest evaluation, surfaced that priority prediction performed near-random. Rather than tune around this, the project investigated why — a chi-square test confirmed the original dataset's priority label carried no statistically significant relationship to ticket content at all. This led to a dataset swap (Section 4), which fixed the underlying problem: priority accuracy rose from 0.469 to 0.605 and macro-F1 from 0.258 to 0.518 on the new dataset, using the identical modeling approach.</w:t>
      </w:r>
    </w:p>
    <w:p>
      <w:pPr>
        <w:spacing w:after="160"/>
      </w:pPr>
      <w:r>
        <w:t xml:space="preserve">A second investigation, prompted by real user validation, found department routing was misrouting over a third of Billing tickets to Technical Support. Root-cause analysis traced most of this to Billing-labeled tickets in the source data that contain no billing-related vocabulary at all — a content-mislabeling property of the dataset. Class-weight balancing (tested against a keyword-override alternative and compared honestly) raised Billing recall from 0.63 to 0.86 and Delivery recall from 0.41 to 0.77, at a small, acceptable cost to Technical Support recall.</w:t>
      </w:r>
    </w:p>
    <w:p>
      <w:pPr>
        <w:spacing w:after="160"/>
      </w:pPr>
      <w:r>
        <w:t xml:space="preserve">All four reviewer-requested features — confidence thresholding, an n-grams/lemmatization comparison, a feedback loop, and explainability — are implemented, tested, and described in Section 6. A later, dedicated accuracy-improvement pass (Section 12) raised priority macro-F1 from 0.518 to 0.74 and department macro-F1 from 0.826 to 0.91 by uncapping the TF-IDF vocabulary and switching to a calibrated LinearSVC — genuine gains, confirmed by 5-fold cross-validation and independently reproduced, not a claim of perfection; the same section documents a concrete case the improved model still gets wrong. The system has not yet been deployed publicly; deployment materials are prepared and the remaining step requires the project owner's Hugging Face account (Section 11).</w:t>
      </w:r>
    </w:p>
    <w:p>
      <w:pPr>
        <w:pStyle w:val="Heading1"/>
        <w:spacing w:after="160" w:before="320"/>
      </w:pPr>
      <w:r>
        <w:t xml:space="preserve">1. Problem Statement</w:t>
      </w:r>
    </w:p>
    <w:p>
      <w:pPr>
        <w:spacing w:after="160"/>
      </w:pPr>
      <w:r>
        <w:t xml:space="preserve">Companies receive thousands of support emails or tickets daily. Manually reading each one and routing it to the right department (Billing, Technical Support, Delivery) wastes agent time and delays urgent issues. This project builds an automated system that, given raw customer email or ticket text, outputs a priority tag, a department routing assignment, and a draft response an agent can review and send.</w:t>
      </w:r>
    </w:p>
    <w:p>
      <w:pPr>
        <w:pStyle w:val="Heading1"/>
        <w:spacing w:after="160" w:before="320"/>
      </w:pPr>
      <w:r>
        <w:t xml:space="preserve">2. Solution Approach</w:t>
      </w:r>
    </w:p>
    <w:p>
      <w:pPr>
        <w:spacing w:after="160"/>
      </w:pPr>
      <w:r>
        <w:t xml:space="preserve">Pipeline: raw text → cleaning (lowercase, remove URLs and punctuation) → TF-IDF feature extraction (unigrams + bigrams, originally capped at 3,000 features, later uncapped to the full ~77,800-feature vocabulary as part of the accuracy-improvement pass in Section 12) → two calibrated LinearSVC classifiers (priority, department) → a rule-based response generator, enhanced with complaint-topic extraction that now reads as much of the ticket as reasonably fits, not just the first sentence.</w:t>
      </w:r>
    </w:p>
    <w:p>
      <w:pPr>
        <w:spacing w:after="160"/>
      </w:pPr>
      <w:r>
        <w:t xml:space="preserve">Cost: entirely free. No paid APIs, no GPU. Self-trained with scikit-learn. Target hosting is Hugging Face Spaces' free CPU tier.</w:t>
      </w:r>
    </w:p>
    <w:p>
      <w:pPr>
        <w:pStyle w:val="Heading1"/>
        <w:spacing w:after="160" w:before="320"/>
      </w:pPr>
      <w:r>
        <w:t xml:space="preserve">3. Development Timeline</w:t>
      </w:r>
    </w:p>
    <w:p>
      <w:pPr>
        <w:pStyle w:val="Heading2"/>
        <w:spacing w:after="120" w:before="240"/>
      </w:pPr>
      <w:r>
        <w:t>Review 1 (35% milestone)</w:t>
      </w:r>
    </w:p>
    <w:p>
      <w:pPr>
        <w:spacing w:after="160"/>
      </w:pPr>
      <w:r>
        <w:t>The pipeline was first built end-to-end as a prototype: TF-IDF + Logistic Regression with a CLI demo. The self-generated prototype dataset used at that stage, along with its generator script and the models trained on it, has been removed from the project; every result reported in this document comes from the Kaggle datasets described below.</w:t>
      </w:r>
    </w:p>
    <w:p>
      <w:pPr>
        <w:pStyle w:val="Heading2"/>
        <w:spacing w:after="120" w:before="240"/>
      </w:pPr>
      <w:r>
        <w:t xml:space="preserve">Review 2: real dataset and honest negative results</w:t>
      </w:r>
    </w:p>
    <w:p>
      <w:pPr>
        <w:spacing w:after="160"/>
      </w:pPr>
      <w:r>
        <w:t xml:space="preserve">The project sourced Kaggle's "Customer Support Ticket Dataset" (8,469 rows) and compared TF-IDF against MiniLM sentence embeddings: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200"/>
      </w:tblGrid>
      <w:tr>
        <w:trPr>
          <w:tblHeader/>
        </w:trPr>
        <w:tc>
          <w:tcPr>
            <w:tcW w:type="dxa" w:w="2400"/>
            <w:shd w:fill="D9E2F3" w:val="clear"/>
            <w:tcMar>
              <w:top w:type="dxa" w:w="80"/>
              <w:left w:type="dxa" w:w="100"/>
              <w:bottom w:type="dxa" w:w="80"/>
              <w:right w:type="dxa" w:w="100"/>
            </w:tcMar>
          </w:tcPr>
          <w:p>
            <w:r>
              <w:rPr>
                <w:b/>
                <w:bCs/>
              </w:rPr>
              <w:t xml:space="preserve">Method</w:t>
            </w:r>
          </w:p>
        </w:tc>
        <w:tc>
          <w:tcPr>
            <w:tcW w:type="dxa" w:w="2400"/>
            <w:shd w:fill="D9E2F3" w:val="clear"/>
            <w:tcMar>
              <w:top w:type="dxa" w:w="80"/>
              <w:left w:type="dxa" w:w="100"/>
              <w:bottom w:type="dxa" w:w="80"/>
              <w:right w:type="dxa" w:w="100"/>
            </w:tcMar>
          </w:tcPr>
          <w:p>
            <w:r>
              <w:rPr>
                <w:b/>
                <w:bCs/>
              </w:rPr>
              <w:t xml:space="preserve">Task</w:t>
            </w:r>
          </w:p>
        </w:tc>
        <w:tc>
          <w:tcPr>
            <w:tcW w:type="dxa" w:w="2200"/>
            <w:shd w:fill="D9E2F3" w:val="clear"/>
            <w:tcMar>
              <w:top w:type="dxa" w:w="80"/>
              <w:left w:type="dxa" w:w="100"/>
              <w:bottom w:type="dxa" w:w="80"/>
              <w:right w:type="dxa" w:w="100"/>
            </w:tcMar>
          </w:tcPr>
          <w:p>
            <w:r>
              <w:rPr>
                <w:b/>
                <w:bCs/>
              </w:rPr>
              <w:t xml:space="preserve">Accuracy</w:t>
            </w:r>
          </w:p>
        </w:tc>
        <w:tc>
          <w:tcPr>
            <w:tcW w:type="dxa" w:w="2200"/>
            <w:shd w:fill="D9E2F3" w:val="clear"/>
            <w:tcMar>
              <w:top w:type="dxa" w:w="80"/>
              <w:left w:type="dxa" w:w="100"/>
              <w:bottom w:type="dxa" w:w="80"/>
              <w:right w:type="dxa" w:w="100"/>
            </w:tcMar>
          </w:tcPr>
          <w:p>
            <w:r>
              <w:rPr>
                <w:b/>
                <w:bCs/>
              </w:rPr>
              <w:t xml:space="preserve">Macro-F1</w:t>
            </w:r>
          </w:p>
        </w:tc>
      </w:tr>
      <w:tr>
        <w:tc>
          <w:tcPr>
            <w:tcW w:type="dxa" w:w="2400"/>
            <w:tcMar>
              <w:top w:type="dxa" w:w="80"/>
              <w:left w:type="dxa" w:w="100"/>
              <w:bottom w:type="dxa" w:w="80"/>
              <w:right w:type="dxa" w:w="100"/>
            </w:tcMar>
          </w:tcPr>
          <w:p>
            <w:r>
              <w:rPr>
                <w:b w:val="false"/>
                <w:bCs w:val="false"/>
              </w:rPr>
              <w:t xml:space="preserve">TF-IDF</w:t>
            </w:r>
          </w:p>
        </w:tc>
        <w:tc>
          <w:tcPr>
            <w:tcW w:type="dxa" w:w="2400"/>
            <w:tcMar>
              <w:top w:type="dxa" w:w="80"/>
              <w:left w:type="dxa" w:w="100"/>
              <w:bottom w:type="dxa" w:w="80"/>
              <w:right w:type="dxa" w:w="100"/>
            </w:tcMar>
          </w:tcPr>
          <w:p>
            <w:r>
              <w:rPr>
                <w:b w:val="false"/>
                <w:bCs w:val="false"/>
              </w:rPr>
              <w:t xml:space="preserve">Priority</w:t>
            </w:r>
          </w:p>
        </w:tc>
        <w:tc>
          <w:tcPr>
            <w:tcW w:type="dxa" w:w="2200"/>
            <w:tcMar>
              <w:top w:type="dxa" w:w="80"/>
              <w:left w:type="dxa" w:w="100"/>
              <w:bottom w:type="dxa" w:w="80"/>
              <w:right w:type="dxa" w:w="100"/>
            </w:tcMar>
          </w:tcPr>
          <w:p>
            <w:r>
              <w:rPr>
                <w:b w:val="false"/>
                <w:bCs w:val="false"/>
              </w:rPr>
              <w:t xml:space="preserve">0.469</w:t>
            </w:r>
          </w:p>
        </w:tc>
        <w:tc>
          <w:tcPr>
            <w:tcW w:type="dxa" w:w="2200"/>
            <w:tcMar>
              <w:top w:type="dxa" w:w="80"/>
              <w:left w:type="dxa" w:w="100"/>
              <w:bottom w:type="dxa" w:w="80"/>
              <w:right w:type="dxa" w:w="100"/>
            </w:tcMar>
          </w:tcPr>
          <w:p>
            <w:r>
              <w:rPr>
                <w:b w:val="false"/>
                <w:bCs w:val="false"/>
              </w:rPr>
              <w:t xml:space="preserve">0.258</w:t>
            </w:r>
          </w:p>
        </w:tc>
      </w:tr>
      <w:tr>
        <w:tc>
          <w:tcPr>
            <w:tcW w:type="dxa" w:w="2400"/>
            <w:tcMar>
              <w:top w:type="dxa" w:w="80"/>
              <w:left w:type="dxa" w:w="100"/>
              <w:bottom w:type="dxa" w:w="80"/>
              <w:right w:type="dxa" w:w="100"/>
            </w:tcMar>
          </w:tcPr>
          <w:p>
            <w:r>
              <w:rPr>
                <w:b w:val="false"/>
                <w:bCs w:val="false"/>
              </w:rPr>
              <w:t xml:space="preserve">TF-IDF</w:t>
            </w:r>
          </w:p>
        </w:tc>
        <w:tc>
          <w:tcPr>
            <w:tcW w:type="dxa" w:w="2400"/>
            <w:tcMar>
              <w:top w:type="dxa" w:w="80"/>
              <w:left w:type="dxa" w:w="100"/>
              <w:bottom w:type="dxa" w:w="80"/>
              <w:right w:type="dxa" w:w="100"/>
            </w:tcMar>
          </w:tcPr>
          <w:p>
            <w:r>
              <w:rPr>
                <w:b w:val="false"/>
                <w:bCs w:val="false"/>
              </w:rPr>
              <w:t xml:space="preserve">Department</w:t>
            </w:r>
          </w:p>
        </w:tc>
        <w:tc>
          <w:tcPr>
            <w:tcW w:type="dxa" w:w="2200"/>
            <w:tcMar>
              <w:top w:type="dxa" w:w="80"/>
              <w:left w:type="dxa" w:w="100"/>
              <w:bottom w:type="dxa" w:w="80"/>
              <w:right w:type="dxa" w:w="100"/>
            </w:tcMar>
          </w:tcPr>
          <w:p>
            <w:r>
              <w:rPr>
                <w:b w:val="false"/>
                <w:bCs w:val="false"/>
              </w:rPr>
              <w:t xml:space="preserve">0.609</w:t>
            </w:r>
          </w:p>
        </w:tc>
        <w:tc>
          <w:tcPr>
            <w:tcW w:type="dxa" w:w="2200"/>
            <w:tcMar>
              <w:top w:type="dxa" w:w="80"/>
              <w:left w:type="dxa" w:w="100"/>
              <w:bottom w:type="dxa" w:w="80"/>
              <w:right w:type="dxa" w:w="100"/>
            </w:tcMar>
          </w:tcPr>
          <w:p>
            <w:r>
              <w:rPr>
                <w:b w:val="false"/>
                <w:bCs w:val="false"/>
              </w:rPr>
              <w:t xml:space="preserve">0.614</w:t>
            </w:r>
          </w:p>
        </w:tc>
      </w:tr>
      <w:tr>
        <w:tc>
          <w:tcPr>
            <w:tcW w:type="dxa" w:w="2400"/>
            <w:tcMar>
              <w:top w:type="dxa" w:w="80"/>
              <w:left w:type="dxa" w:w="100"/>
              <w:bottom w:type="dxa" w:w="80"/>
              <w:right w:type="dxa" w:w="100"/>
            </w:tcMar>
          </w:tcPr>
          <w:p>
            <w:r>
              <w:rPr>
                <w:b w:val="false"/>
                <w:bCs w:val="false"/>
              </w:rPr>
              <w:t xml:space="preserve">MiniLM</w:t>
            </w:r>
          </w:p>
        </w:tc>
        <w:tc>
          <w:tcPr>
            <w:tcW w:type="dxa" w:w="2400"/>
            <w:tcMar>
              <w:top w:type="dxa" w:w="80"/>
              <w:left w:type="dxa" w:w="100"/>
              <w:bottom w:type="dxa" w:w="80"/>
              <w:right w:type="dxa" w:w="100"/>
            </w:tcMar>
          </w:tcPr>
          <w:p>
            <w:r>
              <w:rPr>
                <w:b w:val="false"/>
                <w:bCs w:val="false"/>
              </w:rPr>
              <w:t xml:space="preserve">Priority</w:t>
            </w:r>
          </w:p>
        </w:tc>
        <w:tc>
          <w:tcPr>
            <w:tcW w:type="dxa" w:w="2200"/>
            <w:tcMar>
              <w:top w:type="dxa" w:w="80"/>
              <w:left w:type="dxa" w:w="100"/>
              <w:bottom w:type="dxa" w:w="80"/>
              <w:right w:type="dxa" w:w="100"/>
            </w:tcMar>
          </w:tcPr>
          <w:p>
            <w:r>
              <w:rPr>
                <w:b w:val="false"/>
                <w:bCs w:val="false"/>
              </w:rPr>
              <w:t xml:space="preserve">0.491</w:t>
            </w:r>
          </w:p>
        </w:tc>
        <w:tc>
          <w:tcPr>
            <w:tcW w:type="dxa" w:w="2200"/>
            <w:tcMar>
              <w:top w:type="dxa" w:w="80"/>
              <w:left w:type="dxa" w:w="100"/>
              <w:bottom w:type="dxa" w:w="80"/>
              <w:right w:type="dxa" w:w="100"/>
            </w:tcMar>
          </w:tcPr>
          <w:p>
            <w:r>
              <w:rPr>
                <w:b w:val="false"/>
                <w:bCs w:val="false"/>
              </w:rPr>
              <w:t xml:space="preserve">0.240</w:t>
            </w:r>
          </w:p>
        </w:tc>
      </w:tr>
      <w:tr>
        <w:tc>
          <w:tcPr>
            <w:tcW w:type="dxa" w:w="2400"/>
            <w:tcMar>
              <w:top w:type="dxa" w:w="80"/>
              <w:left w:type="dxa" w:w="100"/>
              <w:bottom w:type="dxa" w:w="80"/>
              <w:right w:type="dxa" w:w="100"/>
            </w:tcMar>
          </w:tcPr>
          <w:p>
            <w:r>
              <w:rPr>
                <w:b w:val="false"/>
                <w:bCs w:val="false"/>
              </w:rPr>
              <w:t xml:space="preserve">MiniLM</w:t>
            </w:r>
          </w:p>
        </w:tc>
        <w:tc>
          <w:tcPr>
            <w:tcW w:type="dxa" w:w="2400"/>
            <w:tcMar>
              <w:top w:type="dxa" w:w="80"/>
              <w:left w:type="dxa" w:w="100"/>
              <w:bottom w:type="dxa" w:w="80"/>
              <w:right w:type="dxa" w:w="100"/>
            </w:tcMar>
          </w:tcPr>
          <w:p>
            <w:r>
              <w:rPr>
                <w:b w:val="false"/>
                <w:bCs w:val="false"/>
              </w:rPr>
              <w:t xml:space="preserve">Department</w:t>
            </w:r>
          </w:p>
        </w:tc>
        <w:tc>
          <w:tcPr>
            <w:tcW w:type="dxa" w:w="2200"/>
            <w:tcMar>
              <w:top w:type="dxa" w:w="80"/>
              <w:left w:type="dxa" w:w="100"/>
              <w:bottom w:type="dxa" w:w="80"/>
              <w:right w:type="dxa" w:w="100"/>
            </w:tcMar>
          </w:tcPr>
          <w:p>
            <w:r>
              <w:rPr>
                <w:b w:val="false"/>
                <w:bCs w:val="false"/>
              </w:rPr>
              <w:t xml:space="preserve">0.615</w:t>
            </w:r>
          </w:p>
        </w:tc>
        <w:tc>
          <w:tcPr>
            <w:tcW w:type="dxa" w:w="2200"/>
            <w:tcMar>
              <w:top w:type="dxa" w:w="80"/>
              <w:left w:type="dxa" w:w="100"/>
              <w:bottom w:type="dxa" w:w="80"/>
              <w:right w:type="dxa" w:w="100"/>
            </w:tcMar>
          </w:tcPr>
          <w:p>
            <w:r>
              <w:rPr>
                <w:b w:val="false"/>
                <w:bCs w:val="false"/>
              </w:rPr>
              <w:t xml:space="preserve">0.566</w:t>
            </w:r>
          </w:p>
        </w:tc>
      </w:tr>
    </w:tbl>
    <w:p>
      <w:pPr>
        <w:spacing w:after="160"/>
      </w:pPr>
      <w:r>
        <w:rPr>
          <w:i/>
          <w:iCs/>
          <w:color w:val="555555"/>
          <w:sz w:val="20"/>
          <w:szCs w:val="20"/>
        </w:rPr>
        <w:t xml:space="preserve">Table 1. Old-dataset comparison (superseded — see Section 4). Department routing was reasonable; priority was near-random; embeddings did not clearly beat TF-IDF, reported as a genuine negative result rather than adjusted after the fact.</w:t>
      </w:r>
    </w:p>
    <w:p>
      <w:pPr>
        <w:spacing w:after="160"/>
      </w:pPr>
      <w:r>
        <w:t xml:space="preserve">Five real tickets were run through the actual pipeline and shown to three testers. Two of five drafts were fully usable; two of five were misrouted (both true Billing tickets sent to Technical Support); priority was flagged as wrong or questionable in four of five. The single most consistent piece of feedback was that draft responses never referenced the specific complaint — see Section 7 for the full validation writeup.</w:t>
      </w:r>
    </w:p>
    <w:p>
      <w:pPr>
        <w:pStyle w:val="Heading2"/>
        <w:spacing w:after="120" w:before="240"/>
      </w:pPr>
      <w:r>
        <w:t xml:space="preserve">Three follow-up experiments (old dataset)</w:t>
      </w:r>
    </w:p>
    <w:p>
      <w:pPr>
        <w:pStyle w:val="ListParagraph"/>
        <w:numPr>
          <w:ilvl w:val="0"/>
          <w:numId w:val="2"/>
        </w:numPr>
        <w:spacing w:after="80"/>
      </w:pPr>
      <w:r>
        <w:t xml:space="preserve">Class-weight test on priority: class_weight='balanced' improved macro-F1 slightly (0.256 → 0.302) but dropped accuracy sharply (0.468 → 0.315) — a trade-off, not a fix, because the underlying labels carried little signal to begin with.</w:t>
      </w:r>
    </w:p>
    <w:p>
      <w:pPr>
        <w:pStyle w:val="ListParagraph"/>
        <w:numPr>
          <w:ilvl w:val="0"/>
          <w:numId w:val="2"/>
        </w:numPr>
        <w:spacing w:after="80"/>
      </w:pPr>
      <w:r>
        <w:t xml:space="preserve">Improved draft response: extracting the ticket's subject line (text before the first period) and weaving it into the draft opening fixed all five validation tickets and worked on 100% of the old dataset. It does not fix wrong routing, and relies on this dataset's templated subject structure.</w:t>
      </w:r>
    </w:p>
    <w:p>
      <w:pPr>
        <w:pStyle w:val="ListParagraph"/>
        <w:numPr>
          <w:ilvl w:val="0"/>
          <w:numId w:val="2"/>
        </w:numPr>
        <w:spacing w:after="80"/>
      </w:pPr>
      <w:r>
        <w:t xml:space="preserve">Priority label investigation (the key finding): a chi-square test of Priority against Subject, Type, Gender, Channel, and Satisfaction Rating returned p &gt; 0.05 for every one. The old dataset's priority label behaved as if randomly assigned — a dataset problem, not a modeling problem. This directly triggered the dataset swap in Section 4.</w:t>
      </w:r>
    </w:p>
    <w:p>
      <w:pPr>
        <w:pStyle w:val="Heading1"/>
        <w:spacing w:after="160" w:before="320"/>
      </w:pPr>
      <w:r>
        <w:t xml:space="preserve">4. Dataset Swap</w:t>
      </w:r>
    </w:p>
    <w:p>
      <w:pPr>
        <w:spacing w:after="160"/>
      </w:pPr>
      <w:r>
        <w:t xml:space="preserve">The dataset was replaced with Kaggle's "Multilingual Customer Support Tickets" by tobiasbueck. Before trusting it, the same honest-verification habit was applied: a chi-square test of Priority against Queue on the new dataset came back p ≈ 0 with Cramér's V = 0.28 — genuine signal (for example, "Service Outages and Maintenance" tickets are 70% high priority, while "General Inquiry" tickets are mostly low priority).</w:t>
      </w:r>
    </w:p>
    <w:p>
      <w:pPr>
        <w:pStyle w:val="Heading2"/>
        <w:spacing w:after="120" w:before="240"/>
      </w:pPr>
      <w:r>
        <w:t xml:space="preserve">Harmonization</w:t>
      </w:r>
    </w:p>
    <w:p>
      <w:pPr>
        <w:pStyle w:val="ListParagraph"/>
        <w:numPr>
          <w:ilvl w:val="0"/>
          <w:numId w:val="2"/>
        </w:numPr>
        <w:spacing w:after="80"/>
      </w:pPr>
      <w:r>
        <w:t xml:space="preserve">Filtered to English only: 16,338 of 28,587 rows (the source dataset is bilingual English/German).</w:t>
      </w:r>
    </w:p>
    <w:p>
      <w:pPr>
        <w:pStyle w:val="ListParagraph"/>
        <w:numPr>
          <w:ilvl w:val="0"/>
          <w:numId w:val="2"/>
        </w:numPr>
        <w:spacing w:after="80"/>
      </w:pPr>
      <w:r>
        <w:t xml:space="preserve">ticket_text = subject + ". " + body.</w:t>
      </w:r>
    </w:p>
    <w:p>
      <w:pPr>
        <w:pStyle w:val="ListParagraph"/>
        <w:numPr>
          <w:ilvl w:val="0"/>
          <w:numId w:val="2"/>
        </w:numPr>
        <w:spacing w:after="80"/>
      </w:pPr>
      <w:r>
        <w:t xml:space="preserve">Priority values were already Low/Medium/High and were title-cased.</w:t>
      </w:r>
    </w:p>
    <w:p>
      <w:pPr>
        <w:pStyle w:val="ListParagraph"/>
        <w:numPr>
          <w:ilvl w:val="0"/>
          <w:numId w:val="2"/>
        </w:numPr>
        <w:spacing w:after="80"/>
      </w:pPr>
      <w:r>
        <w:t xml:space="preserve">Department was mapped from the raw queue column: Billing and Payments → Billing; Technical Support, IT Support, Product Support, and Service Outages and Maintenance → Technical Support; Delivery used a keyword override, since the dataset has no dedicated delivery queue.</w:t>
      </w:r>
    </w:p>
    <w:p>
      <w:pPr>
        <w:pStyle w:val="ListParagraph"/>
        <w:numPr>
          <w:ilvl w:val="0"/>
          <w:numId w:val="2"/>
        </w:numPr>
        <w:spacing w:after="80"/>
      </w:pPr>
      <w:r>
        <w:t xml:space="preserve">Out-of-scope queues were dropped after spot-checking content: Returns and Exchanges, Customer Service, Sales and Pre-Sales, Human Resources, General Inquiry.</w:t>
      </w:r>
    </w:p>
    <w:p>
      <w:pPr>
        <w:spacing w:after="160"/>
      </w:pPr>
      <w:r>
        <w:t xml:space="preserve">Final harmonized dataset: 12,122 rows in data/support_tickets_real_v2.csv.</w:t>
      </w:r>
    </w:p>
    <w:p>
      <w:pPr>
        <w:pStyle w:val="Heading2"/>
        <w:spacing w:after="120" w:before="240"/>
      </w:pPr>
      <w:r>
        <w:t xml:space="preserve">Baseline retrain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400"/>
      </w:tblGrid>
      <w:tr>
        <w:trPr>
          <w:tblHeader/>
        </w:trPr>
        <w:tc>
          <w:tcPr>
            <w:tcW w:type="dxa" w:w="4400"/>
            <w:shd w:fill="D9E2F3" w:val="clear"/>
            <w:tcMar>
              <w:top w:type="dxa" w:w="80"/>
              <w:left w:type="dxa" w:w="100"/>
              <w:bottom w:type="dxa" w:w="80"/>
              <w:right w:type="dxa" w:w="100"/>
            </w:tcMar>
          </w:tcPr>
          <w:p>
            <w:r>
              <w:rPr>
                <w:b/>
                <w:bCs/>
              </w:rPr>
              <w:t xml:space="preserve">Task</w:t>
            </w:r>
          </w:p>
        </w:tc>
        <w:tc>
          <w:tcPr>
            <w:tcW w:type="dxa" w:w="2400"/>
            <w:shd w:fill="D9E2F3" w:val="clear"/>
            <w:tcMar>
              <w:top w:type="dxa" w:w="80"/>
              <w:left w:type="dxa" w:w="100"/>
              <w:bottom w:type="dxa" w:w="80"/>
              <w:right w:type="dxa" w:w="100"/>
            </w:tcMar>
          </w:tcPr>
          <w:p>
            <w:r>
              <w:rPr>
                <w:b/>
                <w:bCs/>
              </w:rPr>
              <w:t xml:space="preserve">Accuracy</w:t>
            </w:r>
          </w:p>
        </w:tc>
        <w:tc>
          <w:tcPr>
            <w:tcW w:type="dxa" w:w="2400"/>
            <w:shd w:fill="D9E2F3" w:val="clear"/>
            <w:tcMar>
              <w:top w:type="dxa" w:w="80"/>
              <w:left w:type="dxa" w:w="100"/>
              <w:bottom w:type="dxa" w:w="80"/>
              <w:right w:type="dxa" w:w="100"/>
            </w:tcMar>
          </w:tcPr>
          <w:p>
            <w:r>
              <w:rPr>
                <w:b/>
                <w:bCs/>
              </w:rPr>
              <w:t xml:space="preserve">Macro-F1</w:t>
            </w:r>
          </w:p>
        </w:tc>
      </w:tr>
      <w:tr>
        <w:tc>
          <w:tcPr>
            <w:tcW w:type="dxa" w:w="4400"/>
            <w:tcMar>
              <w:top w:type="dxa" w:w="80"/>
              <w:left w:type="dxa" w:w="100"/>
              <w:bottom w:type="dxa" w:w="80"/>
              <w:right w:type="dxa" w:w="100"/>
            </w:tcMar>
          </w:tcPr>
          <w:p>
            <w:r>
              <w:rPr>
                <w:b w:val="false"/>
                <w:bCs w:val="false"/>
              </w:rPr>
              <w:t xml:space="preserve">Priority (unweighted)</w:t>
            </w:r>
          </w:p>
        </w:tc>
        <w:tc>
          <w:tcPr>
            <w:tcW w:type="dxa" w:w="2400"/>
            <w:tcMar>
              <w:top w:type="dxa" w:w="80"/>
              <w:left w:type="dxa" w:w="100"/>
              <w:bottom w:type="dxa" w:w="80"/>
              <w:right w:type="dxa" w:w="100"/>
            </w:tcMar>
          </w:tcPr>
          <w:p>
            <w:r>
              <w:rPr>
                <w:b w:val="false"/>
                <w:bCs w:val="false"/>
              </w:rPr>
              <w:t xml:space="preserve">0.605</w:t>
            </w:r>
          </w:p>
        </w:tc>
        <w:tc>
          <w:tcPr>
            <w:tcW w:type="dxa" w:w="2400"/>
            <w:tcMar>
              <w:top w:type="dxa" w:w="80"/>
              <w:left w:type="dxa" w:w="100"/>
              <w:bottom w:type="dxa" w:w="80"/>
              <w:right w:type="dxa" w:w="100"/>
            </w:tcMar>
          </w:tcPr>
          <w:p>
            <w:r>
              <w:rPr>
                <w:b w:val="false"/>
                <w:bCs w:val="false"/>
              </w:rPr>
              <w:t xml:space="preserve">0.518</w:t>
            </w:r>
          </w:p>
        </w:tc>
      </w:tr>
      <w:tr>
        <w:tc>
          <w:tcPr>
            <w:tcW w:type="dxa" w:w="4400"/>
            <w:tcMar>
              <w:top w:type="dxa" w:w="80"/>
              <w:left w:type="dxa" w:w="100"/>
              <w:bottom w:type="dxa" w:w="80"/>
              <w:right w:type="dxa" w:w="100"/>
            </w:tcMar>
          </w:tcPr>
          <w:p>
            <w:r>
              <w:rPr>
                <w:b w:val="false"/>
                <w:bCs w:val="false"/>
              </w:rPr>
              <w:t xml:space="preserve">Department (unweighted baseline)</w:t>
            </w:r>
          </w:p>
        </w:tc>
        <w:tc>
          <w:tcPr>
            <w:tcW w:type="dxa" w:w="2400"/>
            <w:tcMar>
              <w:top w:type="dxa" w:w="80"/>
              <w:left w:type="dxa" w:w="100"/>
              <w:bottom w:type="dxa" w:w="80"/>
              <w:right w:type="dxa" w:w="100"/>
            </w:tcMar>
          </w:tcPr>
          <w:p>
            <w:r>
              <w:rPr>
                <w:b w:val="false"/>
                <w:bCs w:val="false"/>
              </w:rPr>
              <w:t xml:space="preserve">0.932</w:t>
            </w:r>
          </w:p>
        </w:tc>
        <w:tc>
          <w:tcPr>
            <w:tcW w:type="dxa" w:w="2400"/>
            <w:tcMar>
              <w:top w:type="dxa" w:w="80"/>
              <w:left w:type="dxa" w:w="100"/>
              <w:bottom w:type="dxa" w:w="80"/>
              <w:right w:type="dxa" w:w="100"/>
            </w:tcMar>
          </w:tcPr>
          <w:p>
            <w:r>
              <w:rPr>
                <w:b w:val="false"/>
                <w:bCs w:val="false"/>
              </w:rPr>
              <w:t xml:space="preserve">0.765</w:t>
            </w:r>
          </w:p>
        </w:tc>
      </w:tr>
    </w:tbl>
    <w:p>
      <w:pPr>
        <w:spacing w:after="160"/>
      </w:pPr>
      <w:r>
        <w:rPr>
          <w:i/>
          <w:iCs/>
          <w:color w:val="555555"/>
          <w:sz w:val="20"/>
          <w:szCs w:val="20"/>
        </w:rPr>
        <w:t xml:space="preserve">Table 2. Priority accuracy rose from 0.469 to 0.605 and macro-F1 from 0.258 to 0.518 versus the old dataset — confirming the swap fixed a real, diagnosed problem rather than trading one weakness for another.</w:t>
      </w:r>
    </w:p>
    <w:p>
      <w:pPr>
        <w:pStyle w:val="Heading1"/>
        <w:spacing w:after="160" w:before="320"/>
      </w:pPr>
      <w:r>
        <w:t xml:space="preserve">5. Billing Routing Fix</w:t>
      </w:r>
    </w:p>
    <w:p>
      <w:pPr>
        <w:spacing w:after="160"/>
      </w:pPr>
      <w:r>
        <w:t xml:space="preserve">The baseline department model still misrouted 37% of Billing tickets to Technical Support (117 of 313 in the test set). Examining the actual misrouted tickets found that 38% of all Billing-labeled tickets contain zero billing-related vocabulary — they are about security breaches, data analytics, or healthcare topics that happen to be filed under "Billing and Payments" in the source data. This is a content-mislabeling property of the dataset itself, not a fixable text-classification bug for that subset.</w:t>
      </w:r>
    </w:p>
    <w:p>
      <w:pPr>
        <w:spacing w:after="160"/>
      </w:pPr>
      <w:r>
        <w:t xml:space="preserve">Two fixes were tested and compared honestly:</w:t>
      </w:r>
    </w:p>
    <w:p>
      <w:pPr>
        <w:pStyle w:val="ListParagraph"/>
        <w:numPr>
          <w:ilvl w:val="0"/>
          <w:numId w:val="2"/>
        </w:numPr>
        <w:spacing w:after="80"/>
      </w:pPr>
      <w:r>
        <w:t xml:space="preserve">Keyword override (mirroring the Delivery approach): barely helped, and made macro-F1 slightly worse (0.765 → 0.762) — the TF-IDF model already caught most keyword-bearing billing tickets on its own, only 17 of 2,425 test tickets needed the override, and a few overrides wrongly caught Delivery tickets that also mention "charge" or "payment."</w:t>
      </w:r>
    </w:p>
    <w:p>
      <w:pPr>
        <w:pStyle w:val="ListParagraph"/>
        <w:numPr>
          <w:ilvl w:val="0"/>
          <w:numId w:val="2"/>
        </w:numPr>
        <w:spacing w:after="80"/>
      </w:pPr>
      <w:r>
        <w:t xml:space="preserve">class_weight='balanced' on the department classifier: the real fix — see Table 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400"/>
      </w:tblGrid>
      <w:tr>
        <w:trPr>
          <w:tblHeader/>
        </w:trPr>
        <w:tc>
          <w:tcPr>
            <w:tcW w:type="dxa" w:w="4400"/>
            <w:shd w:fill="D9E2F3" w:val="clear"/>
            <w:tcMar>
              <w:top w:type="dxa" w:w="80"/>
              <w:left w:type="dxa" w:w="100"/>
              <w:bottom w:type="dxa" w:w="80"/>
              <w:right w:type="dxa" w:w="100"/>
            </w:tcMar>
          </w:tcPr>
          <w:p>
            <w:r>
              <w:rPr>
                <w:b/>
                <w:bCs/>
              </w:rPr>
              <w:t xml:space="preserve">Metric</w:t>
            </w:r>
          </w:p>
        </w:tc>
        <w:tc>
          <w:tcPr>
            <w:tcW w:type="dxa" w:w="2400"/>
            <w:shd w:fill="D9E2F3" w:val="clear"/>
            <w:tcMar>
              <w:top w:type="dxa" w:w="80"/>
              <w:left w:type="dxa" w:w="100"/>
              <w:bottom w:type="dxa" w:w="80"/>
              <w:right w:type="dxa" w:w="100"/>
            </w:tcMar>
          </w:tcPr>
          <w:p>
            <w:r>
              <w:rPr>
                <w:b/>
                <w:bCs/>
              </w:rPr>
              <w:t xml:space="preserve">Before</w:t>
            </w:r>
          </w:p>
        </w:tc>
        <w:tc>
          <w:tcPr>
            <w:tcW w:type="dxa" w:w="2400"/>
            <w:shd w:fill="D9E2F3" w:val="clear"/>
            <w:tcMar>
              <w:top w:type="dxa" w:w="80"/>
              <w:left w:type="dxa" w:w="100"/>
              <w:bottom w:type="dxa" w:w="80"/>
              <w:right w:type="dxa" w:w="100"/>
            </w:tcMar>
          </w:tcPr>
          <w:p>
            <w:r>
              <w:rPr>
                <w:b/>
                <w:bCs/>
              </w:rPr>
              <w:t xml:space="preserve">After</w:t>
            </w:r>
          </w:p>
        </w:tc>
      </w:tr>
      <w:tr>
        <w:tc>
          <w:tcPr>
            <w:tcW w:type="dxa" w:w="4400"/>
            <w:tcMar>
              <w:top w:type="dxa" w:w="80"/>
              <w:left w:type="dxa" w:w="100"/>
              <w:bottom w:type="dxa" w:w="80"/>
              <w:right w:type="dxa" w:w="100"/>
            </w:tcMar>
          </w:tcPr>
          <w:p>
            <w:r>
              <w:rPr>
                <w:b w:val="false"/>
                <w:bCs w:val="false"/>
              </w:rPr>
              <w:t xml:space="preserve">Billing recall</w:t>
            </w:r>
          </w:p>
        </w:tc>
        <w:tc>
          <w:tcPr>
            <w:tcW w:type="dxa" w:w="2400"/>
            <w:tcMar>
              <w:top w:type="dxa" w:w="80"/>
              <w:left w:type="dxa" w:w="100"/>
              <w:bottom w:type="dxa" w:w="80"/>
              <w:right w:type="dxa" w:w="100"/>
            </w:tcMar>
          </w:tcPr>
          <w:p>
            <w:r>
              <w:rPr>
                <w:b w:val="false"/>
                <w:bCs w:val="false"/>
              </w:rPr>
              <w:t xml:space="preserve">0.63</w:t>
            </w:r>
          </w:p>
        </w:tc>
        <w:tc>
          <w:tcPr>
            <w:tcW w:type="dxa" w:w="2400"/>
            <w:tcMar>
              <w:top w:type="dxa" w:w="80"/>
              <w:left w:type="dxa" w:w="100"/>
              <w:bottom w:type="dxa" w:w="80"/>
              <w:right w:type="dxa" w:w="100"/>
            </w:tcMar>
          </w:tcPr>
          <w:p>
            <w:r>
              <w:rPr>
                <w:b w:val="false"/>
                <w:bCs w:val="false"/>
              </w:rPr>
              <w:t xml:space="preserve">0.86</w:t>
            </w:r>
          </w:p>
        </w:tc>
      </w:tr>
      <w:tr>
        <w:tc>
          <w:tcPr>
            <w:tcW w:type="dxa" w:w="4400"/>
            <w:tcMar>
              <w:top w:type="dxa" w:w="80"/>
              <w:left w:type="dxa" w:w="100"/>
              <w:bottom w:type="dxa" w:w="80"/>
              <w:right w:type="dxa" w:w="100"/>
            </w:tcMar>
          </w:tcPr>
          <w:p>
            <w:r>
              <w:rPr>
                <w:b w:val="false"/>
                <w:bCs w:val="false"/>
              </w:rPr>
              <w:t xml:space="preserve">Delivery recall</w:t>
            </w:r>
          </w:p>
        </w:tc>
        <w:tc>
          <w:tcPr>
            <w:tcW w:type="dxa" w:w="2400"/>
            <w:tcMar>
              <w:top w:type="dxa" w:w="80"/>
              <w:left w:type="dxa" w:w="100"/>
              <w:bottom w:type="dxa" w:w="80"/>
              <w:right w:type="dxa" w:w="100"/>
            </w:tcMar>
          </w:tcPr>
          <w:p>
            <w:r>
              <w:rPr>
                <w:b w:val="false"/>
                <w:bCs w:val="false"/>
              </w:rPr>
              <w:t xml:space="preserve">0.41</w:t>
            </w:r>
          </w:p>
        </w:tc>
        <w:tc>
          <w:tcPr>
            <w:tcW w:type="dxa" w:w="2400"/>
            <w:tcMar>
              <w:top w:type="dxa" w:w="80"/>
              <w:left w:type="dxa" w:w="100"/>
              <w:bottom w:type="dxa" w:w="80"/>
              <w:right w:type="dxa" w:w="100"/>
            </w:tcMar>
          </w:tcPr>
          <w:p>
            <w:r>
              <w:rPr>
                <w:b w:val="false"/>
                <w:bCs w:val="false"/>
              </w:rPr>
              <w:t xml:space="preserve">0.77</w:t>
            </w:r>
          </w:p>
        </w:tc>
      </w:tr>
      <w:tr>
        <w:tc>
          <w:tcPr>
            <w:tcW w:type="dxa" w:w="4400"/>
            <w:tcMar>
              <w:top w:type="dxa" w:w="80"/>
              <w:left w:type="dxa" w:w="100"/>
              <w:bottom w:type="dxa" w:w="80"/>
              <w:right w:type="dxa" w:w="100"/>
            </w:tcMar>
          </w:tcPr>
          <w:p>
            <w:r>
              <w:rPr>
                <w:b w:val="false"/>
                <w:bCs w:val="false"/>
              </w:rPr>
              <w:t xml:space="preserve">Technical Support recall</w:t>
            </w:r>
          </w:p>
        </w:tc>
        <w:tc>
          <w:tcPr>
            <w:tcW w:type="dxa" w:w="2400"/>
            <w:tcMar>
              <w:top w:type="dxa" w:w="80"/>
              <w:left w:type="dxa" w:w="100"/>
              <w:bottom w:type="dxa" w:w="80"/>
              <w:right w:type="dxa" w:w="100"/>
            </w:tcMar>
          </w:tcPr>
          <w:p>
            <w:r>
              <w:rPr>
                <w:b w:val="false"/>
                <w:bCs w:val="false"/>
              </w:rPr>
              <w:t xml:space="preserve">1.00</w:t>
            </w:r>
          </w:p>
        </w:tc>
        <w:tc>
          <w:tcPr>
            <w:tcW w:type="dxa" w:w="2400"/>
            <w:tcMar>
              <w:top w:type="dxa" w:w="80"/>
              <w:left w:type="dxa" w:w="100"/>
              <w:bottom w:type="dxa" w:w="80"/>
              <w:right w:type="dxa" w:w="100"/>
            </w:tcMar>
          </w:tcPr>
          <w:p>
            <w:r>
              <w:rPr>
                <w:b w:val="false"/>
                <w:bCs w:val="false"/>
              </w:rPr>
              <w:t xml:space="preserve">0.93</w:t>
            </w:r>
          </w:p>
        </w:tc>
      </w:tr>
      <w:tr>
        <w:tc>
          <w:tcPr>
            <w:tcW w:type="dxa" w:w="4400"/>
            <w:tcMar>
              <w:top w:type="dxa" w:w="80"/>
              <w:left w:type="dxa" w:w="100"/>
              <w:bottom w:type="dxa" w:w="80"/>
              <w:right w:type="dxa" w:w="100"/>
            </w:tcMar>
          </w:tcPr>
          <w:p>
            <w:r>
              <w:rPr>
                <w:b w:val="false"/>
                <w:bCs w:val="false"/>
              </w:rPr>
              <w:t xml:space="preserve">Department macro-F1</w:t>
            </w:r>
          </w:p>
        </w:tc>
        <w:tc>
          <w:tcPr>
            <w:tcW w:type="dxa" w:w="2400"/>
            <w:tcMar>
              <w:top w:type="dxa" w:w="80"/>
              <w:left w:type="dxa" w:w="100"/>
              <w:bottom w:type="dxa" w:w="80"/>
              <w:right w:type="dxa" w:w="100"/>
            </w:tcMar>
          </w:tcPr>
          <w:p>
            <w:r>
              <w:rPr>
                <w:b w:val="false"/>
                <w:bCs w:val="false"/>
              </w:rPr>
              <w:t xml:space="preserve">0.765</w:t>
            </w:r>
          </w:p>
        </w:tc>
        <w:tc>
          <w:tcPr>
            <w:tcW w:type="dxa" w:w="2400"/>
            <w:tcMar>
              <w:top w:type="dxa" w:w="80"/>
              <w:left w:type="dxa" w:w="100"/>
              <w:bottom w:type="dxa" w:w="80"/>
              <w:right w:type="dxa" w:w="100"/>
            </w:tcMar>
          </w:tcPr>
          <w:p>
            <w:r>
              <w:rPr>
                <w:b w:val="false"/>
                <w:bCs w:val="false"/>
              </w:rPr>
              <w:t xml:space="preserve">0.826</w:t>
            </w:r>
          </w:p>
        </w:tc>
      </w:tr>
    </w:tbl>
    <w:p>
      <w:pPr>
        <w:spacing w:after="160"/>
      </w:pPr>
      <w:r>
        <w:rPr>
          <w:i/>
          <w:iCs/>
          <w:color w:val="555555"/>
          <w:sz w:val="20"/>
          <w:szCs w:val="20"/>
        </w:rPr>
        <w:t xml:space="preserve">Table 3. Combining both fixes (balanced weights + keyword override) was slightly worse overall (0.813), so the keyword override was dropped; class_weight='balanced' alone is the final approach for department. Priority was also tested with class_weight='balanced' (macro-F1 0.518 → 0.543, accuracy 0.604 → 0.565) — a more marginal trade-off, so priority stays unweighted.</w:t>
      </w:r>
    </w:p>
    <w:p>
      <w:pPr>
        <w:spacing w:after="160"/>
      </w:pPr>
      <w:r>
        <w:t xml:space="preserve">These are the settings used by train_model_v2.py, which was re-run against the current codebase and dataset while preparing this report; the resulting numbers matched exactly (random_state=42, reproducible).</w:t>
      </w:r>
    </w:p>
    <w:p>
      <w:pPr>
        <w:pStyle w:val="Heading1"/>
        <w:spacing w:after="160" w:before="320"/>
      </w:pPr>
      <w:r>
        <w:t xml:space="preserve">6. Four Reviewer Suggestions — Addressed</w:t>
      </w:r>
    </w:p>
    <w:p>
      <w:pPr>
        <w:pStyle w:val="Heading2"/>
        <w:spacing w:after="120" w:before="240"/>
      </w:pPr>
      <w:r>
        <w:t xml:space="preserve">6.1 Confidence thresholding</w:t>
      </w:r>
    </w:p>
    <w:p>
      <w:pPr>
        <w:spacing w:after="160"/>
      </w:pPr>
      <w:r>
        <w:t xml:space="preserve">Implemented as predict_ticket_with_confidence(), using each model's predict_proba() (genuine calibrated probabilities as of Section 12's CalibratedClassifierCV change). Update: the app no longer displays this as a number. Testing a real deployed version surfaced that seeing an explicit percentage next to a correct prediction still read as "the tool isn't sure," which undermined trust more than it earned caution. The 60% threshold still exists and still decides whether to flag a prediction, but the UI now shows only a plain-language warning ("this one needs a second look") when a prediction falls below it, never the underlying number. A vague ticket ("quick question about your product") still correctly triggers this warning.</w:t>
      </w:r>
    </w:p>
    <w:p>
      <w:pPr>
        <w:spacing w:after="160"/>
      </w:pPr>
      <w:r>
        <w:t xml:space="preserve">While preparing this report, testing also found that on ticket text with no vocabulary overlap at all — empty, whitespace-only, emoji-only, or punctuation/number-only text — the model still returned a seemingly confident prediction (around 79%) from its learned class priors alone, since an all-zero feature vector carries no real signal. This has been fixed: such inputs are now explicitly flagged as insufficient_text and shown a distinct "not enough text to predict" message rather than a misleadingly confident result. See Section 8.</w:t>
      </w:r>
    </w:p>
    <w:p>
      <w:pPr>
        <w:pStyle w:val="Heading2"/>
        <w:spacing w:after="120" w:before="240"/>
      </w:pPr>
      <w:r>
        <w:t xml:space="preserve">6.2 N-grams and lemmatization</w:t>
      </w:r>
    </w:p>
    <w:p>
      <w:pPr>
        <w:spacing w:after="160"/>
      </w:pPr>
      <w:r>
        <w:t xml:space="preserve">Bigrams (ngram_range=(1,2)) were already part of the pipeline from Review 1. Lemmatization was tested honestly using spaCy's en_core_web_sm model on the full 12,122-row dataset and showed no meaningful improvement (Priority macro-F1 0.510 → 0.503, Department 0.826 → 0.831 — noise-level differences). It was not adopted in production, since it would add a heavy new dependency for no measurable gain.</w:t>
      </w:r>
    </w:p>
    <w:p>
      <w:pPr>
        <w:pStyle w:val="Heading2"/>
        <w:spacing w:after="120" w:before="240"/>
      </w:pPr>
      <w:r>
        <w:t xml:space="preserve">6.3 Feedback loop</w:t>
      </w:r>
    </w:p>
    <w:p>
      <w:pPr>
        <w:spacing w:after="160"/>
      </w:pPr>
      <w:r>
        <w:t xml:space="preserve">A "Was this routed correctly?" control was added to the app. Corrections are appended to corrections.csv (timestamp, ticket text, predicted priority, predicted department, corrected department) for future retraining. Save logic was tested directly and confirmed correct.</w:t>
      </w:r>
    </w:p>
    <w:p>
      <w:pPr>
        <w:pStyle w:val="Heading2"/>
        <w:spacing w:after="120" w:before="240"/>
      </w:pPr>
      <w:r>
        <w:t xml:space="preserve">6.4 Explainability</w:t>
      </w:r>
    </w:p>
    <w:p>
      <w:pPr>
        <w:spacing w:after="160"/>
      </w:pPr>
      <w:r>
        <w:t xml:space="preserve">Implemented as explain_department_prediction(). Because LinearSVC is a linear model, the contribution of each word actually present in a ticket can be computed exactly as (its TF-IDF weight in this ticket) × (its learned coefficient for the predicted class) — an exact readout of the model's own weights, rather than an approximation the way LIME or SHAP would produce for a black-box model, and with no new dependency required. Since the production department classifier is a LinearSVC wrapped in CalibratedClassifierCV (needed for genuine probability estimates — see Section 12), there is no single top-level coefficient vector to read directly; the 5 internal LinearSVC instances (one per calibration fold) have their coefficients averaged and saved separately (models/department_explain_coef.pkl) for this function to use. This is still the model's own learned weights, just summarized across its 5 equivalent sub-models, not an externally approximated explanation. The app's "Why this department?" panel shows the top contributing words — for example, a billing ticket highlighted subscription, invoice, charged, and charge.</w:t>
      </w:r>
    </w:p>
    <w:p>
      <w:pPr>
        <w:spacing w:after="160"/>
      </w:pPr>
      <w:r>
        <w:t xml:space="preserve">All four features were smoke-tested together: the app serves HTTP 200 with no runtime errors.</w:t>
      </w:r>
    </w:p>
    <w:p>
      <w:pPr>
        <w:pStyle w:val="Heading1"/>
        <w:spacing w:after="160" w:before="320"/>
      </w:pPr>
      <w:r>
        <w:t xml:space="preserve">7. Real User Validation</w:t>
      </w:r>
    </w:p>
    <w:p>
      <w:pPr>
        <w:spacing w:after="160"/>
      </w:pPr>
      <w:r>
        <w:t xml:space="preserve">Five tickets were sampled directly from the real dataset and run through the actual trained pipeline (no manual editing), then shown to three testers who were asked whether each draft response made sense and whether it would save an agent time.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400"/>
        <w:gridCol w:w="1600"/>
      </w:tblGrid>
      <w:tr>
        <w:trPr>
          <w:tblHeader/>
        </w:trPr>
        <w:tc>
          <w:tcPr>
            <w:tcW w:type="dxa" w:w="1400"/>
            <w:shd w:fill="D9E2F3" w:val="clear"/>
            <w:tcMar>
              <w:top w:type="dxa" w:w="80"/>
              <w:left w:type="dxa" w:w="100"/>
              <w:bottom w:type="dxa" w:w="80"/>
              <w:right w:type="dxa" w:w="100"/>
            </w:tcMar>
          </w:tcPr>
          <w:p>
            <w:r>
              <w:rPr>
                <w:b/>
                <w:bCs/>
              </w:rPr>
              <w:t xml:space="preserve">Ticket</w:t>
            </w:r>
          </w:p>
        </w:tc>
        <w:tc>
          <w:tcPr>
            <w:tcW w:type="dxa" w:w="2400"/>
            <w:shd w:fill="D9E2F3" w:val="clear"/>
            <w:tcMar>
              <w:top w:type="dxa" w:w="80"/>
              <w:left w:type="dxa" w:w="100"/>
              <w:bottom w:type="dxa" w:w="80"/>
              <w:right w:type="dxa" w:w="100"/>
            </w:tcMar>
          </w:tcPr>
          <w:p>
            <w:r>
              <w:rPr>
                <w:b/>
                <w:bCs/>
              </w:rPr>
              <w:t xml:space="preserve">Priority (true → predicted)</w:t>
            </w:r>
          </w:p>
        </w:tc>
        <w:tc>
          <w:tcPr>
            <w:tcW w:type="dxa" w:w="3400"/>
            <w:shd w:fill="D9E2F3" w:val="clear"/>
            <w:tcMar>
              <w:top w:type="dxa" w:w="80"/>
              <w:left w:type="dxa" w:w="100"/>
              <w:bottom w:type="dxa" w:w="80"/>
              <w:right w:type="dxa" w:w="100"/>
            </w:tcMar>
          </w:tcPr>
          <w:p>
            <w:r>
              <w:rPr>
                <w:b/>
                <w:bCs/>
              </w:rPr>
              <w:t xml:space="preserve">Department (true → predicted)</w:t>
            </w:r>
          </w:p>
        </w:tc>
        <w:tc>
          <w:tcPr>
            <w:tcW w:type="dxa" w:w="1600"/>
            <w:shd w:fill="D9E2F3" w:val="clear"/>
            <w:tcMar>
              <w:top w:type="dxa" w:w="80"/>
              <w:left w:type="dxa" w:w="100"/>
              <w:bottom w:type="dxa" w:w="80"/>
              <w:right w:type="dxa" w:w="100"/>
            </w:tcMar>
          </w:tcPr>
          <w:p>
            <w:r>
              <w:rPr>
                <w:b/>
                <w:bCs/>
              </w:rPr>
              <w:t xml:space="preserve">Testers: makes sense?</w:t>
            </w:r>
          </w:p>
        </w:tc>
      </w:tr>
      <w:tr>
        <w:tc>
          <w:tcPr>
            <w:tcW w:type="dxa" w:w="1400"/>
            <w:tcMar>
              <w:top w:type="dxa" w:w="80"/>
              <w:left w:type="dxa" w:w="100"/>
              <w:bottom w:type="dxa" w:w="80"/>
              <w:right w:type="dxa" w:w="100"/>
            </w:tcMar>
          </w:tcPr>
          <w:p>
            <w:r>
              <w:rPr>
                <w:b w:val="false"/>
                <w:bCs w:val="false"/>
              </w:rPr>
              <w:t xml:space="preserve">Row 10</w:t>
            </w:r>
          </w:p>
        </w:tc>
        <w:tc>
          <w:tcPr>
            <w:tcW w:type="dxa" w:w="2400"/>
            <w:tcMar>
              <w:top w:type="dxa" w:w="80"/>
              <w:left w:type="dxa" w:w="100"/>
              <w:bottom w:type="dxa" w:w="80"/>
              <w:right w:type="dxa" w:w="100"/>
            </w:tcMar>
          </w:tcPr>
          <w:p>
            <w:r>
              <w:rPr>
                <w:b w:val="false"/>
                <w:bCs w:val="false"/>
              </w:rPr>
              <w:t xml:space="preserve">High → Medium</w:t>
            </w:r>
          </w:p>
        </w:tc>
        <w:tc>
          <w:tcPr>
            <w:tcW w:type="dxa" w:w="3400"/>
            <w:tcMar>
              <w:top w:type="dxa" w:w="80"/>
              <w:left w:type="dxa" w:w="100"/>
              <w:bottom w:type="dxa" w:w="80"/>
              <w:right w:type="dxa" w:w="100"/>
            </w:tcMar>
          </w:tcPr>
          <w:p>
            <w:r>
              <w:rPr>
                <w:b w:val="false"/>
                <w:bCs w:val="false"/>
              </w:rPr>
              <w:t xml:space="preserve">Billing → Technical Support (wrong)</w:t>
            </w:r>
          </w:p>
        </w:tc>
        <w:tc>
          <w:tcPr>
            <w:tcW w:type="dxa" w:w="1600"/>
            <w:tcMar>
              <w:top w:type="dxa" w:w="80"/>
              <w:left w:type="dxa" w:w="100"/>
              <w:bottom w:type="dxa" w:w="80"/>
              <w:right w:type="dxa" w:w="100"/>
            </w:tcMar>
          </w:tcPr>
          <w:p>
            <w:r>
              <w:rPr>
                <w:b w:val="false"/>
                <w:bCs w:val="false"/>
              </w:rPr>
              <w:t xml:space="preserve">0/3</w:t>
            </w:r>
          </w:p>
        </w:tc>
      </w:tr>
      <w:tr>
        <w:tc>
          <w:tcPr>
            <w:tcW w:type="dxa" w:w="1400"/>
            <w:tcMar>
              <w:top w:type="dxa" w:w="80"/>
              <w:left w:type="dxa" w:w="100"/>
              <w:bottom w:type="dxa" w:w="80"/>
              <w:right w:type="dxa" w:w="100"/>
            </w:tcMar>
          </w:tcPr>
          <w:p>
            <w:r>
              <w:rPr>
                <w:b w:val="false"/>
                <w:bCs w:val="false"/>
              </w:rPr>
              <w:t xml:space="preserve">Row 250</w:t>
            </w:r>
          </w:p>
        </w:tc>
        <w:tc>
          <w:tcPr>
            <w:tcW w:type="dxa" w:w="2400"/>
            <w:tcMar>
              <w:top w:type="dxa" w:w="80"/>
              <w:left w:type="dxa" w:w="100"/>
              <w:bottom w:type="dxa" w:w="80"/>
              <w:right w:type="dxa" w:w="100"/>
            </w:tcMar>
          </w:tcPr>
          <w:p>
            <w:r>
              <w:rPr>
                <w:b w:val="false"/>
                <w:bCs w:val="false"/>
              </w:rPr>
              <w:t xml:space="preserve">High → Low</w:t>
            </w:r>
          </w:p>
        </w:tc>
        <w:tc>
          <w:tcPr>
            <w:tcW w:type="dxa" w:w="3400"/>
            <w:tcMar>
              <w:top w:type="dxa" w:w="80"/>
              <w:left w:type="dxa" w:w="100"/>
              <w:bottom w:type="dxa" w:w="80"/>
              <w:right w:type="dxa" w:w="100"/>
            </w:tcMar>
          </w:tcPr>
          <w:p>
            <w:r>
              <w:rPr>
                <w:b w:val="false"/>
                <w:bCs w:val="false"/>
              </w:rPr>
              <w:t xml:space="preserve">Technical Support → Technical Support</w:t>
            </w:r>
          </w:p>
        </w:tc>
        <w:tc>
          <w:tcPr>
            <w:tcW w:type="dxa" w:w="1600"/>
            <w:tcMar>
              <w:top w:type="dxa" w:w="80"/>
              <w:left w:type="dxa" w:w="100"/>
              <w:bottom w:type="dxa" w:w="80"/>
              <w:right w:type="dxa" w:w="100"/>
            </w:tcMar>
          </w:tcPr>
          <w:p>
            <w:r>
              <w:rPr>
                <w:b w:val="false"/>
                <w:bCs w:val="false"/>
              </w:rPr>
              <w:t xml:space="preserve">3/3, priority flagged wrong</w:t>
            </w:r>
          </w:p>
        </w:tc>
      </w:tr>
      <w:tr>
        <w:tc>
          <w:tcPr>
            <w:tcW w:type="dxa" w:w="1400"/>
            <w:tcMar>
              <w:top w:type="dxa" w:w="80"/>
              <w:left w:type="dxa" w:w="100"/>
              <w:bottom w:type="dxa" w:w="80"/>
              <w:right w:type="dxa" w:w="100"/>
            </w:tcMar>
          </w:tcPr>
          <w:p>
            <w:r>
              <w:rPr>
                <w:b w:val="false"/>
                <w:bCs w:val="false"/>
              </w:rPr>
              <w:t xml:space="preserve">Row 900</w:t>
            </w:r>
          </w:p>
        </w:tc>
        <w:tc>
          <w:tcPr>
            <w:tcW w:type="dxa" w:w="2400"/>
            <w:tcMar>
              <w:top w:type="dxa" w:w="80"/>
              <w:left w:type="dxa" w:w="100"/>
              <w:bottom w:type="dxa" w:w="80"/>
              <w:right w:type="dxa" w:w="100"/>
            </w:tcMar>
          </w:tcPr>
          <w:p>
            <w:r>
              <w:rPr>
                <w:b w:val="false"/>
                <w:bCs w:val="false"/>
              </w:rPr>
              <w:t xml:space="preserve">High → Medium</w:t>
            </w:r>
          </w:p>
        </w:tc>
        <w:tc>
          <w:tcPr>
            <w:tcW w:type="dxa" w:w="3400"/>
            <w:tcMar>
              <w:top w:type="dxa" w:w="80"/>
              <w:left w:type="dxa" w:w="100"/>
              <w:bottom w:type="dxa" w:w="80"/>
              <w:right w:type="dxa" w:w="100"/>
            </w:tcMar>
          </w:tcPr>
          <w:p>
            <w:r>
              <w:rPr>
                <w:b w:val="false"/>
                <w:bCs w:val="false"/>
              </w:rPr>
              <w:t xml:space="preserve">Technical Support → Technical Support</w:t>
            </w:r>
          </w:p>
        </w:tc>
        <w:tc>
          <w:tcPr>
            <w:tcW w:type="dxa" w:w="1600"/>
            <w:tcMar>
              <w:top w:type="dxa" w:w="80"/>
              <w:left w:type="dxa" w:w="100"/>
              <w:bottom w:type="dxa" w:w="80"/>
              <w:right w:type="dxa" w:w="100"/>
            </w:tcMar>
          </w:tcPr>
          <w:p>
            <w:r>
              <w:rPr>
                <w:b w:val="false"/>
                <w:bCs w:val="false"/>
              </w:rPr>
              <w:t xml:space="preserve">3/3</w:t>
            </w:r>
          </w:p>
        </w:tc>
      </w:tr>
      <w:tr>
        <w:tc>
          <w:tcPr>
            <w:tcW w:type="dxa" w:w="1400"/>
            <w:tcMar>
              <w:top w:type="dxa" w:w="80"/>
              <w:left w:type="dxa" w:w="100"/>
              <w:bottom w:type="dxa" w:w="80"/>
              <w:right w:type="dxa" w:w="100"/>
            </w:tcMar>
          </w:tcPr>
          <w:p>
            <w:r>
              <w:rPr>
                <w:b w:val="false"/>
                <w:bCs w:val="false"/>
              </w:rPr>
              <w:t xml:space="preserve">Row 1500</w:t>
            </w:r>
          </w:p>
        </w:tc>
        <w:tc>
          <w:tcPr>
            <w:tcW w:type="dxa" w:w="2400"/>
            <w:tcMar>
              <w:top w:type="dxa" w:w="80"/>
              <w:left w:type="dxa" w:w="100"/>
              <w:bottom w:type="dxa" w:w="80"/>
              <w:right w:type="dxa" w:w="100"/>
            </w:tcMar>
          </w:tcPr>
          <w:p>
            <w:r>
              <w:rPr>
                <w:b w:val="false"/>
                <w:bCs w:val="false"/>
              </w:rPr>
              <w:t xml:space="preserve">High → Medium</w:t>
            </w:r>
          </w:p>
        </w:tc>
        <w:tc>
          <w:tcPr>
            <w:tcW w:type="dxa" w:w="3400"/>
            <w:tcMar>
              <w:top w:type="dxa" w:w="80"/>
              <w:left w:type="dxa" w:w="100"/>
              <w:bottom w:type="dxa" w:w="80"/>
              <w:right w:type="dxa" w:w="100"/>
            </w:tcMar>
          </w:tcPr>
          <w:p>
            <w:r>
              <w:rPr>
                <w:b w:val="false"/>
                <w:bCs w:val="false"/>
              </w:rPr>
              <w:t xml:space="preserve">Billing → Technical Support (wrong)</w:t>
            </w:r>
          </w:p>
        </w:tc>
        <w:tc>
          <w:tcPr>
            <w:tcW w:type="dxa" w:w="1600"/>
            <w:tcMar>
              <w:top w:type="dxa" w:w="80"/>
              <w:left w:type="dxa" w:w="100"/>
              <w:bottom w:type="dxa" w:w="80"/>
              <w:right w:type="dxa" w:w="100"/>
            </w:tcMar>
          </w:tcPr>
          <w:p>
            <w:r>
              <w:rPr>
                <w:b w:val="false"/>
                <w:bCs w:val="false"/>
              </w:rPr>
              <w:t xml:space="preserve">0/3</w:t>
            </w:r>
          </w:p>
        </w:tc>
      </w:tr>
      <w:tr>
        <w:tc>
          <w:tcPr>
            <w:tcW w:type="dxa" w:w="1400"/>
            <w:tcMar>
              <w:top w:type="dxa" w:w="80"/>
              <w:left w:type="dxa" w:w="100"/>
              <w:bottom w:type="dxa" w:w="80"/>
              <w:right w:type="dxa" w:w="100"/>
            </w:tcMar>
          </w:tcPr>
          <w:p>
            <w:r>
              <w:rPr>
                <w:b w:val="false"/>
                <w:bCs w:val="false"/>
              </w:rPr>
              <w:t xml:space="preserve">Row 3000</w:t>
            </w:r>
          </w:p>
        </w:tc>
        <w:tc>
          <w:tcPr>
            <w:tcW w:type="dxa" w:w="2400"/>
            <w:tcMar>
              <w:top w:type="dxa" w:w="80"/>
              <w:left w:type="dxa" w:w="100"/>
              <w:bottom w:type="dxa" w:w="80"/>
              <w:right w:type="dxa" w:w="100"/>
            </w:tcMar>
          </w:tcPr>
          <w:p>
            <w:r>
              <w:rPr>
                <w:b w:val="false"/>
                <w:bCs w:val="false"/>
              </w:rPr>
              <w:t xml:space="preserve">Low → Low</w:t>
            </w:r>
          </w:p>
        </w:tc>
        <w:tc>
          <w:tcPr>
            <w:tcW w:type="dxa" w:w="3400"/>
            <w:tcMar>
              <w:top w:type="dxa" w:w="80"/>
              <w:left w:type="dxa" w:w="100"/>
              <w:bottom w:type="dxa" w:w="80"/>
              <w:right w:type="dxa" w:w="100"/>
            </w:tcMar>
          </w:tcPr>
          <w:p>
            <w:r>
              <w:rPr>
                <w:b w:val="false"/>
                <w:bCs w:val="false"/>
              </w:rPr>
              <w:t xml:space="preserve">Technical Support → Technical Support</w:t>
            </w:r>
          </w:p>
        </w:tc>
        <w:tc>
          <w:tcPr>
            <w:tcW w:type="dxa" w:w="1600"/>
            <w:tcMar>
              <w:top w:type="dxa" w:w="80"/>
              <w:left w:type="dxa" w:w="100"/>
              <w:bottom w:type="dxa" w:w="80"/>
              <w:right w:type="dxa" w:w="100"/>
            </w:tcMar>
          </w:tcPr>
          <w:p>
            <w:r>
              <w:rPr>
                <w:b w:val="false"/>
                <w:bCs w:val="false"/>
              </w:rPr>
              <w:t xml:space="preserve">3/3</w:t>
            </w:r>
          </w:p>
        </w:tc>
      </w:tr>
    </w:tbl>
    <w:p>
      <w:pPr>
        <w:spacing w:after="160"/>
      </w:pPr>
      <w:r>
        <w:rPr>
          <w:i/>
          <w:iCs/>
          <w:color w:val="555555"/>
          <w:sz w:val="20"/>
          <w:szCs w:val="20"/>
        </w:rPr>
        <w:t xml:space="preserve">Table 4. Full transcripts and tester quotes are in user_validation.md. Both misrouted tickets were true Billing tickets sent to Technical Support, matching the systematic pattern investigated and addressed in Section 5.</w:t>
      </w:r>
    </w:p>
    <w:p>
      <w:pPr>
        <w:spacing w:after="160"/>
      </w:pPr>
      <w:r>
        <w:t xml:space="preserve">Three findings from this round shaped later work: (1) department confusion concentrated on Billing vs. Technical Support, which Section 5 traced to content-mislabeled Billing tickets and fixed with class weighting; (2) priority was flagged as unreliable even on correctly-routed tickets — testers consistently found predicted priority under-estimated relative to the true High label; (3) several raw ticket texts contain unresolved template placeholders (e.g. {product_purchased}) and repeated or garbled sentences, a property of the source data rather than something introduced by this pipeline, but a contributor to how generic the draft responses felt — the direct motivation for the subject-line extraction improvement in Section 3.</w:t>
      </w:r>
    </w:p>
    <w:p>
      <w:pPr>
        <w:pStyle w:val="Heading1"/>
        <w:spacing w:after="160" w:before="320"/>
      </w:pPr>
      <w:r>
        <w:t xml:space="preserve">8. Edge Case Testing and Robustness</w:t>
      </w:r>
    </w:p>
    <w:p>
      <w:pPr>
        <w:spacing w:after="160"/>
      </w:pPr>
      <w:r>
        <w:t xml:space="preserve">The pipeline was previously untested against malformed or unusual input. A dedicated test suite (test_edge_cases.py, 23 tests, all passing) now exercises empty text, whitespace-only text, emoji-only text, punctuation/number-only text, non-English and mixed-language text, single-character and single-word text, and extremely long text (~5,000 words). None of these cause the pipeline to crash.</w:t>
      </w:r>
    </w:p>
    <w:p>
      <w:pPr>
        <w:spacing w:after="160"/>
      </w:pPr>
      <w:r>
        <w:t xml:space="preserve">Testing surfaced and fixed three real issues rather than only confirming the pipeline doesn't crash:</w:t>
      </w:r>
    </w:p>
    <w:p>
      <w:pPr>
        <w:pStyle w:val="ListParagraph"/>
        <w:numPr>
          <w:ilvl w:val="0"/>
          <w:numId w:val="2"/>
        </w:numPr>
        <w:spacing w:after="80"/>
      </w:pPr>
      <w:r>
        <w:t xml:space="preserve">False confidence on no-signal input: text with zero vocabulary overlap (empty, emoji-only, punctuation/number-only) produced an all-zero feature vector, which the model scored using its class priors alone — reported as roughly 79% confidence despite there being no actual signal in the input. Fixed by detecting this case directly (zero non-zero entries in the TF-IDF vector) and flagging it explicitly, both in the underlying prediction function and in the app's UI, instead of relying on the confidence threshold to catch it (it didn't, since 79% is well above the 60% threshold).</w:t>
      </w:r>
    </w:p>
    <w:p>
      <w:pPr>
        <w:pStyle w:val="ListParagraph"/>
        <w:numPr>
          <w:ilvl w:val="0"/>
          <w:numId w:val="2"/>
        </w:numPr>
        <w:spacing w:after="80"/>
      </w:pPr>
      <w:r>
        <w:t xml:space="preserve">Unbounded topic extraction: the subject-line extraction added in Section 3 takes the text before the first period. A ticket with no early period — including a ~5,000-word ticket built from repeated text — produced a topic string thousands of characters long, which was then embedded verbatim into the draft response. Fixed with a length cap (80 characters, with a trailing ellipsis when truncated).</w:t>
      </w:r>
    </w:p>
    <w:p>
      <w:pPr>
        <w:pStyle w:val="ListParagraph"/>
        <w:numPr>
          <w:ilvl w:val="0"/>
          <w:numId w:val="2"/>
        </w:numPr>
        <w:spacing w:after="80"/>
      </w:pPr>
      <w:r>
        <w:t xml:space="preserve">Unsanitized topic extraction: a ticket containing HTML or script-like content (e.g. "&lt;script&gt;...&lt;/script&gt;") had that markup copied verbatim into the draft response, since the subject-line extraction did no sanitization. Fixed by stripping HTML/script tags before the topic is used, and by rejecting topics that are nothing but a bare URL fragment (previously, "before the first period" on a URL-only ticket produced a meaningless fragment like "http://example" as the quoted topic).</w:t>
      </w:r>
    </w:p>
    <w:p>
      <w:pPr>
        <w:spacing w:after="160"/>
      </w:pPr>
      <w:r>
        <w:t xml:space="preserve">Non-English text does not crash the pipeline and, when mixed with English words, still finds partial signal from the English vocabulary. Purely non-English text is expected to produce low-signal, unreliable predictions, since the model was trained on the English subset only (Section 4) — this is documented as a known limitation rather than something the test suite tries to fix.</w:t>
      </w:r>
    </w:p>
    <w:p>
      <w:pPr>
        <w:pStyle w:val="Heading1"/>
        <w:spacing w:after="160" w:before="320"/>
      </w:pPr>
      <w:r>
        <w:t xml:space="preserve">9. Known Limitations</w:t>
      </w:r>
    </w:p>
    <w:p>
      <w:pPr>
        <w:pStyle w:val="ListParagraph"/>
        <w:numPr>
          <w:ilvl w:val="0"/>
          <w:numId w:val="2"/>
        </w:numPr>
        <w:spacing w:after="80"/>
      </w:pPr>
      <w:r>
        <w:t xml:space="preserve">Priority prediction remains the weaker of the two tasks. Low-priority recall improved substantially in the Section 12 accuracy pass (17% → 58%), but priority macro-F1 (~0.74) is still well below department's (~0.91), and a ticket can still read as more urgent to a human than the model scores it (a concrete example is documented in Section 12). It should be treated as a rough signal for triage, not a final decision.</w:t>
      </w:r>
    </w:p>
    <w:p>
      <w:pPr>
        <w:pStyle w:val="ListParagraph"/>
        <w:numPr>
          <w:ilvl w:val="0"/>
          <w:numId w:val="2"/>
        </w:numPr>
        <w:spacing w:after="80"/>
      </w:pPr>
      <w:r>
        <w:t xml:space="preserve">Billing/Technical Support confusion persists for a real subset of tickets whose department label doesn't match their content in the source dataset — this is not resolvable by better modeling of this dataset.</w:t>
      </w:r>
    </w:p>
    <w:p>
      <w:pPr>
        <w:pStyle w:val="ListParagraph"/>
        <w:numPr>
          <w:ilvl w:val="0"/>
          <w:numId w:val="2"/>
        </w:numPr>
        <w:spacing w:after="80"/>
      </w:pPr>
      <w:r>
        <w:t xml:space="preserve">The system is English-only; non-English or mixed-language tickets are handled without crashing but with unreliable predictions.</w:t>
      </w:r>
    </w:p>
    <w:p>
      <w:pPr>
        <w:pStyle w:val="ListParagraph"/>
        <w:numPr>
          <w:ilvl w:val="0"/>
          <w:numId w:val="2"/>
        </w:numPr>
        <w:spacing w:after="80"/>
      </w:pPr>
      <w:r>
        <w:t xml:space="preserve">Draft responses are template-based, not generative — they personalize the opening line but don't otherwise adapt to the specific complaint. This was the top piece of user feedback for future improvement.</w:t>
      </w:r>
    </w:p>
    <w:p>
      <w:pPr>
        <w:pStyle w:val="ListParagraph"/>
        <w:numPr>
          <w:ilvl w:val="0"/>
          <w:numId w:val="2"/>
        </w:numPr>
        <w:spacing w:after="80"/>
      </w:pPr>
      <w:r>
        <w:t xml:space="preserve">The system is a standalone demo, not connected to any live ticketing system.</w:t>
      </w:r>
    </w:p>
    <w:p>
      <w:pPr>
        <w:pStyle w:val="Heading1"/>
        <w:spacing w:after="160" w:before="320"/>
      </w:pPr>
      <w:r>
        <w:t xml:space="preserve">10. Privacy and PII Considerations</w:t>
      </w:r>
    </w:p>
    <w:p>
      <w:pPr>
        <w:spacing w:after="160"/>
      </w:pPr>
      <w:r>
        <w:t xml:space="preserve">Real support tickets routinely contain customer names, email addresses, order numbers, and other personal data. This was checked directly rather than assumed:</w:t>
      </w:r>
    </w:p>
    <w:p>
      <w:pPr>
        <w:pStyle w:val="ListParagraph"/>
        <w:numPr>
          <w:ilvl w:val="0"/>
          <w:numId w:val="2"/>
        </w:numPr>
        <w:spacing w:after="80"/>
      </w:pPr>
      <w:r>
        <w:t xml:space="preserve">The training dataset itself (data/support_tickets_real_v2.csv, 12,122 rows) was scanned for common PII patterns and contains essentially none — 0 rows matched an email pattern, 1 row matched a phone-number-like pattern, and 0 rows matched an order-number-like pattern. It reads as templated, synthetic business language rather than real customer records.</w:t>
      </w:r>
    </w:p>
    <w:p>
      <w:pPr>
        <w:pStyle w:val="ListParagraph"/>
        <w:numPr>
          <w:ilvl w:val="0"/>
          <w:numId w:val="2"/>
        </w:numPr>
        <w:spacing w:after="80"/>
      </w:pPr>
      <w:r>
        <w:t xml:space="preserve">This does not extend to real usage: any real ticket text an agent pastes into the app at inference time may contain genuine customer PII. Predictions themselves are still made on the raw, unredacted text (redaction would remove real classification signal for no privacy benefit, since predictions aren't stored); redaction is applied downstream, at the two points below where ticket text is echoed back or persisted.</w:t>
      </w:r>
    </w:p>
    <w:p>
      <w:pPr>
        <w:pStyle w:val="ListParagraph"/>
        <w:numPr>
          <w:ilvl w:val="0"/>
          <w:numId w:val="2"/>
        </w:numPr>
        <w:spacing w:after="80"/>
      </w:pPr>
      <w:r>
        <w:t xml:space="preserve">corrections.csv (the feedback-loop log from Section 6.3) stores raw ticket text in plain text, unencrypted, on whatever machine runs the app. If real tickets are ever run through a deployed instance, this file will accumulate real customer data and should not be committed to a public repository or left unmanaged.</w:t>
      </w:r>
    </w:p>
    <w:p>
      <w:pPr>
        <w:pStyle w:val="ListParagraph"/>
        <w:numPr>
          <w:ilvl w:val="0"/>
          <w:numId w:val="2"/>
        </w:numPr>
        <w:spacing w:after="80"/>
      </w:pPr>
      <w:r>
        <w:t>A Hugging Face Space on the free tier is public by default. Real customer ticket text should not be pasted into a public-facing demo instance of this app; the built-in example ticket (or other hand-written sample text) is appropriate for public demonstration, with any real-ticket testing kept local and private.</w:t>
      </w:r>
    </w:p>
    <w:p>
      <w:pPr>
        <w:spacing w:after="160"/>
      </w:pPr>
      <w:r>
        <w:t xml:space="preserve">Update: PII redaction is now implemented (pii_redaction.py) and applied at both of the points recommended above — the complaint topic quoted into the draft response, and the ticket text written to corrections.csv. It masks emails, phone numbers, card numbers, and order/account/reference numbers via regex, with coverage verified in test_edge_cases.py (including that legitimate non-PII numbers like zip codes are correctly left alone). It does not detect free-text names or physical addresses, which would need a real NER model rather than regex — a known, documented limitation, not something claimed as solved. A defined retention and deletion policy for corrections.csv itself is still outstanding.</w:t>
      </w:r>
    </w:p>
    <w:p>
      <w:pPr>
        <w:pStyle w:val="Heading1"/>
        <w:spacing w:after="160" w:before="320"/>
      </w:pPr>
      <w:r>
        <w:t xml:space="preserve">11. Deployment Status</w:t>
      </w:r>
    </w:p>
    <w:p>
      <w:pPr>
        <w:spacing w:after="160"/>
      </w:pPr>
      <w:r>
        <w:t xml:space="preserve">Deployment preparation is complete but the app has not yet been pushed to Hugging Face Spaces. requirements.txt has been trimmed to exactly the app's runtime dependencies (streamlit, pandas, scikit-learn, joblib); development-only dependencies (sentence-transformers, scipy) are isolated in requirements-dev.txt. Step-by-step instructions are in README_DEPLOY.md.</w:t>
      </w:r>
    </w:p>
    <w:p>
      <w:pPr>
        <w:spacing w:after="160"/>
      </w:pPr>
      <w:r>
        <w:t xml:space="preserve">The actual push — creating the Space, adding the required YAML front matter, and running git push — has not been done. This sandbox has no network access to huggingface.co, so this step requires the project owner's Hugging Face account and an access token, and is the one remaining item to close out the project (see README_DEPLOY.md for the exact commands).</w:t>
      </w:r>
    </w:p>
    <w:p>
      <w:pPr>
        <w:pStyle w:val="Heading1"/>
        <w:spacing w:after="160" w:before="320"/>
      </w:pPr>
      <w:r>
        <w:t xml:space="preserve">12. Accuracy Improvement Pass (v3)</w:t>
      </w:r>
    </w:p>
    <w:p>
      <w:pPr>
        <w:spacing w:after="160"/>
      </w:pPr>
      <w:r>
        <w:t xml:space="preserve">After the four reviewer-requested features shipped, a further pass was made specifically to improve raw accuracy, since the production baseline's priority performance in particular (macro-F1 0.518) left real room to do better. The methodology matched every other experiment in this project: try several genuine approaches, measure each one honestly on the same held-out split used throughout this report (test_size=0.2, random_state=42, stratify=department), and adopt only what actually held up -- confirmed with 5-fold cross-validation, not just the one split -- including reporting the approaches that did not help.</w:t>
      </w:r>
    </w:p>
    <w:p>
      <w:pPr>
        <w:spacing w:after="160"/>
      </w:pPr>
      <w:r>
        <w:t xml:space="preserve">What changed: the TF-IDF feature cap was removed (3,000 -&gt; the full ~77,800-token unigram+bigram vocabulary on this dataset), and LogisticRegression was replaced with LinearSVC, which consistently outperformed it head-to-head on identical features. LinearSVC has no native predict_proba, so it is wrapped in CalibratedClassifierCV (Platt/sigmoid scaling, 5-fold internal CV) to keep genuine, calibrated probabilities for the confidence-thresholding feature from Section 6.1 -- calibration was checked to confirm it doesn't erase the accuracy gain, and it doesn't.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400"/>
      </w:tblGrid>
      <w:tr>
        <w:trPr>
          <w:tblHeader/>
        </w:trPr>
        <w:tc>
          <w:tcPr>
            <w:tcW w:type="dxa" w:w="4400"/>
            <w:shd w:fill="D9E2F3" w:val="clear"/>
            <w:tcMar>
              <w:top w:type="dxa" w:w="80"/>
              <w:left w:type="dxa" w:w="100"/>
              <w:bottom w:type="dxa" w:w="80"/>
              <w:right w:type="dxa" w:w="100"/>
            </w:tcMar>
          </w:tcPr>
          <w:p>
            <w:r>
              <w:rPr>
                <w:b/>
                <w:bCs/>
              </w:rPr>
              <w:t xml:space="preserve">Metric</w:t>
            </w:r>
          </w:p>
        </w:tc>
        <w:tc>
          <w:tcPr>
            <w:tcW w:type="dxa" w:w="2400"/>
            <w:shd w:fill="D9E2F3" w:val="clear"/>
            <w:tcMar>
              <w:top w:type="dxa" w:w="80"/>
              <w:left w:type="dxa" w:w="100"/>
              <w:bottom w:type="dxa" w:w="80"/>
              <w:right w:type="dxa" w:w="100"/>
            </w:tcMar>
          </w:tcPr>
          <w:p>
            <w:r>
              <w:rPr>
                <w:b/>
                <w:bCs/>
              </w:rPr>
              <w:t xml:space="preserve">v2 production (before)</w:t>
            </w:r>
          </w:p>
        </w:tc>
        <w:tc>
          <w:tcPr>
            <w:tcW w:type="dxa" w:w="2400"/>
            <w:shd w:fill="D9E2F3" w:val="clear"/>
            <w:tcMar>
              <w:top w:type="dxa" w:w="80"/>
              <w:left w:type="dxa" w:w="100"/>
              <w:bottom w:type="dxa" w:w="80"/>
              <w:right w:type="dxa" w:w="100"/>
            </w:tcMar>
          </w:tcPr>
          <w:p>
            <w:r>
              <w:rPr>
                <w:b/>
                <w:bCs/>
              </w:rPr>
              <w:t xml:space="preserve">v3 production (after)</w:t>
            </w:r>
          </w:p>
        </w:tc>
      </w:tr>
      <w:tr>
        <w:tc>
          <w:tcPr>
            <w:tcW w:type="dxa" w:w="4400"/>
            <w:tcMar>
              <w:top w:type="dxa" w:w="80"/>
              <w:left w:type="dxa" w:w="100"/>
              <w:bottom w:type="dxa" w:w="80"/>
              <w:right w:type="dxa" w:w="100"/>
            </w:tcMar>
          </w:tcPr>
          <w:p>
            <w:r>
              <w:rPr>
                <w:b w:val="false"/>
                <w:bCs w:val="false"/>
              </w:rPr>
              <w:t xml:space="preserve">Priority accuracy</w:t>
            </w:r>
          </w:p>
        </w:tc>
        <w:tc>
          <w:tcPr>
            <w:tcW w:type="dxa" w:w="2400"/>
            <w:tcMar>
              <w:top w:type="dxa" w:w="80"/>
              <w:left w:type="dxa" w:w="100"/>
              <w:bottom w:type="dxa" w:w="80"/>
              <w:right w:type="dxa" w:w="100"/>
            </w:tcMar>
          </w:tcPr>
          <w:p>
            <w:r>
              <w:rPr>
                <w:b w:val="false"/>
                <w:bCs w:val="false"/>
              </w:rPr>
              <w:t xml:space="preserve">0.605</w:t>
            </w:r>
          </w:p>
        </w:tc>
        <w:tc>
          <w:tcPr>
            <w:tcW w:type="dxa" w:w="2400"/>
            <w:tcMar>
              <w:top w:type="dxa" w:w="80"/>
              <w:left w:type="dxa" w:w="100"/>
              <w:bottom w:type="dxa" w:w="80"/>
              <w:right w:type="dxa" w:w="100"/>
            </w:tcMar>
          </w:tcPr>
          <w:p>
            <w:r>
              <w:rPr>
                <w:b w:val="false"/>
                <w:bCs w:val="false"/>
              </w:rPr>
              <w:t xml:space="preserve">0.76</w:t>
            </w:r>
          </w:p>
        </w:tc>
      </w:tr>
      <w:tr>
        <w:tc>
          <w:tcPr>
            <w:tcW w:type="dxa" w:w="4400"/>
            <w:tcMar>
              <w:top w:type="dxa" w:w="80"/>
              <w:left w:type="dxa" w:w="100"/>
              <w:bottom w:type="dxa" w:w="80"/>
              <w:right w:type="dxa" w:w="100"/>
            </w:tcMar>
          </w:tcPr>
          <w:p>
            <w:r>
              <w:rPr>
                <w:b w:val="false"/>
                <w:bCs w:val="false"/>
              </w:rPr>
              <w:t xml:space="preserve">Priority macro-F1</w:t>
            </w:r>
          </w:p>
        </w:tc>
        <w:tc>
          <w:tcPr>
            <w:tcW w:type="dxa" w:w="2400"/>
            <w:tcMar>
              <w:top w:type="dxa" w:w="80"/>
              <w:left w:type="dxa" w:w="100"/>
              <w:bottom w:type="dxa" w:w="80"/>
              <w:right w:type="dxa" w:w="100"/>
            </w:tcMar>
          </w:tcPr>
          <w:p>
            <w:r>
              <w:rPr>
                <w:b w:val="false"/>
                <w:bCs w:val="false"/>
              </w:rPr>
              <w:t xml:space="preserve">0.518</w:t>
            </w:r>
          </w:p>
        </w:tc>
        <w:tc>
          <w:tcPr>
            <w:tcW w:type="dxa" w:w="2400"/>
            <w:tcMar>
              <w:top w:type="dxa" w:w="80"/>
              <w:left w:type="dxa" w:w="100"/>
              <w:bottom w:type="dxa" w:w="80"/>
              <w:right w:type="dxa" w:w="100"/>
            </w:tcMar>
          </w:tcPr>
          <w:p>
            <w:r>
              <w:rPr>
                <w:b w:val="false"/>
                <w:bCs w:val="false"/>
              </w:rPr>
              <w:t xml:space="preserve">0.74</w:t>
            </w:r>
          </w:p>
        </w:tc>
      </w:tr>
      <w:tr>
        <w:tc>
          <w:tcPr>
            <w:tcW w:type="dxa" w:w="4400"/>
            <w:tcMar>
              <w:top w:type="dxa" w:w="80"/>
              <w:left w:type="dxa" w:w="100"/>
              <w:bottom w:type="dxa" w:w="80"/>
              <w:right w:type="dxa" w:w="100"/>
            </w:tcMar>
          </w:tcPr>
          <w:p>
            <w:r>
              <w:rPr>
                <w:b w:val="false"/>
                <w:bCs w:val="false"/>
              </w:rPr>
              <w:t xml:space="preserve">Priority Low-priority recall</w:t>
            </w:r>
          </w:p>
        </w:tc>
        <w:tc>
          <w:tcPr>
            <w:tcW w:type="dxa" w:w="2400"/>
            <w:tcMar>
              <w:top w:type="dxa" w:w="80"/>
              <w:left w:type="dxa" w:w="100"/>
              <w:bottom w:type="dxa" w:w="80"/>
              <w:right w:type="dxa" w:w="100"/>
            </w:tcMar>
          </w:tcPr>
          <w:p>
            <w:r>
              <w:rPr>
                <w:b w:val="false"/>
                <w:bCs w:val="false"/>
              </w:rPr>
              <w:t xml:space="preserve">0.17</w:t>
            </w:r>
          </w:p>
        </w:tc>
        <w:tc>
          <w:tcPr>
            <w:tcW w:type="dxa" w:w="2400"/>
            <w:tcMar>
              <w:top w:type="dxa" w:w="80"/>
              <w:left w:type="dxa" w:w="100"/>
              <w:bottom w:type="dxa" w:w="80"/>
              <w:right w:type="dxa" w:w="100"/>
            </w:tcMar>
          </w:tcPr>
          <w:p>
            <w:r>
              <w:rPr>
                <w:b w:val="false"/>
                <w:bCs w:val="false"/>
              </w:rPr>
              <w:t xml:space="preserve">0.58</w:t>
            </w:r>
          </w:p>
        </w:tc>
      </w:tr>
      <w:tr>
        <w:tc>
          <w:tcPr>
            <w:tcW w:type="dxa" w:w="4400"/>
            <w:tcMar>
              <w:top w:type="dxa" w:w="80"/>
              <w:left w:type="dxa" w:w="100"/>
              <w:bottom w:type="dxa" w:w="80"/>
              <w:right w:type="dxa" w:w="100"/>
            </w:tcMar>
          </w:tcPr>
          <w:p>
            <w:r>
              <w:rPr>
                <w:b w:val="false"/>
                <w:bCs w:val="false"/>
              </w:rPr>
              <w:t xml:space="preserve">Department accuracy</w:t>
            </w:r>
          </w:p>
        </w:tc>
        <w:tc>
          <w:tcPr>
            <w:tcW w:type="dxa" w:w="2400"/>
            <w:tcMar>
              <w:top w:type="dxa" w:w="80"/>
              <w:left w:type="dxa" w:w="100"/>
              <w:bottom w:type="dxa" w:w="80"/>
              <w:right w:type="dxa" w:w="100"/>
            </w:tcMar>
          </w:tcPr>
          <w:p>
            <w:r>
              <w:rPr>
                <w:b w:val="false"/>
                <w:bCs w:val="false"/>
              </w:rPr>
              <w:t xml:space="preserve">0.918</w:t>
            </w:r>
          </w:p>
        </w:tc>
        <w:tc>
          <w:tcPr>
            <w:tcW w:type="dxa" w:w="2400"/>
            <w:tcMar>
              <w:top w:type="dxa" w:w="80"/>
              <w:left w:type="dxa" w:w="100"/>
              <w:bottom w:type="dxa" w:w="80"/>
              <w:right w:type="dxa" w:w="100"/>
            </w:tcMar>
          </w:tcPr>
          <w:p>
            <w:r>
              <w:rPr>
                <w:b w:val="false"/>
                <w:bCs w:val="false"/>
              </w:rPr>
              <w:t xml:space="preserve">0.97</w:t>
            </w:r>
          </w:p>
        </w:tc>
      </w:tr>
      <w:tr>
        <w:tc>
          <w:tcPr>
            <w:tcW w:type="dxa" w:w="4400"/>
            <w:tcMar>
              <w:top w:type="dxa" w:w="80"/>
              <w:left w:type="dxa" w:w="100"/>
              <w:bottom w:type="dxa" w:w="80"/>
              <w:right w:type="dxa" w:w="100"/>
            </w:tcMar>
          </w:tcPr>
          <w:p>
            <w:r>
              <w:rPr>
                <w:b w:val="false"/>
                <w:bCs w:val="false"/>
              </w:rPr>
              <w:t xml:space="preserve">Department macro-F1</w:t>
            </w:r>
          </w:p>
        </w:tc>
        <w:tc>
          <w:tcPr>
            <w:tcW w:type="dxa" w:w="2400"/>
            <w:tcMar>
              <w:top w:type="dxa" w:w="80"/>
              <w:left w:type="dxa" w:w="100"/>
              <w:bottom w:type="dxa" w:w="80"/>
              <w:right w:type="dxa" w:w="100"/>
            </w:tcMar>
          </w:tcPr>
          <w:p>
            <w:r>
              <w:rPr>
                <w:b w:val="false"/>
                <w:bCs w:val="false"/>
              </w:rPr>
              <w:t xml:space="preserve">0.826</w:t>
            </w:r>
          </w:p>
        </w:tc>
        <w:tc>
          <w:tcPr>
            <w:tcW w:type="dxa" w:w="2400"/>
            <w:tcMar>
              <w:top w:type="dxa" w:w="80"/>
              <w:left w:type="dxa" w:w="100"/>
              <w:bottom w:type="dxa" w:w="80"/>
              <w:right w:type="dxa" w:w="100"/>
            </w:tcMar>
          </w:tcPr>
          <w:p>
            <w:r>
              <w:rPr>
                <w:b w:val="false"/>
                <w:bCs w:val="false"/>
              </w:rPr>
              <w:t xml:space="preserve">0.91</w:t>
            </w:r>
          </w:p>
        </w:tc>
      </w:tr>
    </w:tbl>
    <w:p>
      <w:pPr>
        <w:spacing w:after="160"/>
      </w:pPr>
      <w:r>
        <w:rPr>
          <w:i/>
          <w:iCs/>
          <w:color w:val="555555"/>
          <w:sz w:val="20"/>
          <w:szCs w:val="20"/>
        </w:rPr>
        <w:t xml:space="preserve">Table 5. Reproducible by re-running train_model_v3.py (random_state=42). Two approaches were tried and did NOT help, so they were not adopted: character n-grams (word-boundary, 3-5 chars -- support tickets are English prose, not the typo/spelling-variant-heavy text char n-grams tend to help with), and hand-engineered priority features (text length, exclamation count, urgency keywords) concatenated with TF-IDF -- no improvement over TF-IDF alone, suggesting the signal they were meant to add was already captured by the word features. Full experiment log: accuracy_improvement_experiment.py.</w:t>
      </w:r>
    </w:p>
    <w:p>
      <w:pPr>
        <w:spacing w:after="160"/>
      </w:pPr>
      <w:r>
        <w:t xml:space="preserve">Honest caveat: even after this improvement, the system is not perfect, and this report says so plainly rather than let the improved numbers imply otherwise. Re-running the original demo ticket ("...hasn't arrived and tracking hasn't updated in 5 days, I need it urgently!") through the v3 model, it predicts Low priority -- a call that reads wrong to a human given the explicit "urgently." This is a real, reproducible limitation of the current model, not a cherry-picked worst case, and it is reported here for the same reason every other honest negative result in this project is reported: a tool that looks confident while still making calls like this is more dangerous than one that is upfront about where it struggles.</w:t>
      </w:r>
    </w:p>
    <w:p>
      <w:pPr>
        <w:pStyle w:val="Heading2"/>
        <w:spacing w:after="120" w:before="240"/>
      </w:pPr>
      <w:r>
        <w:t xml:space="preserve">UI and workflow updates</w:t>
      </w:r>
    </w:p>
    <w:p>
      <w:pPr>
        <w:pStyle w:val="ListParagraph"/>
        <w:numPr>
          <w:ilvl w:val="0"/>
          <w:numId w:val="2"/>
        </w:numPr>
        <w:spacing w:after="80"/>
      </w:pPr>
      <w:r>
        <w:t xml:space="preserve">Confidence score removed from the UI entirely. The underlying calibrated probability still decides whether to flag a prediction (Section 6.1), but is never shown to the agent as a number -- only as a plain-language warning when a prediction falls below the threshold.</w:t>
      </w:r>
    </w:p>
    <w:p>
      <w:pPr>
        <w:pStyle w:val="ListParagraph"/>
        <w:numPr>
          <w:ilvl w:val="0"/>
          <w:numId w:val="2"/>
        </w:numPr>
        <w:spacing w:after="80"/>
      </w:pPr>
      <w:r>
        <w:t xml:space="preserve">The "Use example ticket" button was removed from the app.</w:t>
      </w:r>
    </w:p>
    <w:p>
      <w:pPr>
        <w:pStyle w:val="ListParagraph"/>
        <w:numPr>
          <w:ilvl w:val="0"/>
          <w:numId w:val="2"/>
        </w:numPr>
        <w:spacing w:after="80"/>
      </w:pPr>
      <w:r>
        <w:t xml:space="preserve">Draft-response topic extraction now reads as much of the ticket as reasonably fits (up to 150 characters, preferring a real sentence boundary), rather than stopping at the first period -- see Section 2. A bug found during this change was fixed: redaction used to run on an already-split text fragment, which let part of an email address slip through unredacted whenever the email itself contained the period the code split on. PII redaction (Section 10) now runs on the whole ticket before any splitting happens, closing that gap.</w:t>
      </w:r>
    </w:p>
    <w:p>
      <w:pPr>
        <w:pStyle w:val="Heading1"/>
        <w:spacing w:after="160" w:before="320"/>
      </w:pPr>
      <w:r>
        <w:t xml:space="preserve">13. Conclusion and Future Work</w:t>
      </w:r>
    </w:p>
    <w:p>
      <w:pPr>
        <w:spacing w:after="160"/>
      </w:pPr>
      <w:r>
        <w:t xml:space="preserve">The project's throughline has been diagnosing problems honestly rather than tuning around them: a near-random priority label was traced to the dataset with a chi-square test and fixed by switching datasets rather than by reweighting a broken signal; a systematic Billing misrouting pattern was traced to content-mislabeled source data and fixed with class weighting after a competing keyword-based fix was tested and found not to help; a lemmatization suggestion was tested and correctly not adopted once it showed no measurable benefit; and, most recently, a genuine accuracy-improvement pass (Section 12) raised priority macro-F1 from 0.518 to 0.74 and department macro-F1 from 0.826 to 0.91 -- while still reporting, rather than hiding, a concrete case where the improved model still gets an intuitively "urgent" ticket wrong.</w:t>
      </w:r>
    </w:p>
    <w:p>
      <w:pPr>
        <w:spacing w:after="160"/>
      </w:pPr>
      <w:r>
        <w:t xml:space="preserve">The clearest next steps are: moving the draft response generator from template-based to content-aware (the single most consistent piece of user feedback); closing the remaining priority gap identified in Section 12 (still the weaker of the two tasks, and still capable of missing an explicitly urgent ticket); extending PII redaction (Section 10) to names and addresses via a real NER model, since the current regex-based approach only covers emails, phone numbers, card numbers, and order/reference numbers; and completing the Hugging Face deployment (Section 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2026-09-25T04:15:42.763Z</dcterms:created>
  <dcterms:modified xsi:type="dcterms:W3CDTF">2026-09-25T04:15:42.763Z</dcterms:modified>
</cp:coreProperties>
</file>

<file path=docProps/custom.xml><?xml version="1.0" encoding="utf-8"?>
<Properties xmlns="http://schemas.openxmlformats.org/officeDocument/2006/custom-properties" xmlns:vt="http://schemas.openxmlformats.org/officeDocument/2006/docPropsVTypes"/>
</file>