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Behaviour</w:t>
      </w:r>
    </w:p>
    <w:p>
      <w:r>
        <w:t>This section describes the behaviour of software components implemented in SDL.</w:t>
      </w:r>
    </w:p>
    <w:p>
      <w:r>
        <w:t>The behaviour of each SDL function is documented using state machine diagrams generated from the SDL implementation.</w:t>
      </w:r>
    </w:p>
    <w:p>
      <w:r>
        <w:t>The following functions are implemented in SDL and their behaviour is documented below:</w:t>
      </w:r>
    </w:p>
    <w:p>
      <w:pPr>
        <w:pStyle w:val="Heading3"/>
      </w:pPr>
      <w:r>
        <w:t>Counter</w:t>
      </w:r>
    </w:p>
    <w:p>
      <w:r>
        <w:rPr>
          <w:b/>
        </w:rPr>
        <w:t>Description:</w:t>
      </w:r>
      <w:r>
        <w:t xml:space="preserve"> No description available.</w:t>
      </w:r>
    </w:p>
    <w:p>
      <w:r>
        <w:rPr>
          <w:b/>
        </w:rPr>
        <w:t>Behavioural Diagrams:</w:t>
      </w:r>
    </w:p>
    <w:p>
      <w:r>
        <w:t>The following diagrams illustrate the behaviour of the Counter function:</w:t>
      </w:r>
    </w:p>
    <w:p>
      <w:r>
        <w:drawing>
          <wp:inline xmlns:a="http://schemas.openxmlformats.org/drawingml/2006/main" xmlns:pic="http://schemas.openxmlformats.org/drawingml/2006/picture">
            <wp:extent cx="5486400" cy="4998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0-Counter-block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0 Counter block main</w:t>
      </w:r>
    </w:p>
    <w:p>
      <w:r>
        <w:drawing>
          <wp:inline xmlns:a="http://schemas.openxmlformats.org/drawingml/2006/main" xmlns:pic="http://schemas.openxmlformats.org/drawingml/2006/picture">
            <wp:extent cx="5486400" cy="3687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1-Counter-process-Cou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7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 Counter process Counter</w:t>
      </w:r>
    </w:p>
    <w:p>
      <w:r>
        <w:drawing>
          <wp:inline xmlns:a="http://schemas.openxmlformats.org/drawingml/2006/main" xmlns:pic="http://schemas.openxmlformats.org/drawingml/2006/picture">
            <wp:extent cx="5486400" cy="9426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er_sc-Cou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2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 Counter</w:t>
      </w:r>
    </w:p>
    <w:p>
      <w:pPr>
        <w:pStyle w:val="Heading3"/>
      </w:pPr>
      <w:r>
        <w:t>Harness</w:t>
      </w:r>
    </w:p>
    <w:p>
      <w:r>
        <w:rPr>
          <w:b/>
        </w:rPr>
        <w:t>Description:</w:t>
      </w:r>
      <w:r>
        <w:t xml:space="preserve"> No description available.</w:t>
      </w:r>
    </w:p>
    <w:p>
      <w:r>
        <w:rPr>
          <w:b/>
        </w:rPr>
        <w:t>Behavioural Diagrams:</w:t>
      </w:r>
    </w:p>
    <w:p>
      <w:r>
        <w:t>The following diagrams illustrate the behaviour of the Harness function:</w:t>
      </w:r>
    </w:p>
    <w:p>
      <w:r>
        <w:drawing>
          <wp:inline xmlns:a="http://schemas.openxmlformats.org/drawingml/2006/main" xmlns:pic="http://schemas.openxmlformats.org/drawingml/2006/picture">
            <wp:extent cx="5486400" cy="4534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0-Harness-block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0 Harness block main</w:t>
      </w:r>
    </w:p>
    <w:p>
      <w:r>
        <w:drawing>
          <wp:inline xmlns:a="http://schemas.openxmlformats.org/drawingml/2006/main" xmlns:pic="http://schemas.openxmlformats.org/drawingml/2006/picture">
            <wp:extent cx="5486400" cy="3683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1-Harness-process-Har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 Harness process Harness</w:t>
      </w:r>
    </w:p>
    <w:p>
      <w:r>
        <w:drawing>
          <wp:inline xmlns:a="http://schemas.openxmlformats.org/drawingml/2006/main" xmlns:pic="http://schemas.openxmlformats.org/drawingml/2006/picture">
            <wp:extent cx="5486400" cy="32443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sc-Har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 Harness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