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February 5, 1855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Shanequa Marquise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134 N  654E Drive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Framlingham, England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Dear Mrs. Marquise.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We regret to inform you that your husband, DeShawn Marquise, was killed in action on October 25, 185.  He was a very brave and loyal soldier and will be commemorated for his courage and honor he brings to the military and his family. We are very grateful for his service. He was of the 600 men that were sent to obtain Russian Artillery, when they became victim to a heavy ambush from twenty battalions of the Russian Army.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 Your husband was a very brave man. William Howard Russell wrote about the battle that he witnessed. “They never halted or checked their speed for an instant.” he wrote about what he see and remarks upon the bravery of the men. They were fired upon from all sides, and were under direct fire of musketry. When they were about to retreat, Colonel Shewall saw a large mass of lancers charging directly at them, and charged with his few men. The other regiments then engaged in desperate measures “with courage too great almost for credence.” Your husband was of the very brave regiments that engaged the enemy. If he had not turned to fight, none of the three-hundred-and-twenty-two would have made it out alive.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We give our greatest condolences for your loss. DeShawn Marquis was a great man and will be honored for his bravery.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rtl w:val="0"/>
        </w:rPr>
        <w:t xml:space="preserve">Sincerely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Major General Nathan Petersen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British Military</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