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Birokrasi Bersih, Keadilan Nyata: Menegakkan Pelayanan Publik Tanpa Diskriminasi dalam Terang Wahyu</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**Oleh:** Redaksi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Prolog: Antrean Panjang dan Hati yang Terluka</w:t>
      </w:r>
    </w:p>
    <w:p>
      <w:pPr>
        <w:spacing w:line="360" w:lineRule="auto" w:before="0" w:after="0"/>
        <w:ind w:firstLine="720"/>
        <w:jc w:val="both"/>
      </w:pPr>
      <w:r>
        <w:rPr>
          <w:rFonts w:ascii="Times New Roman" w:hAnsi="Times New Roman" w:cs="Times New Roman"/>
          <w:b w:val="0"/>
          <w:i w:val="0"/>
          <w:color w:val="000000"/>
          <w:sz w:val="24"/>
        </w:rPr>
        <w:t>Di sebuah kantor pelayanan publik di pinggiran Jakarta, seorang ibu paruh baya bernama Sumiati duduk lesu sejak pukul lima pagi. Ia membawa setumpuk berkas untuk mengurus surat kematian suaminya — dokumen yang menjadi syarat pencairan dana pensiun yang sangat ia butuhkan untuk biaya sekolah anak bungsunya. Pukul sembilan pagi, loket dibuka. Namun, Sumiati harus menyaksikan puluhan orang yang datang lebih siang justru dilayani lebih dulu. Mereka "kenal orang dalam." Mereka membayar "uang rokok." Sumiati hanya bisa pasrah menunggu hingga pukul tiga sore, ketika petugas berkata, "Sudah tutup, Bu. Kembali besok."</w:t>
      </w:r>
    </w:p>
    <w:p>
      <w:pPr>
        <w:spacing w:line="360" w:lineRule="auto" w:before="0" w:after="0"/>
        <w:ind w:firstLine="720"/>
        <w:jc w:val="both"/>
      </w:pPr>
      <w:r>
        <w:rPr>
          <w:rFonts w:ascii="Times New Roman" w:hAnsi="Times New Roman" w:cs="Times New Roman"/>
          <w:b w:val="0"/>
          <w:i w:val="0"/>
          <w:color w:val="000000"/>
          <w:sz w:val="24"/>
        </w:rPr>
        <w:t>Kisah Sumiati bukanlah fiksi. Ia adalah representasi dari jutaan warga negeri ini yang setiap hari bergulat dengan birokrasi yang tidak adil. Pelayanan publik yang seharusnya menjadi jembatan antara negara dan rakyat justru sering menjelma menjadi tembok yang memisahkan — tembok yang hanya bisa ditembus oleh mereka yang memiliki koneksi, uang, atau keberanian untuk marah.</w:t>
      </w:r>
    </w:p>
    <w:p>
      <w:pPr>
        <w:spacing w:line="360" w:lineRule="auto" w:before="0" w:after="0"/>
        <w:ind w:firstLine="720"/>
        <w:jc w:val="both"/>
      </w:pPr>
      <w:r>
        <w:rPr>
          <w:rFonts w:ascii="Times New Roman" w:hAnsi="Times New Roman" w:cs="Times New Roman"/>
          <w:b w:val="0"/>
          <w:i w:val="0"/>
          <w:color w:val="000000"/>
          <w:sz w:val="24"/>
        </w:rPr>
        <w:t>Tulisan ini akan mengupas persoalan diskriminasi pelayanan publik dari sudut pandang Islam, khususnya melalui lensa QS Al-Ma'idah [5]:8 tentang keadilan universal dan QS Al-Balad [90]:12-16 tentang pelayanan kepada dhuafa. Dua ayat ini menjadi pijakan normatif untuk merumuskan birokrasi yang bersih dan berkeadilan.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1: Fakta Pahit Diskriminasi Pelayanan Publik</w:t>
      </w:r>
    </w:p>
    <w:p>
      <w:pPr>
        <w:spacing w:line="360" w:lineRule="auto" w:before="240" w:after="120"/>
        <w:jc w:val="center"/>
      </w:pPr>
      <w:r>
        <w:rPr>
          <w:rFonts w:ascii="Times New Roman" w:hAnsi="Times New Roman" w:cs="Times New Roman"/>
          <w:b w:val="0"/>
          <w:i w:val="0"/>
          <w:color w:val="000000"/>
          <w:sz w:val="24"/>
        </w:rPr>
        <w:t>Pungli: Biaya Tak Terlihat yang Menghancurkan</w:t>
      </w:r>
    </w:p>
    <w:p>
      <w:pPr>
        <w:spacing w:line="360" w:lineRule="auto" w:before="0" w:after="0"/>
        <w:ind w:firstLine="720"/>
        <w:jc w:val="both"/>
      </w:pPr>
      <w:r>
        <w:rPr>
          <w:rFonts w:ascii="Times New Roman" w:hAnsi="Times New Roman" w:cs="Times New Roman"/>
          <w:b w:val="0"/>
          <w:i w:val="0"/>
          <w:color w:val="000000"/>
          <w:sz w:val="24"/>
        </w:rPr>
        <w:t>Pungutan liar (pungli) telah menjadi penyakit kronis dalam birokrasi Indonesia. Survei KPK pada 2023 mencatat bahwa 67,8 persen masyarakat pernah mengalami pungli dalam pengurusan layanan publik. Praktik ini tidak hanya terjadi di lembaga pemerintahan tingkat bawah, tetapi juga menjalar ke instansi pusat.</w:t>
      </w:r>
    </w:p>
    <w:p>
      <w:pPr>
        <w:spacing w:line="360" w:lineRule="auto" w:before="0" w:after="0"/>
        <w:ind w:firstLine="720"/>
        <w:jc w:val="both"/>
      </w:pPr>
      <w:r>
        <w:rPr>
          <w:rFonts w:ascii="Times New Roman" w:hAnsi="Times New Roman" w:cs="Times New Roman"/>
          <w:b w:val="0"/>
          <w:i w:val="0"/>
          <w:color w:val="000000"/>
          <w:sz w:val="24"/>
        </w:rPr>
        <w:t>Pungli bukan sekmasalah ekonomi — ia adalah persoalan keadilan. Ketika seorang pensiunan guru harus merogoh kocek tambahan untuk mencairkan tunjangan yang sudah menjadi haknya, atau ketika seorang nelayan harus membayar "uang pelicin" untuk mendapatkan surat kapal yang sah, maka negara telah gagal menunaikan amanat keadilan. Yang kaya dan punya koneksi bisa membayar pungli tanpa kesulitan; yang miskin justru semakin terjerembab dalam lingkaran kemiskinan karena hak-hak dasarnya terhambat.</w:t>
      </w:r>
    </w:p>
    <w:p>
      <w:pPr>
        <w:spacing w:line="360" w:lineRule="auto" w:before="240" w:after="120"/>
        <w:jc w:val="center"/>
      </w:pPr>
      <w:r>
        <w:rPr>
          <w:rFonts w:ascii="Times New Roman" w:hAnsi="Times New Roman" w:cs="Times New Roman"/>
          <w:b w:val="0"/>
          <w:i w:val="0"/>
          <w:color w:val="000000"/>
          <w:sz w:val="24"/>
        </w:rPr>
        <w:t>Maladministrasi: Wajah Lain Ketidakadilan</w:t>
      </w:r>
    </w:p>
    <w:p>
      <w:pPr>
        <w:spacing w:line="360" w:lineRule="auto" w:before="0" w:after="0"/>
        <w:ind w:firstLine="720"/>
        <w:jc w:val="both"/>
      </w:pPr>
      <w:r>
        <w:rPr>
          <w:rFonts w:ascii="Times New Roman" w:hAnsi="Times New Roman" w:cs="Times New Roman"/>
          <w:b w:val="0"/>
          <w:i w:val="0"/>
          <w:color w:val="000000"/>
          <w:sz w:val="24"/>
        </w:rPr>
        <w:t>Ombudsman RI melaporkan bahwa pada 2024, terdapat lebih dari 7.000 laporan maladministrasi. Penundaan berlarut, tidak memberikan pelayanan, mempersulit prosedur, dan diskriminasi perlakuan menjadi bentuk-bentuk paling umum. Maladministrasi adalah kekerasan struktural yang dilakukan birokrasi terhadap warga negara. Ia pelan-pelan membunuh kepercayaan publik.</w:t>
      </w:r>
    </w:p>
    <w:p>
      <w:pPr>
        <w:spacing w:line="360" w:lineRule="auto" w:before="0" w:after="0"/>
        <w:ind w:firstLine="720"/>
        <w:jc w:val="both"/>
      </w:pPr>
      <w:r>
        <w:rPr>
          <w:rFonts w:ascii="Times New Roman" w:hAnsi="Times New Roman" w:cs="Times New Roman"/>
          <w:b w:val="0"/>
          <w:i w:val="0"/>
          <w:color w:val="000000"/>
          <w:sz w:val="24"/>
        </w:rPr>
        <w:t>Yang paling tragis, maladministrasi sering menimpa mereka yang paling rentan: warga miskin, penyandang disabilitas, masyarakat adat, dan warga pinggiran yang tidak memiliki akses informasi dan jaringan kuasa. Birokrasi yang seharusnya menjadi pelayan justru berubah menjadi penghalang.</w:t>
      </w:r>
    </w:p>
    <w:p>
      <w:pPr>
        <w:spacing w:line="360" w:lineRule="auto" w:before="240" w:after="120"/>
        <w:jc w:val="center"/>
      </w:pPr>
      <w:r>
        <w:rPr>
          <w:rFonts w:ascii="Times New Roman" w:hAnsi="Times New Roman" w:cs="Times New Roman"/>
          <w:b w:val="0"/>
          <w:i w:val="0"/>
          <w:color w:val="000000"/>
          <w:sz w:val="24"/>
        </w:rPr>
        <w:t>Diskriminasi: Ketika "Melayani" Berarti "Memilih-Milih"</w:t>
      </w:r>
    </w:p>
    <w:p>
      <w:pPr>
        <w:spacing w:line="360" w:lineRule="auto" w:before="0" w:after="0"/>
        <w:ind w:firstLine="720"/>
        <w:jc w:val="both"/>
      </w:pPr>
      <w:r>
        <w:rPr>
          <w:rFonts w:ascii="Times New Roman" w:hAnsi="Times New Roman" w:cs="Times New Roman"/>
          <w:b w:val="0"/>
          <w:i w:val="0"/>
          <w:color w:val="000000"/>
          <w:sz w:val="24"/>
        </w:rPr>
        <w:t>Bentuk paling keras dari ketidakadilan pelayanan publik adalah diskriminasi. Banyak cerita tentang warga yang ditolak layanan karena alasan etnis, agama, status ekonomi, atau afiliasi politik. Data Setara Institute mencatat masih adanya praktik diskriminasi dalam akses layanan administrasi kependudukan terhadap kelompok minoritas.</w:t>
      </w:r>
    </w:p>
    <w:p>
      <w:pPr>
        <w:spacing w:line="360" w:lineRule="auto" w:before="0" w:after="0"/>
        <w:ind w:firstLine="720"/>
        <w:jc w:val="both"/>
      </w:pPr>
      <w:r>
        <w:rPr>
          <w:rFonts w:ascii="Times New Roman" w:hAnsi="Times New Roman" w:cs="Times New Roman"/>
          <w:b w:val="0"/>
          <w:i w:val="0"/>
          <w:color w:val="000000"/>
          <w:sz w:val="24"/>
        </w:rPr>
        <w:t>Bahkan di era digital sekalipun, diskriminasi bisa muncul dalam bentuk baru: mereka yang melek teknologi dan memiliki gawai canggih mendapat layanan lebih cepat, sementara warga lanjut usia dan masyarakat di daerah 3T (terdepan, terluar, tertinggal) justru tertinggal. Inilah yang disebut *digital divide* sebagai bentuk baru ketidakadilan.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2: QS Al-Ma'idah 8 — Keadilan Universal Tanpa Kompromi</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يَا أَيُّهَا الَّذِينَ آمَنُوا كُونُوا قَوَّامِينَ لِلَّهِ شُهَدَاءَ بِالْقِسْطِ ۖ وَلَا يَجْرِمَنَّكُمْ شَنَآنُ قَوْمٍ عَلَىٰ أَلَّا تَعْدِلُوا ۚ اعْدِلُوا هُوَ أَقْرَبُ لِلتَّقْوَىٰ ۚ وَاتَّقُوا اللَّهَ ۚ إِنَّ اللَّهَ خَبِيرٌ بِمَا تَعْمَلُونَ</w:t>
      </w:r>
    </w:p>
    <w:p>
      <w:pPr>
        <w:spacing w:line="360" w:lineRule="auto" w:before="0" w:after="0"/>
        <w:ind w:firstLine="720"/>
        <w:jc w:val="both"/>
      </w:pPr>
      <w:r>
        <w:rPr>
          <w:rFonts w:ascii="Times New Roman" w:hAnsi="Times New Roman" w:cs="Times New Roman"/>
          <w:b w:val="0"/>
          <w:i w:val="0"/>
          <w:color w:val="000000"/>
          <w:sz w:val="24"/>
        </w:rPr>
        <w:t>*"Wahai orang-orang yang beriman! Jadilah kamu penegak (kebenaran) karena Allah, menjadi saksi dengan adil. Dan janganlah kebencianmu terhadap suatu kaum mendorong kamu untuk berlaku tidak adil. Berlaku adillah, karena (berlaku) adil itu lebih dekat kepada takwa. Dan bertakwalah kepada Allah, sesungguhnya Allah Maha Mengetahui apa yang kamu kerjakan."* (QS Al-Ma'idah [5]:8)</w:t>
      </w:r>
    </w:p>
    <w:p>
      <w:pPr>
        <w:spacing w:line="360" w:lineRule="auto" w:before="240" w:after="120"/>
        <w:jc w:val="center"/>
      </w:pPr>
      <w:r>
        <w:rPr>
          <w:rFonts w:ascii="Times New Roman" w:hAnsi="Times New Roman" w:cs="Times New Roman"/>
          <w:b w:val="0"/>
          <w:i w:val="0"/>
          <w:color w:val="000000"/>
          <w:sz w:val="24"/>
        </w:rPr>
        <w:t>Tafsir At-Thabari: Keadilan adalah Ibadah, Bukan Opsional</w:t>
      </w:r>
    </w:p>
    <w:p>
      <w:pPr>
        <w:spacing w:line="360" w:lineRule="auto" w:before="0" w:after="0"/>
        <w:ind w:firstLine="0"/>
        <w:jc w:val="right"/>
      </w:pPr>
      <w:r>
        <w:rPr>
          <w:rFonts w:ascii="Traditional Arabic" w:hAnsi="Traditional Arabic" w:cs="Traditional Arabic"/>
          <w:b w:val="0"/>
          <w:i w:val="0"/>
          <w:color w:val="000000"/>
          <w:sz w:val="32"/>
        </w:rPr>
        <w:t>Imam Abu Ja'far Muhammad bin Jarir ath-Thabari (w. 310 H), dalam tafsir monumentalnya *Jami' al-Bayan 'an Ta'wil Ay al-Qur'an*, menafsirkan ayat ini dengan penekanan yang sangat kuat pada universalitas keadilan. Menurut ath-Thabari, frasa **كُونُوا قَوَّامِينَ لِلَّهِ** (jadilah kamu penegak karena Allah) berarti hendaknya kaum mukminin menegakkan keadilan semata-mata karena Allah, bukan karena kepentingan duniawi, bukan karena hubungan kekerabatan, dan bukan karena tekanan sosial.</w:t>
      </w:r>
    </w:p>
    <w:p>
      <w:pPr>
        <w:spacing w:line="360" w:lineRule="auto" w:before="0" w:after="0"/>
        <w:ind w:firstLine="0"/>
        <w:jc w:val="right"/>
      </w:pPr>
      <w:r>
        <w:rPr>
          <w:rFonts w:ascii="Traditional Arabic" w:hAnsi="Traditional Arabic" w:cs="Traditional Arabic"/>
          <w:b w:val="0"/>
          <w:i w:val="0"/>
          <w:color w:val="000000"/>
          <w:sz w:val="32"/>
        </w:rPr>
        <w:t>Ath-Thabari kemudian mengupas bagian **وَلَا يَجْرِمَنَّكُمْ شَنَآنُ قَوْمٍ عَلَىٰ أَلَّا تَعْدِلُوا** — *"janganlah kebencianmu terhadap suatu kaum mendorong kamu untuk berlaku tidak adil."* Menurutnya, larangan ini bersifat mutlak. Bahkan terhadap musuh sekalipun — orang kafir yang memerangi umat Islam — seorang Muslim dilarang berlaku zalim. Jika terhadap musuh saja tidak boleh tidak adil, apalagi terhadap sesama Muslim, terhadap pemohon layanan publik, terhadap warga negara yang datang mengurus dokumen kependudukan.</w:t>
      </w:r>
    </w:p>
    <w:p>
      <w:pPr>
        <w:spacing w:line="360" w:lineRule="auto" w:before="0" w:after="0"/>
        <w:ind w:firstLine="720"/>
        <w:jc w:val="both"/>
      </w:pPr>
      <w:r>
        <w:rPr>
          <w:rFonts w:ascii="Times New Roman" w:hAnsi="Times New Roman" w:cs="Times New Roman"/>
          <w:b w:val="0"/>
          <w:i w:val="0"/>
          <w:color w:val="000000"/>
          <w:sz w:val="24"/>
        </w:rPr>
        <w:t>Ath-Thabari dengan tegas menyatakan bahwa keadilan dalam Islam bersifat universal (*'ammah*), tidak terbatas pada komunitas tertentu. Ini adalah pukulan telak bagi segala bentuk diskriminasi dalam pelayanan publik. Tidak ada alasan — suku, agama, status ekonomi, atau afiliasi politik — yang membenarkan seorang petugas pelayanan publik untuk berlaku tidak adil.</w:t>
      </w:r>
    </w:p>
    <w:p>
      <w:pPr>
        <w:spacing w:line="360" w:lineRule="auto" w:before="240" w:after="120"/>
        <w:jc w:val="center"/>
      </w:pPr>
      <w:r>
        <w:rPr>
          <w:rFonts w:ascii="Times New Roman" w:hAnsi="Times New Roman" w:cs="Times New Roman"/>
          <w:b w:val="0"/>
          <w:i w:val="0"/>
          <w:color w:val="000000"/>
          <w:sz w:val="24"/>
        </w:rPr>
        <w:t>Tafsir Hamka: Keadilan sebagai Fondasi Peradaban</w:t>
      </w:r>
    </w:p>
    <w:p>
      <w:pPr>
        <w:spacing w:line="360" w:lineRule="auto" w:before="0" w:after="0"/>
        <w:ind w:firstLine="0"/>
        <w:jc w:val="right"/>
      </w:pPr>
      <w:r>
        <w:rPr>
          <w:rFonts w:ascii="Traditional Arabic" w:hAnsi="Traditional Arabic" w:cs="Traditional Arabic"/>
          <w:b w:val="0"/>
          <w:i w:val="0"/>
          <w:color w:val="000000"/>
          <w:sz w:val="32"/>
        </w:rPr>
        <w:t>Prof. Dr. Haji Abdul Malik Karim Amrullah (Hamka) dalam *Tafsir Al-Azhar* memberikan perspektif yang lebih kontekstual dan membumi. Hamka menyoroti kata **قَوَّامِينَ** (*qawwamin*) yang berasal dari kata *qiyam* (berdiri). Menurut Hamka, orang beriman diperintahkan untuk *berdiri* — berdiri tegak membela kebenaran dan keadilan, tidak goyah oleh godaan dan tekanan.</w:t>
      </w:r>
    </w:p>
    <w:p>
      <w:pPr>
        <w:spacing w:line="360" w:lineRule="auto" w:before="0" w:after="0"/>
        <w:ind w:firstLine="0"/>
        <w:jc w:val="right"/>
      </w:pPr>
      <w:r>
        <w:rPr>
          <w:rFonts w:ascii="Traditional Arabic" w:hAnsi="Traditional Arabic" w:cs="Traditional Arabic"/>
          <w:b w:val="0"/>
          <w:i w:val="0"/>
          <w:color w:val="000000"/>
          <w:sz w:val="32"/>
        </w:rPr>
        <w:t>Hamka juga memberikan penjelasan mendalam tentang makna **شُهَدَاءَ بِالْقِسْطِ** (menjadi saksi dengan adil). Dalam konteks pelayanan publik, menjadi saksi dengan adil berarti memberikan kesaksian — dan layanan — secara proporsional tanpa memandang bulu. Seorang pegawai negeri adalah saksi negara bagi rakyat. Ketika ia melayani, ia bersaksi bahwa negara hadir untuk semua, bukan hanya untuk segelintir.</w:t>
      </w:r>
    </w:p>
    <w:p>
      <w:pPr>
        <w:spacing w:line="360" w:lineRule="auto" w:before="0" w:after="0"/>
        <w:ind w:firstLine="720"/>
        <w:jc w:val="both"/>
      </w:pPr>
      <w:r>
        <w:rPr>
          <w:rFonts w:ascii="Times New Roman" w:hAnsi="Times New Roman" w:cs="Times New Roman"/>
          <w:b w:val="0"/>
          <w:i w:val="0"/>
          <w:color w:val="000000"/>
          <w:sz w:val="24"/>
        </w:rPr>
        <w:t>Yang paling menarik dari tafsir Hamka adalah penekanannya pada perasaan. Menurut Hamka, Allah mengetahui bahwa manusia memiliki kecenderungan alami untuk membenci orang yang memusuhinya. Namun justru di situlah letak *jihad akbar* — berjuang melawan hawa nafsu untuk tetap berlaku adil terhadap orang yang kita benci. Dalam konteks birokrasi, ini berarti seorang petugas harus tetap melayani dengan baik meskipun pemohon layanan mungkin berbeda pilihan politik, berbeda keyakinan, atau berasal dari kelompok yang tidak disukainya.</w:t>
      </w:r>
    </w:p>
    <w:p>
      <w:pPr>
        <w:spacing w:line="360" w:lineRule="auto" w:before="0" w:after="0"/>
        <w:ind w:firstLine="0"/>
        <w:jc w:val="right"/>
      </w:pPr>
      <w:r>
        <w:rPr>
          <w:rFonts w:ascii="Traditional Arabic" w:hAnsi="Traditional Arabic" w:cs="Traditional Arabic"/>
          <w:b w:val="0"/>
          <w:i w:val="0"/>
          <w:color w:val="000000"/>
          <w:sz w:val="32"/>
        </w:rPr>
        <w:t>Hamka menutup penafsirannya dengan sebuah nasihat: **اعْدِلُوا هُوَ أَقْرَبُ لِلتَّقْوَىٰ** — *"Berlaku adillah, karena (berlaku) adil itu lebih dekat kepada takwa."* Artinya, keadilan bukan sekadar soal etika birokrasi, melainkan tangga menuju ketakwaan kepada Allah. Setiap kali seorang pegawai melayani tanpa diskriminasi, ia sedang menaiki satu anak tangga menuju surga.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3: QS Al-Balad 12-16 — Pelayanan Dhuafa sebagai Puncak Keberimanan</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وَمَا أَدْرَاكَ مَا الْعَقَبَةُ . فَكُّ رَقَبَةٍ . أَوْ إِطْعَامٌ فِي يَوْمٍ ذِي مَسْغَبَةٍ . يَتِيمًا ذَا مَقْرَبَةٍ . أَوْ مِسْكِينًا ذَا مَتْرَبَةٍ</w:t>
      </w:r>
    </w:p>
    <w:p>
      <w:pPr>
        <w:spacing w:line="360" w:lineRule="auto" w:before="0" w:after="0"/>
        <w:ind w:firstLine="720"/>
        <w:jc w:val="both"/>
      </w:pPr>
      <w:r>
        <w:rPr>
          <w:rFonts w:ascii="Times New Roman" w:hAnsi="Times New Roman" w:cs="Times New Roman"/>
          <w:b w:val="0"/>
          <w:i w:val="0"/>
          <w:color w:val="000000"/>
          <w:sz w:val="24"/>
        </w:rPr>
        <w:t>*"Dan tahukah kamu apakah jalan yang mendaki lagi sukar itu? (Yaitu) melepaskan budak, atau memberi makan pada hari terjadi kelaparan, (kepada) anak yatim yang ada hubungan kerabat, atau orang miskin yang sangat fakir."* (QS Al-Balad [90]:12-16)</w:t>
      </w:r>
    </w:p>
    <w:p>
      <w:pPr>
        <w:spacing w:line="360" w:lineRule="auto" w:before="240" w:after="120"/>
        <w:jc w:val="center"/>
      </w:pPr>
      <w:r>
        <w:rPr>
          <w:rFonts w:ascii="Times New Roman" w:hAnsi="Times New Roman" w:cs="Times New Roman"/>
          <w:b w:val="0"/>
          <w:i w:val="0"/>
          <w:color w:val="000000"/>
          <w:sz w:val="24"/>
        </w:rPr>
        <w:t>Tafsir Sya'rawi: 'Aqabah sebagai Metafora Pengorbanan</w:t>
      </w:r>
    </w:p>
    <w:p>
      <w:pPr>
        <w:spacing w:line="360" w:lineRule="auto" w:before="0" w:after="0"/>
        <w:ind w:firstLine="0"/>
        <w:jc w:val="right"/>
      </w:pPr>
      <w:r>
        <w:rPr>
          <w:rFonts w:ascii="Traditional Arabic" w:hAnsi="Traditional Arabic" w:cs="Traditional Arabic"/>
          <w:b w:val="0"/>
          <w:i w:val="0"/>
          <w:color w:val="000000"/>
          <w:sz w:val="32"/>
        </w:rPr>
        <w:t>Syeikh Muhammad Mutawalli asy-Sya'rawi (w. 1418 H) dalam tafsirnya memberikan penjelasan yang sangat menggugah tentang ayat ini. Kata **الْعَقَبَةُ** (*al-'aqabah*) secara etimologis berarti jalan di pegunungan yang terjal dan mendaki. Sya'rawi menjelaskan bahwa Allah menggunakan metafora ini untuk menggambarkan betapa beratnya jalan menuju keselamatan — ia tidaklah mudah seperti berjalan di permukaan yang rata.</w:t>
      </w:r>
    </w:p>
    <w:p>
      <w:pPr>
        <w:spacing w:line="360" w:lineRule="auto" w:before="0" w:after="0"/>
        <w:ind w:firstLine="720"/>
        <w:jc w:val="both"/>
      </w:pPr>
      <w:r>
        <w:rPr>
          <w:rFonts w:ascii="Times New Roman" w:hAnsi="Times New Roman" w:cs="Times New Roman"/>
          <w:b w:val="0"/>
          <w:i w:val="0"/>
          <w:color w:val="000000"/>
          <w:sz w:val="24"/>
        </w:rPr>
        <w:t>Menurut Sya'rawi, ada dua pilihan setelah manusia melewati jalan mendaki ini: *fakku raqabah* (melepaskan budak) dan *ith'amun fi yaumi dhi masghabah* (memberi makan di hari kelaparan). Dalam konteks modern, "melepaskan budak" dapat diartikan sebagai membebaskan manusia dari segala bentuk perbudakan — termasuk perbudakan birokrasi. Ketika warga miskin harus mengurus dokumen berbulan-bulan, ketika mereka diperas oleh calo dan oknum petugas, ketika mereka diperlakukan lebih rendah karena status ekonominya — itulah bentuk perbudakan modern. Birokrasi yang bersih harus menjadi "pembebas budak," bukan penambah beban.</w:t>
      </w:r>
    </w:p>
    <w:p>
      <w:pPr>
        <w:spacing w:line="360" w:lineRule="auto" w:before="0" w:after="0"/>
        <w:ind w:firstLine="0"/>
        <w:jc w:val="right"/>
      </w:pPr>
      <w:r>
        <w:rPr>
          <w:rFonts w:ascii="Traditional Arabic" w:hAnsi="Traditional Arabic" w:cs="Traditional Arabic"/>
          <w:b w:val="0"/>
          <w:i w:val="0"/>
          <w:color w:val="000000"/>
          <w:sz w:val="32"/>
        </w:rPr>
        <w:t>Sya'rawi juga menekankan kata **ذَا مَتْرَبَةٍ** (*dha matrabah*) — orang miskin yang sangat fakir, secara harfiah berarti "yang menempel di tanah" karena ketidakberdayaannya. Ini adalah gambaran paling ekstrem dari kemiskinan: seseorang yang sudah tidak punya daya dan upaya sama sekali. Dalam konteks pelayanan publik, merekalah yang paling prioritas. Bukan pengusaha besar yang punya akses ke mana-mana, bukan pejabat yang kenal semua pintu, melainkan *al-miskin dhu matrabah* — warga paling rentan yang tidak punya siapa-siapa dan tidak bisa berbuat apa-apa.</w:t>
      </w:r>
    </w:p>
    <w:p>
      <w:pPr>
        <w:spacing w:line="360" w:lineRule="auto" w:before="240" w:after="120"/>
        <w:jc w:val="center"/>
      </w:pPr>
      <w:r>
        <w:rPr>
          <w:rFonts w:ascii="Times New Roman" w:hAnsi="Times New Roman" w:cs="Times New Roman"/>
          <w:b w:val="0"/>
          <w:i w:val="0"/>
          <w:color w:val="000000"/>
          <w:sz w:val="24"/>
        </w:rPr>
        <w:t>Hadits Bukhari: Mengasihi Manusia sebagai Syarat Keimanan</w:t>
      </w:r>
    </w:p>
    <w:p>
      <w:pPr>
        <w:spacing w:line="360" w:lineRule="auto" w:before="0" w:after="0"/>
        <w:ind w:firstLine="720"/>
        <w:jc w:val="both"/>
      </w:pPr>
      <w:r>
        <w:rPr>
          <w:rFonts w:ascii="Times New Roman" w:hAnsi="Times New Roman" w:cs="Times New Roman"/>
          <w:b w:val="0"/>
          <w:i w:val="0"/>
          <w:color w:val="000000"/>
          <w:sz w:val="24"/>
        </w:rPr>
        <w:t>Rasulullah SAW bersabda:</w:t>
      </w:r>
    </w:p>
    <w:p>
      <w:pPr>
        <w:spacing w:line="360" w:lineRule="auto" w:before="0" w:after="0"/>
        <w:ind w:firstLine="720"/>
        <w:jc w:val="both"/>
      </w:pPr>
      <w:r>
        <w:rPr>
          <w:rFonts w:ascii="Times New Roman" w:hAnsi="Times New Roman" w:cs="Times New Roman"/>
          <w:b w:val="0"/>
          <w:i/>
          <w:color w:val="000000"/>
          <w:sz w:val="24"/>
        </w:rPr>
        <w:t>مَنْ لا يَرْحَمُ النَّاسَ لا يَرْحَمُهُ اللَّهُ</w:t>
      </w:r>
    </w:p>
    <w:p>
      <w:pPr>
        <w:spacing w:line="360" w:lineRule="auto" w:before="0" w:after="0"/>
        <w:ind w:firstLine="720"/>
        <w:jc w:val="both"/>
      </w:pPr>
      <w:r>
        <w:rPr>
          <w:rFonts w:ascii="Times New Roman" w:hAnsi="Times New Roman" w:cs="Times New Roman"/>
          <w:b w:val="0"/>
          <w:i w:val="0"/>
          <w:color w:val="000000"/>
          <w:sz w:val="24"/>
        </w:rPr>
        <w:t>*"Siapa yang tidak mengasihi manusia, Allah tidak akan mengasihinya."* (HR. Bukhari, no. 7376)</w:t>
      </w:r>
    </w:p>
    <w:p>
      <w:pPr>
        <w:spacing w:line="360" w:lineRule="auto" w:before="0" w:after="0"/>
        <w:ind w:firstLine="720"/>
        <w:jc w:val="both"/>
      </w:pPr>
      <w:r>
        <w:rPr>
          <w:rFonts w:ascii="Times New Roman" w:hAnsi="Times New Roman" w:cs="Times New Roman"/>
          <w:b w:val="0"/>
          <w:i w:val="0"/>
          <w:color w:val="000000"/>
          <w:sz w:val="24"/>
        </w:rPr>
        <w:t>Hadits ini memiliki implikasi yang sangat langsung terhadap pelayanan publik. Seorang petugas pelayanan publik yang bersikap kasar, angkuh, tidak peduli, atau bahkan mengeksploitasi warga yang datang — ia sedang menanggalkan rahmat Allah dari dirinya. Sebaliknya, pelayanan yang penuh kasih sayang, ramah, cepat, dan tidak diskriminatif adalah wujud *rahmat* (kasih sayang) yang diperintahkan oleh Nabi.</w:t>
      </w:r>
    </w:p>
    <w:p>
      <w:pPr>
        <w:spacing w:line="360" w:lineRule="auto" w:before="0" w:after="0"/>
        <w:ind w:firstLine="720"/>
        <w:jc w:val="both"/>
      </w:pPr>
      <w:r>
        <w:rPr>
          <w:rFonts w:ascii="Times New Roman" w:hAnsi="Times New Roman" w:cs="Times New Roman"/>
          <w:b w:val="0"/>
          <w:i w:val="0"/>
          <w:color w:val="000000"/>
          <w:sz w:val="24"/>
        </w:rPr>
        <w:t>Dalam konteks QS Al-Balad 12-16, hadits ini memperkuat pesan bahwa pelayanan kepada dhuafa bukan sekadar kewajiban administratif, melainkan ekspresi dari *rahmat* sebagai inti ajaran Islam. Birokrasi tanpa rahmat adalah birokrasi yang kering dan tidak manusiawi.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4: Hadits Muslim No. 42 — Kepemimpinan dan Tanggung Jawab</w:t>
      </w:r>
    </w:p>
    <w:p>
      <w:pPr>
        <w:spacing w:line="360" w:lineRule="auto" w:before="0" w:after="0"/>
        <w:ind w:firstLine="720"/>
        <w:jc w:val="both"/>
      </w:pPr>
      <w:r>
        <w:rPr>
          <w:rFonts w:ascii="Times New Roman" w:hAnsi="Times New Roman" w:cs="Times New Roman"/>
          <w:b w:val="0"/>
          <w:i w:val="0"/>
          <w:color w:val="000000"/>
          <w:sz w:val="24"/>
        </w:rPr>
        <w:t>Imam Muslim meriwayatkan dalam Shahih-nya:</w:t>
      </w:r>
    </w:p>
    <w:p>
      <w:pPr>
        <w:spacing w:line="360" w:lineRule="auto" w:before="0" w:after="0"/>
        <w:ind w:firstLine="720"/>
        <w:jc w:val="both"/>
      </w:pPr>
      <w:r>
        <w:rPr>
          <w:rFonts w:ascii="Times New Roman" w:hAnsi="Times New Roman" w:cs="Times New Roman"/>
          <w:b w:val="0"/>
          <w:i/>
          <w:color w:val="000000"/>
          <w:sz w:val="24"/>
        </w:rPr>
        <w:t>كُلُّكُمْ رَاعٍ وَكُلُّكُمْ مَسْئُولٌ عَنْ رَعِيَّتِهِ... وَالرَّجُلُ رَاعٍ عَلَى أَهْلِ بَيْتِهِ وَهُوَ مَسْئُولٌ عَنْهُمْ</w:t>
      </w:r>
    </w:p>
    <w:p>
      <w:pPr>
        <w:spacing w:line="360" w:lineRule="auto" w:before="0" w:after="0"/>
        <w:ind w:firstLine="720"/>
        <w:jc w:val="both"/>
      </w:pPr>
      <w:r>
        <w:rPr>
          <w:rFonts w:ascii="Times New Roman" w:hAnsi="Times New Roman" w:cs="Times New Roman"/>
          <w:b w:val="0"/>
          <w:i w:val="0"/>
          <w:color w:val="000000"/>
          <w:sz w:val="24"/>
        </w:rPr>
        <w:t>*"Setiap kalian adalah pemimpin, dan setiap kalian akan dimintai pertanggungjawaban atas yang dipimpinnya... Dan seorang laki-laki adalah pemimpin atas keluarganya dan ia akan dimintai pertanggungjawaban atas mereka."* (HR. Muslim, no. 42)</w:t>
      </w:r>
    </w:p>
    <w:p>
      <w:pPr>
        <w:spacing w:line="360" w:lineRule="auto" w:before="0" w:after="0"/>
        <w:ind w:firstLine="720"/>
        <w:jc w:val="both"/>
      </w:pPr>
      <w:r>
        <w:rPr>
          <w:rFonts w:ascii="Times New Roman" w:hAnsi="Times New Roman" w:cs="Times New Roman"/>
          <w:b w:val="0"/>
          <w:i w:val="0"/>
          <w:color w:val="000000"/>
          <w:sz w:val="24"/>
        </w:rPr>
        <w:t>Hadits ini menegaskan prinsip akuntabilitas dalam Islam. Setiap pegawai negeri — dari eselon tertinggi hingga petugas loket — adalah pemimpin (*ra'in*) dalam lingkup kerjanya. Seorang direktur jenderal adalah pemimpin atas direktoratnya; seorang kepala dinas adalah pemimpin atas dinasnya; seorang petugas loket adalah pemimpin atas loketnya. Dan setiap dari mereka akan dimintai pertanggungjawaban oleh Allah atas bagaimana mereka memimpin.</w:t>
      </w:r>
    </w:p>
    <w:p>
      <w:pPr>
        <w:spacing w:line="360" w:lineRule="auto" w:before="0" w:after="0"/>
        <w:ind w:firstLine="720"/>
        <w:jc w:val="both"/>
      </w:pPr>
      <w:r>
        <w:rPr>
          <w:rFonts w:ascii="Times New Roman" w:hAnsi="Times New Roman" w:cs="Times New Roman"/>
          <w:b w:val="0"/>
          <w:i w:val="0"/>
          <w:color w:val="000000"/>
          <w:sz w:val="24"/>
        </w:rPr>
        <w:t>Konsekuensinya sangat berat. Ketika seorang petugas loket menerima pungli, ia tidak hanya melanggar aturan negara, tetapi juga mengkhianati amanah kepemimpinan yang kelak akan dihisab di hadapan Allah. Ketika seorang kepala dinas membiarkan bawahannya melakukan diskriminasi, ia turut menanggung dosa kezaliman tersebut. Tanggung jawab dalam Islam bersifat vertikal (kepada Allah) sekaligus horizontal (kepada manusia).</w:t>
      </w:r>
    </w:p>
    <w:p>
      <w:pPr>
        <w:spacing w:line="360" w:lineRule="auto" w:before="0" w:after="0"/>
        <w:ind w:firstLine="720"/>
        <w:jc w:val="both"/>
      </w:pPr>
      <w:r>
        <w:rPr>
          <w:rFonts w:ascii="Times New Roman" w:hAnsi="Times New Roman" w:cs="Times New Roman"/>
          <w:b w:val="0"/>
          <w:i w:val="0"/>
          <w:color w:val="000000"/>
          <w:sz w:val="24"/>
        </w:rPr>
        <w:t>Ini adalah spiritualitas birokrasi yang ingin dibangun: bahwa bekerja di pelayanan publik bukan sekadar pekerjaan duniawi, melainkan ibadah yang sarat tanggung jawab ukhrawi. Jika kesadaran ini tertanam dalam setiap jiwa birokrat, maka pungli, diskriminasi, dan maladministrasi akan terkikis dengan sendirinya.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5: Fiqh al-Awlawiyyat — Prioritas dalam Pelayanan Publik</w:t>
      </w:r>
    </w:p>
    <w:p>
      <w:pPr>
        <w:spacing w:line="360" w:lineRule="auto" w:before="0" w:after="0"/>
        <w:ind w:firstLine="720"/>
        <w:jc w:val="both"/>
      </w:pPr>
      <w:r>
        <w:rPr>
          <w:rFonts w:ascii="Times New Roman" w:hAnsi="Times New Roman" w:cs="Times New Roman"/>
          <w:b w:val="0"/>
          <w:i w:val="0"/>
          <w:color w:val="000000"/>
          <w:sz w:val="24"/>
        </w:rPr>
        <w:t>Fiqh al-Awlawiyyat (fiqh prioritas) adalah salah satu cabang ushul fiqh yang dikembangkan oleh para ulama kontemporer, terutama syeikh Yusuf al-Qaradhawi. Prinsip dasarnya sederhana: ketika dihadapkan pada dua kebaikan, dahulukan yang paling baik; ketika dihadapkan pada dua keburukan, hindari yang paling buruk.</w:t>
      </w:r>
    </w:p>
    <w:p>
      <w:pPr>
        <w:spacing w:line="360" w:lineRule="auto" w:before="0" w:after="0"/>
        <w:ind w:firstLine="720"/>
        <w:jc w:val="both"/>
      </w:pPr>
      <w:r>
        <w:rPr>
          <w:rFonts w:ascii="Times New Roman" w:hAnsi="Times New Roman" w:cs="Times New Roman"/>
          <w:b w:val="0"/>
          <w:i w:val="0"/>
          <w:color w:val="000000"/>
          <w:sz w:val="24"/>
        </w:rPr>
        <w:t>Dalam konteks pelayanan publik, Fiqh al-Awlawiyyat memberikan panduan prioritas yang jelas:</w:t>
      </w:r>
    </w:p>
    <w:p>
      <w:pPr>
        <w:spacing w:line="360" w:lineRule="auto" w:before="240" w:after="120"/>
        <w:jc w:val="center"/>
      </w:pPr>
      <w:r>
        <w:rPr>
          <w:rFonts w:ascii="Times New Roman" w:hAnsi="Times New Roman" w:cs="Times New Roman"/>
          <w:b w:val="0"/>
          <w:i w:val="0"/>
          <w:color w:val="000000"/>
          <w:sz w:val="24"/>
        </w:rPr>
        <w:t>Keadilan &gt; Efisiensi</w:t>
      </w:r>
    </w:p>
    <w:p>
      <w:pPr>
        <w:spacing w:line="360" w:lineRule="auto" w:before="0" w:after="0"/>
        <w:ind w:firstLine="720"/>
        <w:jc w:val="both"/>
      </w:pPr>
      <w:r>
        <w:rPr>
          <w:rFonts w:ascii="Times New Roman" w:hAnsi="Times New Roman" w:cs="Times New Roman"/>
          <w:b w:val="0"/>
          <w:i w:val="0"/>
          <w:color w:val="000000"/>
          <w:sz w:val="24"/>
        </w:rPr>
        <w:t>Sering kali dalam birokrasi, efisiensi dijadikan alasan untuk mengorbankan keadilan. Contoh klasik adalah sistem "loket prioritas" yang pada praktiknya justru meminggirkan warga biasa. Atau sistem antrean online yang menguntungkan mereka yang melek teknologi tetapi merugikan warga lanjut usia.</w:t>
      </w:r>
    </w:p>
    <w:p>
      <w:pPr>
        <w:spacing w:line="360" w:lineRule="auto" w:before="0" w:after="0"/>
        <w:ind w:firstLine="720"/>
        <w:jc w:val="both"/>
      </w:pPr>
      <w:r>
        <w:rPr>
          <w:rFonts w:ascii="Times New Roman" w:hAnsi="Times New Roman" w:cs="Times New Roman"/>
          <w:b w:val="0"/>
          <w:i w:val="0"/>
          <w:color w:val="000000"/>
          <w:sz w:val="24"/>
        </w:rPr>
        <w:t>Menurut Fiqh al-Awlawiyyat, keadilan harus didahulukan di atas efisiensi. Sebagaimana ditegaskan dalam QS Al-Ma'idah 8, keadilan adalah *aqrabu li at-taqwa* (lebih dekat kepada takwa). Efisiensi tanpa keadilan adalah kezaliman yang terbungkus rapi. Lebih baik lambat tetapi adil daripada cepat tetapi diskriminatif. Tentu, idealnya adalah cepat dan adil — dan itulah yang harus diperjuangkan.</w:t>
      </w:r>
    </w:p>
    <w:p>
      <w:pPr>
        <w:spacing w:line="360" w:lineRule="auto" w:before="240" w:after="120"/>
        <w:jc w:val="center"/>
      </w:pPr>
      <w:r>
        <w:rPr>
          <w:rFonts w:ascii="Times New Roman" w:hAnsi="Times New Roman" w:cs="Times New Roman"/>
          <w:b w:val="0"/>
          <w:i w:val="0"/>
          <w:color w:val="000000"/>
          <w:sz w:val="24"/>
        </w:rPr>
        <w:t>Pelayanan Dhuafa &gt; Pelayanan VIP</w:t>
      </w:r>
    </w:p>
    <w:p>
      <w:pPr>
        <w:spacing w:line="360" w:lineRule="auto" w:before="0" w:after="0"/>
        <w:ind w:firstLine="720"/>
        <w:jc w:val="both"/>
      </w:pPr>
      <w:r>
        <w:rPr>
          <w:rFonts w:ascii="Times New Roman" w:hAnsi="Times New Roman" w:cs="Times New Roman"/>
          <w:b w:val="0"/>
          <w:i w:val="0"/>
          <w:color w:val="000000"/>
          <w:sz w:val="24"/>
        </w:rPr>
        <w:t>Fenomena "ruang VIP" di kantor pelayanan publik adalah ironi yang menyakitkan. Warga biasa harus antre berjam-jam, sementara pejabat dan orang kaya dilayani dengan istimewa. QS Al-Balad 12-16 membalik prioritas ini: justru *al-miskin dhu matrabah* — orang miskin yang sangat fakir — yang harus didahulukan.</w:t>
      </w:r>
    </w:p>
    <w:p>
      <w:pPr>
        <w:spacing w:line="360" w:lineRule="auto" w:before="0" w:after="0"/>
        <w:ind w:firstLine="720"/>
        <w:jc w:val="both"/>
      </w:pPr>
      <w:r>
        <w:rPr>
          <w:rFonts w:ascii="Times New Roman" w:hAnsi="Times New Roman" w:cs="Times New Roman"/>
          <w:b w:val="0"/>
          <w:i w:val="0"/>
          <w:color w:val="000000"/>
          <w:sz w:val="24"/>
        </w:rPr>
        <w:t>Ini bukan berarti pejabat tidak berhak mendapat layanan baik. Tetapi dalam kerangka Fiqh al-Awlawiyyat, ketika sumber daya terbatas — dan selalu terbatas — prioritas diberikan kepada mereka yang paling membutuhkan. Rasulullah SAW bersabda:</w:t>
      </w:r>
    </w:p>
    <w:p>
      <w:pPr>
        <w:spacing w:line="360" w:lineRule="auto" w:before="0" w:after="0"/>
        <w:ind w:firstLine="720"/>
        <w:jc w:val="both"/>
      </w:pPr>
      <w:r>
        <w:rPr>
          <w:rFonts w:ascii="Times New Roman" w:hAnsi="Times New Roman" w:cs="Times New Roman"/>
          <w:b w:val="0"/>
          <w:i/>
          <w:color w:val="000000"/>
          <w:sz w:val="24"/>
        </w:rPr>
        <w:t>اَللّهُمَّ أَحْيِنِي مِسْكِينًا، وَأَمِتْنِي مِسْكِينًا، وَاحْشُرْنِي فِي زُمْرَةِ الْمَسَاكِينِ</w:t>
      </w:r>
    </w:p>
    <w:p>
      <w:pPr>
        <w:spacing w:line="360" w:lineRule="auto" w:before="0" w:after="0"/>
        <w:ind w:firstLine="720"/>
        <w:jc w:val="both"/>
      </w:pPr>
      <w:r>
        <w:rPr>
          <w:rFonts w:ascii="Times New Roman" w:hAnsi="Times New Roman" w:cs="Times New Roman"/>
          <w:b w:val="0"/>
          <w:i w:val="0"/>
          <w:color w:val="000000"/>
          <w:sz w:val="24"/>
        </w:rPr>
        <w:t>*"Ya Allah, hidupkanlah aku sebagai orang miskin, matikanlah aku sebagai orang miskin, dan bangkitkanlah aku di golongan orang-orang miskin."* (HR. Ibnu Majah, no. 4126)</w:t>
      </w:r>
    </w:p>
    <w:p>
      <w:pPr>
        <w:spacing w:line="360" w:lineRule="auto" w:before="0" w:after="0"/>
        <w:ind w:firstLine="720"/>
        <w:jc w:val="both"/>
      </w:pPr>
      <w:r>
        <w:rPr>
          <w:rFonts w:ascii="Times New Roman" w:hAnsi="Times New Roman" w:cs="Times New Roman"/>
          <w:b w:val="0"/>
          <w:i w:val="0"/>
          <w:color w:val="000000"/>
          <w:sz w:val="24"/>
        </w:rPr>
        <w:t>Jika Rasulullah sendiri memilih untuk hidup dalam kelompok yang dilayani, bagaimana mungkin pelayan publik justru memprioritaskan kelompok yang mapan?</w:t>
      </w:r>
    </w:p>
    <w:p>
      <w:pPr>
        <w:spacing w:line="360" w:lineRule="auto" w:before="240" w:after="120"/>
        <w:jc w:val="center"/>
      </w:pPr>
      <w:r>
        <w:rPr>
          <w:rFonts w:ascii="Times New Roman" w:hAnsi="Times New Roman" w:cs="Times New Roman"/>
          <w:b w:val="0"/>
          <w:i w:val="0"/>
          <w:color w:val="000000"/>
          <w:sz w:val="24"/>
        </w:rPr>
        <w:t>Transparansi &gt; Kerahasiaan</w:t>
      </w:r>
    </w:p>
    <w:p>
      <w:pPr>
        <w:spacing w:line="360" w:lineRule="auto" w:before="0" w:after="0"/>
        <w:ind w:firstLine="720"/>
        <w:jc w:val="both"/>
      </w:pPr>
      <w:r>
        <w:rPr>
          <w:rFonts w:ascii="Times New Roman" w:hAnsi="Times New Roman" w:cs="Times New Roman"/>
          <w:b w:val="0"/>
          <w:i w:val="0"/>
          <w:color w:val="000000"/>
          <w:sz w:val="24"/>
        </w:rPr>
        <w:t>Dalam Fiqh al-Awlawiyyat, transparansi didahulukan atas kerahasiaan dalam urusan pelayanan publik. Informasi tentang persyaratan, prosedur, biaya, dan waktu penyelesaian harus dibuka seluas-luasnya. Kerahasiaan hanya dibenarkan untuk hal-hal yang memang bersifat pribadi dan sensitif. Ketiadaan transparansi adalah ladang subur bagi pungli dan diskriminasi.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6: Zakat sebagai Instrumen Jaminan Sosial</w:t>
      </w:r>
    </w:p>
    <w:p>
      <w:pPr>
        <w:spacing w:line="360" w:lineRule="auto" w:before="0" w:after="0"/>
        <w:ind w:firstLine="720"/>
        <w:jc w:val="both"/>
      </w:pPr>
      <w:r>
        <w:rPr>
          <w:rFonts w:ascii="Times New Roman" w:hAnsi="Times New Roman" w:cs="Times New Roman"/>
          <w:b w:val="0"/>
          <w:i w:val="0"/>
          <w:color w:val="000000"/>
          <w:sz w:val="24"/>
        </w:rPr>
        <w:t>Salah satu dimensi keadilan dalam Islam yang sering dilupakan dalam diskursus birokrasi adalah zakat. Zakat bukan sekadar ibadah individual, melainkan sistem jaminan sosial yang terstruktur. Dalam surat At-Taubah ayat 60, Allah menetapkan delapan golongan penerima zakat (*ashnaf*), yang dimulai dari *fuqara* dan *masakin* (fakir dan miskin).</w:t>
      </w:r>
    </w:p>
    <w:p>
      <w:pPr>
        <w:spacing w:line="360" w:lineRule="auto" w:before="0" w:after="0"/>
        <w:ind w:firstLine="720"/>
        <w:jc w:val="both"/>
      </w:pPr>
      <w:r>
        <w:rPr>
          <w:rFonts w:ascii="Times New Roman" w:hAnsi="Times New Roman" w:cs="Times New Roman"/>
          <w:b w:val="0"/>
          <w:i w:val="0"/>
          <w:color w:val="000000"/>
          <w:sz w:val="24"/>
        </w:rPr>
        <w:t>Relevansi zakat dengan birokrasi publik terletak pada dua hal:</w:t>
      </w:r>
    </w:p>
    <w:p>
      <w:pPr>
        <w:spacing w:line="360" w:lineRule="auto" w:before="0" w:after="0"/>
        <w:ind w:firstLine="720"/>
        <w:jc w:val="both"/>
      </w:pPr>
      <w:r>
        <w:rPr>
          <w:rFonts w:ascii="Times New Roman" w:hAnsi="Times New Roman" w:cs="Times New Roman"/>
          <w:b w:val="0"/>
          <w:i w:val="0"/>
          <w:color w:val="000000"/>
          <w:sz w:val="24"/>
        </w:rPr>
        <w:t>**Pertama**, zakat adalah mekanisme redistribusi kekayaan yang memastikan bahwa warga dhuafa tetap dapat mengakses kebutuhan dasar mereka — termasuk akses terhadap layanan publik. Negara yang mengelola zakat dengan baik melalui Badan Amil Zakat Nasional (BAZNAS) dan Lembaga Amil Zakat (LAZ) bisa menggunakan dana zakat untuk membiayai layanan publik bagi warga miskin: beasiswa, bantuan biaya administrasi, transportasi layanan, dan pendampingan.</w:t>
      </w:r>
    </w:p>
    <w:p>
      <w:pPr>
        <w:spacing w:line="360" w:lineRule="auto" w:before="0" w:after="0"/>
        <w:ind w:firstLine="720"/>
        <w:jc w:val="both"/>
      </w:pPr>
      <w:r>
        <w:rPr>
          <w:rFonts w:ascii="Times New Roman" w:hAnsi="Times New Roman" w:cs="Times New Roman"/>
          <w:b w:val="0"/>
          <w:i w:val="0"/>
          <w:color w:val="000000"/>
          <w:sz w:val="24"/>
        </w:rPr>
        <w:t>**Kedua**, semangat zakat menegaskan bahwa negara memiliki tanggung jawab moral untuk menjamin kesejahteraan warga yang paling rentan. Ini sejalan dengan amanat QS Al-Balad 12-16. Pelayanan publik yang berkeadilan tidak bisa dilepaskan dari sistem jaminan sosial yang kuat.</w:t>
      </w:r>
    </w:p>
    <w:p>
      <w:pPr>
        <w:spacing w:line="360" w:lineRule="auto" w:before="0" w:after="0"/>
        <w:ind w:firstLine="720"/>
        <w:jc w:val="both"/>
      </w:pPr>
      <w:r>
        <w:rPr>
          <w:rFonts w:ascii="Times New Roman" w:hAnsi="Times New Roman" w:cs="Times New Roman"/>
          <w:b w:val="0"/>
          <w:i w:val="0"/>
          <w:color w:val="000000"/>
          <w:sz w:val="24"/>
        </w:rPr>
        <w:t>Dalam konteks Indonesia, pengelolaan zakat yang profesional dan transparan bisa menjadi salah satu pilar reformasi birokrasi. Ketika dana zakat dikelola dengan baik, ia mengurangi beban APBN dan memungkinkan pemerintah untuk memfokuskan anggaran pada peningkatan kualitas layanan publik bagi semua warga.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7: Relevansi bagi Pemerintahan Prabowo</w:t>
      </w:r>
    </w:p>
    <w:p>
      <w:pPr>
        <w:spacing w:line="360" w:lineRule="auto" w:before="0" w:after="0"/>
        <w:ind w:firstLine="720"/>
        <w:jc w:val="both"/>
      </w:pPr>
      <w:r>
        <w:rPr>
          <w:rFonts w:ascii="Times New Roman" w:hAnsi="Times New Roman" w:cs="Times New Roman"/>
          <w:b w:val="0"/>
          <w:i w:val="0"/>
          <w:color w:val="000000"/>
          <w:sz w:val="24"/>
        </w:rPr>
        <w:t>Presiden Prabowo Subianto, sejak kampanye hingga masa pemerintahannya, telah menempatkan reformasi birokrasi sebagai salah satu prioritas utama. Beberapa kebijakan yang relevan dengan semangat keadilan pelayanan publik antara lain:</w:t>
      </w:r>
    </w:p>
    <w:p>
      <w:pPr>
        <w:spacing w:line="360" w:lineRule="auto" w:before="240" w:after="120"/>
        <w:jc w:val="center"/>
      </w:pPr>
      <w:r>
        <w:rPr>
          <w:rFonts w:ascii="Times New Roman" w:hAnsi="Times New Roman" w:cs="Times New Roman"/>
          <w:b w:val="0"/>
          <w:i w:val="0"/>
          <w:color w:val="000000"/>
          <w:sz w:val="24"/>
        </w:rPr>
        <w:t>Reformasi Birokrasi dan Penyederhanaan Eselon</w:t>
      </w:r>
    </w:p>
    <w:p>
      <w:pPr>
        <w:spacing w:line="360" w:lineRule="auto" w:before="0" w:after="0"/>
        <w:ind w:firstLine="720"/>
        <w:jc w:val="both"/>
      </w:pPr>
      <w:r>
        <w:rPr>
          <w:rFonts w:ascii="Times New Roman" w:hAnsi="Times New Roman" w:cs="Times New Roman"/>
          <w:b w:val="0"/>
          <w:i w:val="0"/>
          <w:color w:val="000000"/>
          <w:sz w:val="24"/>
        </w:rPr>
        <w:t>Salah satu warisan reformasi birokrasi era Presiden Joko Widodo yang dilanjutkan oleh Presiden Prabowo adalah penyederhanaan eselon. Kebijakan ini menghilangkan eselon III dan IV, mengubahnya menjadi jabatan fungsional. Tujuannya jelas: mengurangi hierarki yang panjang sehingga pelayanan publik menjadi lebih cepat, lebih sederhana, dan tidak berbelit-belit.</w:t>
      </w:r>
    </w:p>
    <w:p>
      <w:pPr>
        <w:spacing w:line="360" w:lineRule="auto" w:before="0" w:after="0"/>
        <w:ind w:firstLine="720"/>
        <w:jc w:val="both"/>
      </w:pPr>
      <w:r>
        <w:rPr>
          <w:rFonts w:ascii="Times New Roman" w:hAnsi="Times New Roman" w:cs="Times New Roman"/>
          <w:b w:val="0"/>
          <w:i w:val="0"/>
          <w:color w:val="000000"/>
          <w:sz w:val="24"/>
        </w:rPr>
        <w:t>Namun, penyederhanaan eselon harus diimbangi dengan penguatan integritas. Birokrasi yang ramping tetapi korup sama buruknya dengan birokrasi yang gemuk tetapi lamban. Di sinilah pesan QS Al-Ma'idah 8 menjadi relevan: integritas (keadilan) adalah fondasi yang tidak bisa ditawar.</w:t>
      </w:r>
    </w:p>
    <w:p>
      <w:pPr>
        <w:spacing w:line="360" w:lineRule="auto" w:before="240" w:after="120"/>
        <w:jc w:val="center"/>
      </w:pPr>
      <w:r>
        <w:rPr>
          <w:rFonts w:ascii="Times New Roman" w:hAnsi="Times New Roman" w:cs="Times New Roman"/>
          <w:b w:val="0"/>
          <w:i w:val="0"/>
          <w:color w:val="000000"/>
          <w:sz w:val="24"/>
        </w:rPr>
        <w:t>Sistem Pemerintahan Berbasis Elektronik (SPBE)</w:t>
      </w:r>
    </w:p>
    <w:p>
      <w:pPr>
        <w:spacing w:line="360" w:lineRule="auto" w:before="0" w:after="0"/>
        <w:ind w:firstLine="720"/>
        <w:jc w:val="both"/>
      </w:pPr>
      <w:r>
        <w:rPr>
          <w:rFonts w:ascii="Times New Roman" w:hAnsi="Times New Roman" w:cs="Times New Roman"/>
          <w:b w:val="0"/>
          <w:i w:val="0"/>
          <w:color w:val="000000"/>
          <w:sz w:val="24"/>
        </w:rPr>
        <w:t>Pemerintahan Prabowo juga mendorong digitalisasi layanan publik melalui SPBE. e-KTP, KK, akta kelahiran, izin usaha, dan berbagai dokumen lainnya kini bisa diurus secara daring. Ini adalah langkah maju yang signifikan dalam mewujudkan keadilan: layanan digital mengurangi kontak fisik antara petugas dan pemohon, sehingga meminimalisir peluang pungli dan diskriminasi.</w:t>
      </w:r>
    </w:p>
    <w:p>
      <w:pPr>
        <w:spacing w:line="360" w:lineRule="auto" w:before="0" w:after="0"/>
        <w:ind w:firstLine="720"/>
        <w:jc w:val="both"/>
      </w:pPr>
      <w:r>
        <w:rPr>
          <w:rFonts w:ascii="Times New Roman" w:hAnsi="Times New Roman" w:cs="Times New Roman"/>
          <w:b w:val="0"/>
          <w:i w:val="0"/>
          <w:color w:val="000000"/>
          <w:sz w:val="24"/>
        </w:rPr>
        <w:t>Namun, sebagaimana disebut sebelumnya, digitalisasi juga membawa risiko *digital divide*. Warga lanjut usia, penyandang disabilitas, dan masyarakat di daerah 3T membutuhkan pendampingan khusus. Di sinilah makna QS Al-Balad 12-16 — *al-miskin dhu matrabah* — harus menjadi kompas kebijakan: jangan sampai digitalisasi justru meminggirkan mereka yang paling membutuhkan.</w:t>
      </w:r>
    </w:p>
    <w:p>
      <w:pPr>
        <w:spacing w:line="360" w:lineRule="auto" w:before="240" w:after="120"/>
        <w:jc w:val="center"/>
      </w:pPr>
      <w:r>
        <w:rPr>
          <w:rFonts w:ascii="Times New Roman" w:hAnsi="Times New Roman" w:cs="Times New Roman"/>
          <w:b w:val="0"/>
          <w:i w:val="0"/>
          <w:color w:val="000000"/>
          <w:sz w:val="24"/>
        </w:rPr>
        <w:t>Gerakan Zakat Nasional</w:t>
      </w:r>
    </w:p>
    <w:p>
      <w:pPr>
        <w:spacing w:line="360" w:lineRule="auto" w:before="0" w:after="0"/>
        <w:ind w:firstLine="720"/>
        <w:jc w:val="both"/>
      </w:pPr>
      <w:r>
        <w:rPr>
          <w:rFonts w:ascii="Times New Roman" w:hAnsi="Times New Roman" w:cs="Times New Roman"/>
          <w:b w:val="0"/>
          <w:i w:val="0"/>
          <w:color w:val="000000"/>
          <w:sz w:val="24"/>
        </w:rPr>
        <w:t>Di bawah pemerintahan Prabowo, Gerakan Zakat Nasional terus diperkuat. Targetnya adalah meningkatkan rasio penghimpunan zakat dari yang saat ini masih di bawah 5 persen dari potensi yang ada. Jika potensi zakat nasional yang mencapai Rp327 triliun per tahun dapat dioptimalkan, dana ini bisa menjadi instrumen luar biasa untuk membiayai program-program jaminan sosial dan subsidi pelayanan publik bagi warga miskin.</w:t>
      </w:r>
    </w:p>
    <w:p>
      <w:pPr>
        <w:spacing w:line="360" w:lineRule="auto" w:before="0" w:after="0"/>
        <w:ind w:firstLine="720"/>
        <w:jc w:val="both"/>
      </w:pPr>
      <w:r>
        <w:rPr>
          <w:rFonts w:ascii="Times New Roman" w:hAnsi="Times New Roman" w:cs="Times New Roman"/>
          <w:b w:val="0"/>
          <w:i w:val="0"/>
          <w:color w:val="000000"/>
          <w:sz w:val="24"/>
        </w:rPr>
        <w:t>Integrasi antara zakat dan program perlindungan sosial pemerintah (PKH, BPJS Kesehatan PBI, KIP Kuliah, dan lain-lain) bisa menciptakan jaring pengaman yang komprehensif bagi warga dhuafa. Ini adalah implementasi nyata dari QS Al-Balad 12-16 dalam kebijakan publik.</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8: Rekomendasi — Menuju Birokrasi yang Berkeadilan</w:t>
      </w:r>
    </w:p>
    <w:p>
      <w:pPr>
        <w:spacing w:line="360" w:lineRule="auto" w:before="0" w:after="0"/>
        <w:ind w:firstLine="720"/>
        <w:jc w:val="both"/>
      </w:pPr>
      <w:r>
        <w:rPr>
          <w:rFonts w:ascii="Times New Roman" w:hAnsi="Times New Roman" w:cs="Times New Roman"/>
          <w:b w:val="0"/>
          <w:i w:val="0"/>
          <w:color w:val="000000"/>
          <w:sz w:val="24"/>
        </w:rPr>
        <w:t>Berdasarkan uraian di atas, berikut adalah beberapa rekomendasi konkret untuk mewujudkan birokrasi yang berkeadilan:</w:t>
      </w:r>
    </w:p>
    <w:p>
      <w:pPr>
        <w:spacing w:line="360" w:lineRule="auto" w:before="240" w:after="120"/>
        <w:jc w:val="center"/>
      </w:pPr>
      <w:r>
        <w:rPr>
          <w:rFonts w:ascii="Times New Roman" w:hAnsi="Times New Roman" w:cs="Times New Roman"/>
          <w:b w:val="0"/>
          <w:i w:val="0"/>
          <w:color w:val="000000"/>
          <w:sz w:val="24"/>
        </w:rPr>
        <w:t>1. Penguatan Standar Pelayanan Minimal (SPM) dengan Indikator Keadilan</w:t>
      </w:r>
    </w:p>
    <w:p>
      <w:pPr>
        <w:spacing w:line="360" w:lineRule="auto" w:before="0" w:after="0"/>
        <w:ind w:firstLine="720"/>
        <w:jc w:val="both"/>
      </w:pPr>
      <w:r>
        <w:rPr>
          <w:rFonts w:ascii="Times New Roman" w:hAnsi="Times New Roman" w:cs="Times New Roman"/>
          <w:b w:val="0"/>
          <w:i w:val="0"/>
          <w:color w:val="000000"/>
          <w:sz w:val="24"/>
        </w:rPr>
        <w:t>Setiap unit pelayanan publik harus memiliki SPM yang tidak hanya mengukur kecepatan dan kualitas, tetapi juga kesetaraan perlakuan. Indikator seperti "rasio waktu tunggu antara warga biasa dan warga VIP" atau "angka keluhan diskriminasi per bulan" harus menjadi bagian dari evaluasi kinerja.</w:t>
      </w:r>
    </w:p>
    <w:p>
      <w:pPr>
        <w:spacing w:line="360" w:lineRule="auto" w:before="240" w:after="120"/>
        <w:jc w:val="center"/>
      </w:pPr>
      <w:r>
        <w:rPr>
          <w:rFonts w:ascii="Times New Roman" w:hAnsi="Times New Roman" w:cs="Times New Roman"/>
          <w:b w:val="0"/>
          <w:i w:val="0"/>
          <w:color w:val="000000"/>
          <w:sz w:val="24"/>
        </w:rPr>
        <w:t>2. Pembentukan Ombudsman Syariah</w:t>
      </w:r>
    </w:p>
    <w:p>
      <w:pPr>
        <w:spacing w:line="360" w:lineRule="auto" w:before="0" w:after="0"/>
        <w:ind w:firstLine="720"/>
        <w:jc w:val="both"/>
      </w:pPr>
      <w:r>
        <w:rPr>
          <w:rFonts w:ascii="Times New Roman" w:hAnsi="Times New Roman" w:cs="Times New Roman"/>
          <w:b w:val="0"/>
          <w:i w:val="0"/>
          <w:color w:val="000000"/>
          <w:sz w:val="24"/>
        </w:rPr>
        <w:t>Indonesia sudah memiliki Ombudsman RI, tetapi pengaduan berbasis pelanggaran nilai-nilai keadilan Islam bisa diperkuat dengan semacam "satuan tugas kepatuhan syariah" di lembaga pelayanan publik — bukan dalam arti formalitas kelembagaan, melainkan sebagai kerangka etik yang mengawal terwujudnya keadilan dan rahmat dalam pelayanan.</w:t>
      </w:r>
    </w:p>
    <w:p>
      <w:pPr>
        <w:spacing w:line="360" w:lineRule="auto" w:before="240" w:after="120"/>
        <w:jc w:val="center"/>
      </w:pPr>
      <w:r>
        <w:rPr>
          <w:rFonts w:ascii="Times New Roman" w:hAnsi="Times New Roman" w:cs="Times New Roman"/>
          <w:b w:val="0"/>
          <w:i w:val="0"/>
          <w:color w:val="000000"/>
          <w:sz w:val="24"/>
        </w:rPr>
        <w:t>3. Integrasi Pendidikan Anti-Diskriminasi dalam Diklat PNS</w:t>
      </w:r>
    </w:p>
    <w:p>
      <w:pPr>
        <w:spacing w:line="360" w:lineRule="auto" w:before="0" w:after="0"/>
        <w:ind w:firstLine="720"/>
        <w:jc w:val="both"/>
      </w:pPr>
      <w:r>
        <w:rPr>
          <w:rFonts w:ascii="Times New Roman" w:hAnsi="Times New Roman" w:cs="Times New Roman"/>
          <w:b w:val="0"/>
          <w:i w:val="0"/>
          <w:color w:val="000000"/>
          <w:sz w:val="24"/>
        </w:rPr>
        <w:t>Materi tentang keadilan dalam Islam — khususnya tafsir QS Al-Ma'idah 8 dan QS Al-Balad 12-16 — harus menjadi bagian dari kurikulum pendidikan dan pelatihan Aparatur Sipil Negara (ASN). Bukan sekadar teori, tetapi juga simulasi dan studi kasus yang membangun kesadaran etis.</w:t>
      </w:r>
    </w:p>
    <w:p>
      <w:pPr>
        <w:spacing w:line="360" w:lineRule="auto" w:before="240" w:after="120"/>
        <w:jc w:val="center"/>
      </w:pPr>
      <w:r>
        <w:rPr>
          <w:rFonts w:ascii="Times New Roman" w:hAnsi="Times New Roman" w:cs="Times New Roman"/>
          <w:b w:val="0"/>
          <w:i w:val="0"/>
          <w:color w:val="000000"/>
          <w:sz w:val="24"/>
        </w:rPr>
        <w:t>4. Optimalisasi Zakat untuk Subsidi Layanan Publik</w:t>
      </w:r>
    </w:p>
    <w:p>
      <w:pPr>
        <w:spacing w:line="360" w:lineRule="auto" w:before="0" w:after="0"/>
        <w:ind w:firstLine="720"/>
        <w:jc w:val="both"/>
      </w:pPr>
      <w:r>
        <w:rPr>
          <w:rFonts w:ascii="Times New Roman" w:hAnsi="Times New Roman" w:cs="Times New Roman"/>
          <w:b w:val="0"/>
          <w:i w:val="0"/>
          <w:color w:val="000000"/>
          <w:sz w:val="24"/>
        </w:rPr>
        <w:t>BAZNAS dan LAZ dapat bekerja sama dengan kementerian/lembaga untuk membiayai "layanan gratis bagi dhuafa" di berbagai sektor: pengurusan dokumen kependudukan, bantuan hukum, transportasi ke fasilitas kesehatan, dan sebagainya.</w:t>
      </w:r>
    </w:p>
    <w:p>
      <w:pPr>
        <w:spacing w:line="360" w:lineRule="auto" w:before="240" w:after="120"/>
        <w:jc w:val="center"/>
      </w:pPr>
      <w:r>
        <w:rPr>
          <w:rFonts w:ascii="Times New Roman" w:hAnsi="Times New Roman" w:cs="Times New Roman"/>
          <w:b w:val="0"/>
          <w:i w:val="0"/>
          <w:color w:val="000000"/>
          <w:sz w:val="24"/>
        </w:rPr>
        <w:t>5. Digitalisasi Inklusif</w:t>
      </w:r>
    </w:p>
    <w:p>
      <w:pPr>
        <w:spacing w:line="360" w:lineRule="auto" w:before="0" w:after="0"/>
        <w:ind w:firstLine="720"/>
        <w:jc w:val="both"/>
      </w:pPr>
      <w:r>
        <w:rPr>
          <w:rFonts w:ascii="Times New Roman" w:hAnsi="Times New Roman" w:cs="Times New Roman"/>
          <w:b w:val="0"/>
          <w:i w:val="0"/>
          <w:color w:val="000000"/>
          <w:sz w:val="24"/>
        </w:rPr>
        <w:t>Pemerintah harus memastikan bahwa setiap pengembangan SPBE disertai dengan program literasi digital dan pendampingan tatap muka bagi kelompok rentan. Jangan sampai digitalisasi menjadi alasan baru untuk menyingkirkan mereka yang tidak mampu mengikutinya.</w:t>
      </w:r>
    </w:p>
    <w:p>
      <w:pPr>
        <w:spacing w:line="360" w:lineRule="auto" w:before="240" w:after="120"/>
        <w:jc w:val="center"/>
      </w:pPr>
      <w:r>
        <w:rPr>
          <w:rFonts w:ascii="Times New Roman" w:hAnsi="Times New Roman" w:cs="Times New Roman"/>
          <w:b w:val="0"/>
          <w:i w:val="0"/>
          <w:color w:val="000000"/>
          <w:sz w:val="24"/>
        </w:rPr>
        <w:t>6. Sanksi Berat bagi Pelaku Diskriminasi dan Pungli</w:t>
      </w:r>
    </w:p>
    <w:p>
      <w:pPr>
        <w:spacing w:line="360" w:lineRule="auto" w:before="0" w:after="0"/>
        <w:ind w:firstLine="720"/>
        <w:jc w:val="both"/>
      </w:pPr>
      <w:r>
        <w:rPr>
          <w:rFonts w:ascii="Times New Roman" w:hAnsi="Times New Roman" w:cs="Times New Roman"/>
          <w:b w:val="0"/>
          <w:i w:val="0"/>
          <w:color w:val="000000"/>
          <w:sz w:val="24"/>
        </w:rPr>
        <w:t>Rasulullah SAW bersabda: *"Setiap kalian adalah pemimpin dan akan dimintai pertanggungjawaban."* Sanksi hukum yang tegas, transparan, dan konsisten — baik secara administratif, pidana, maupun sosial — harus diterapkan bagi setiap oknum yang terbukti melakukan diskriminasi dan pungli.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Epilog: Kembali pada Fitrah Melayani</w:t>
      </w:r>
    </w:p>
    <w:p>
      <w:pPr>
        <w:spacing w:line="360" w:lineRule="auto" w:before="0" w:after="0"/>
        <w:ind w:firstLine="720"/>
        <w:jc w:val="both"/>
      </w:pPr>
      <w:r>
        <w:rPr>
          <w:rFonts w:ascii="Times New Roman" w:hAnsi="Times New Roman" w:cs="Times New Roman"/>
          <w:b w:val="0"/>
          <w:i w:val="0"/>
          <w:color w:val="000000"/>
          <w:sz w:val="24"/>
        </w:rPr>
        <w:t>Pesan terdalam dari QS Al-Ma'idah 8 dan QS Al-Balad 12-16 adalah tentang *fitrah* pelayanan: bahwa setiap manusia diciptakan untuk saling membantu, bahwa kekuasaan adalah amanah, dan bahwa keadilan adalah jalan menuju ketakwaan.</w:t>
      </w:r>
    </w:p>
    <w:p>
      <w:pPr>
        <w:spacing w:line="360" w:lineRule="auto" w:before="0" w:after="0"/>
        <w:ind w:firstLine="720"/>
        <w:jc w:val="both"/>
      </w:pPr>
      <w:r>
        <w:rPr>
          <w:rFonts w:ascii="Times New Roman" w:hAnsi="Times New Roman" w:cs="Times New Roman"/>
          <w:b w:val="0"/>
          <w:i w:val="0"/>
          <w:color w:val="000000"/>
          <w:sz w:val="24"/>
        </w:rPr>
        <w:t>Birokrasi yang bersih bukanlah sekadar birokrasi tanpa korupsi — ia adalah birokrasi yang hadir untuk semua, yang tangannya terbuka lebar bagi mereka yang paling lemah, yang hatinya dipenuhi rahmat bagi setiap warga yang datang. Birokrasi yang bersih adalah birokrasi yang mengingat bahwa setiap orang yang datang ke loket pelayanan adalah manusia yang memiliki martabat (*karamah insaniyyah*), yang harus dilayani dengan adil dan penuh kasih sayang.</w:t>
      </w:r>
    </w:p>
    <w:p>
      <w:pPr>
        <w:spacing w:line="360" w:lineRule="auto" w:before="0" w:after="0"/>
        <w:ind w:firstLine="720"/>
        <w:jc w:val="both"/>
      </w:pPr>
      <w:r>
        <w:rPr>
          <w:rFonts w:ascii="Times New Roman" w:hAnsi="Times New Roman" w:cs="Times New Roman"/>
          <w:b w:val="0"/>
          <w:i w:val="0"/>
          <w:color w:val="000000"/>
          <w:sz w:val="24"/>
        </w:rPr>
        <w:t>Wallahu a'lam bish-shawab.</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**Daftar Pustaka**</w:t>
      </w:r>
    </w:p>
    <w:p>
      <w:pPr>
        <w:spacing w:line="360" w:lineRule="auto" w:before="0" w:after="0"/>
        <w:ind w:firstLine="0"/>
        <w:jc w:val="both"/>
      </w:pPr>
      <w:r>
        <w:rPr>
          <w:rFonts w:ascii="Times New Roman" w:hAnsi="Times New Roman" w:cs="Times New Roman"/>
          <w:b w:val="0"/>
          <w:i w:val="0"/>
          <w:color w:val="000000"/>
          <w:sz w:val="24"/>
        </w:rPr>
        <w:t>1. Al-Qur'an al-Karim</w:t>
      </w:r>
    </w:p>
    <w:p>
      <w:pPr>
        <w:spacing w:line="360" w:lineRule="auto" w:before="0" w:after="0"/>
        <w:ind w:firstLine="0"/>
        <w:jc w:val="both"/>
      </w:pPr>
      <w:r>
        <w:rPr>
          <w:rFonts w:ascii="Times New Roman" w:hAnsi="Times New Roman" w:cs="Times New Roman"/>
          <w:b w:val="0"/>
          <w:i w:val="0"/>
          <w:color w:val="000000"/>
          <w:sz w:val="24"/>
        </w:rPr>
        <w:t>2. Ath-Thabari, Abu Ja'far Muhammad bin Jarir. *Jami' al-Bayan 'an Ta'wil Ay al-Qur'an*</w:t>
      </w:r>
    </w:p>
    <w:p>
      <w:pPr>
        <w:spacing w:line="360" w:lineRule="auto" w:before="0" w:after="0"/>
        <w:ind w:firstLine="0"/>
        <w:jc w:val="both"/>
      </w:pPr>
      <w:r>
        <w:rPr>
          <w:rFonts w:ascii="Times New Roman" w:hAnsi="Times New Roman" w:cs="Times New Roman"/>
          <w:b w:val="0"/>
          <w:i w:val="0"/>
          <w:color w:val="000000"/>
          <w:sz w:val="24"/>
        </w:rPr>
        <w:t>3. Hamka. *Tafsir Al-Azhar*</w:t>
      </w:r>
    </w:p>
    <w:p>
      <w:pPr>
        <w:spacing w:line="360" w:lineRule="auto" w:before="0" w:after="0"/>
        <w:ind w:firstLine="0"/>
        <w:jc w:val="both"/>
      </w:pPr>
      <w:r>
        <w:rPr>
          <w:rFonts w:ascii="Times New Roman" w:hAnsi="Times New Roman" w:cs="Times New Roman"/>
          <w:b w:val="0"/>
          <w:i w:val="0"/>
          <w:color w:val="000000"/>
          <w:sz w:val="24"/>
        </w:rPr>
        <w:t>4. Asy-Sya'rawi, Muhammad Mutawalli. *Tafsir asy-Sya'rawi*</w:t>
      </w:r>
    </w:p>
    <w:p>
      <w:pPr>
        <w:spacing w:line="360" w:lineRule="auto" w:before="0" w:after="0"/>
        <w:ind w:firstLine="0"/>
        <w:jc w:val="both"/>
      </w:pPr>
      <w:r>
        <w:rPr>
          <w:rFonts w:ascii="Times New Roman" w:hAnsi="Times New Roman" w:cs="Times New Roman"/>
          <w:b w:val="0"/>
          <w:i w:val="0"/>
          <w:color w:val="000000"/>
          <w:sz w:val="24"/>
        </w:rPr>
        <w:t>5. Al-Bukhari, Muhammad bin Isma'il. *Shahih al-Bukhari*</w:t>
      </w:r>
    </w:p>
    <w:p>
      <w:pPr>
        <w:spacing w:line="360" w:lineRule="auto" w:before="0" w:after="0"/>
        <w:ind w:firstLine="0"/>
        <w:jc w:val="both"/>
      </w:pPr>
      <w:r>
        <w:rPr>
          <w:rFonts w:ascii="Times New Roman" w:hAnsi="Times New Roman" w:cs="Times New Roman"/>
          <w:b w:val="0"/>
          <w:i w:val="0"/>
          <w:color w:val="000000"/>
          <w:sz w:val="24"/>
        </w:rPr>
        <w:t>6. Muslim bin al-Hajjaj. *Shahih Muslim*</w:t>
      </w:r>
    </w:p>
    <w:p>
      <w:pPr>
        <w:spacing w:line="360" w:lineRule="auto" w:before="0" w:after="0"/>
        <w:ind w:firstLine="0"/>
        <w:jc w:val="both"/>
      </w:pPr>
      <w:r>
        <w:rPr>
          <w:rFonts w:ascii="Times New Roman" w:hAnsi="Times New Roman" w:cs="Times New Roman"/>
          <w:b w:val="0"/>
          <w:i w:val="0"/>
          <w:color w:val="000000"/>
          <w:sz w:val="24"/>
        </w:rPr>
        <w:t>7. Al-Qaradhawi, Yusuf. *Fiqh al-Awlawiyyat: Dirasa Jadida fi Dhau' al-Qur'an wa as-Sunnah*</w:t>
      </w:r>
    </w:p>
    <w:p>
      <w:pPr>
        <w:spacing w:line="360" w:lineRule="auto" w:before="0" w:after="0"/>
        <w:ind w:firstLine="0"/>
        <w:jc w:val="both"/>
      </w:pPr>
      <w:r>
        <w:rPr>
          <w:rFonts w:ascii="Times New Roman" w:hAnsi="Times New Roman" w:cs="Times New Roman"/>
          <w:b w:val="0"/>
          <w:i w:val="0"/>
          <w:color w:val="000000"/>
          <w:sz w:val="24"/>
        </w:rPr>
        <w:t>8. Ombudsman RI. *Laporan Tahunan 2024*</w:t>
      </w:r>
    </w:p>
    <w:p>
      <w:pPr>
        <w:spacing w:line="360" w:lineRule="auto" w:before="0" w:after="0"/>
        <w:ind w:firstLine="0"/>
        <w:jc w:val="both"/>
      </w:pPr>
      <w:r>
        <w:rPr>
          <w:rFonts w:ascii="Times New Roman" w:hAnsi="Times New Roman" w:cs="Times New Roman"/>
          <w:b w:val="0"/>
          <w:i w:val="0"/>
          <w:color w:val="000000"/>
          <w:sz w:val="24"/>
        </w:rPr>
        <w:t>9. KPK RI. *Survei Integritas Sektor Publik 2023*</w:t>
      </w:r>
    </w:p>
    <w:p>
      <w:pPr>
        <w:spacing w:line="360" w:lineRule="auto" w:before="0" w:after="0"/>
        <w:ind w:firstLine="0"/>
        <w:jc w:val="both"/>
      </w:pPr>
      <w:r>
        <w:rPr>
          <w:rFonts w:ascii="Times New Roman" w:hAnsi="Times New Roman" w:cs="Times New Roman"/>
          <w:b w:val="0"/>
          <w:i w:val="0"/>
          <w:color w:val="000000"/>
          <w:sz w:val="24"/>
        </w:rPr>
        <w:t>10. Setara Institute. *Laporan Kondisi Kebebasan Beragama/Berkeyakinan di Indonesia 2024*</w:t>
      </w:r>
    </w:p>
    <w:p>
      <w:pPr>
        <w:spacing w:line="360" w:lineRule="auto" w:before="0" w:after="0"/>
        <w:ind w:firstLine="0"/>
        <w:jc w:val="both"/>
      </w:pPr>
      <w:r>
        <w:rPr>
          <w:rFonts w:ascii="Times New Roman" w:hAnsi="Times New Roman" w:cs="Times New Roman"/>
          <w:b w:val="0"/>
          <w:i w:val="0"/>
          <w:color w:val="000000"/>
          <w:sz w:val="24"/>
        </w:rPr>
        <w:t>11. BAZNAS. *Statistik Zakat Nasional 2024*</w:t>
      </w:r>
    </w:p>
    <w:p>
      <w:pPr>
        <w:spacing w:line="360" w:lineRule="auto" w:before="0" w:after="0"/>
        <w:ind w:firstLine="0"/>
        <w:jc w:val="both"/>
      </w:pPr>
      <w:r>
        <w:rPr>
          <w:rFonts w:ascii="Times New Roman" w:hAnsi="Times New Roman" w:cs="Times New Roman"/>
          <w:b w:val="0"/>
          <w:i w:val="0"/>
          <w:color w:val="000000"/>
          <w:sz w:val="24"/>
        </w:rPr>
        <w:t>12. Kementerian PANRB. *Laporan Reformasi Birokrasi 2024*</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