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cs="Times New Roman"/>
          <w:b w:val="0"/>
          <w:i w:val="0"/>
          <w:color w:val="000000"/>
          <w:sz w:val="28"/>
        </w:rPr>
        <w:t>Strategi Ketahanan Pangan dalam Perspektif Kisah Nabi Yusuf: Sebuah Pendekatan Fikih Prioritas</w:t>
      </w:r>
    </w:p>
    <w:p>
      <w:pPr>
        <w:spacing w:line="360" w:lineRule="auto" w:before="0" w:after="0"/>
        <w:ind w:firstLine="720"/>
        <w:jc w:val="both"/>
      </w:pP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val="0"/>
          <w:i w:val="0"/>
          <w:color w:val="000000"/>
          <w:sz w:val="26"/>
        </w:rPr>
        <w:t>PENDAHULUAN</w:t>
      </w:r>
    </w:p>
    <w:p>
      <w:pPr>
        <w:spacing w:line="360" w:lineRule="auto" w:before="0" w:after="0"/>
        <w:ind w:firstLine="720"/>
        <w:jc w:val="both"/>
      </w:pPr>
      <w:r>
        <w:rPr>
          <w:rFonts w:ascii="Times New Roman" w:hAnsi="Times New Roman" w:cs="Times New Roman"/>
          <w:b w:val="0"/>
          <w:i w:val="0"/>
          <w:color w:val="000000"/>
          <w:sz w:val="24"/>
        </w:rPr>
        <w:t>Indonesia dikenal sebagai negara agraris dengan kekayaan alam yang melimpah. Secara geografis, negeri ini berada di wilayah tropis dengan tanah yang subur dan curah hujan yang memadai. Ironisnya, predikat agraris ini belum berbanding lurus dengan kemampuan swasembada pangan. Data Badan Pusat Statistik menunjukkan bahwa pada tahun 2024 Indonesia masih mengimpor beras sebanyak 3,6 juta ton untuk memenuhi kebutuhan konsumsi dalam negeri. Angka ini menjadi ironi di tengah luasnya lahan pertanian dan besarnya jumlah penduduk yang menggantungkan hidup pada sektor agraris.</w:t>
      </w:r>
    </w:p>
    <w:p>
      <w:pPr>
        <w:spacing w:line="360" w:lineRule="auto" w:before="0" w:after="0"/>
        <w:ind w:firstLine="720"/>
        <w:jc w:val="both"/>
      </w:pPr>
      <w:r>
        <w:rPr>
          <w:rFonts w:ascii="Times New Roman" w:hAnsi="Times New Roman" w:cs="Times New Roman"/>
          <w:b w:val="0"/>
          <w:i w:val="0"/>
          <w:color w:val="000000"/>
          <w:sz w:val="24"/>
        </w:rPr>
        <w:t>Lebih memprihatinkan lagi, prevalensi stunting di Indonesia masih berada di angka 21,5 persen pada tahun 2024. Angka ini menunjukkan bahwa lebih dari satu per lima anak Indonesia mengalami gangguan pertumbuhan akibat kekurangan gizi kronis. Di sisi lain, sebanyak 56 persen petani Indonesia termasuk dalam kategori petani gurem, yaitu mereka yang mengelola lahan kurang dari 0,5 hektare. Kondisi ini menggambarkan bahwa sebagian besar petani kita hidup dalam tekanan ekonomi yang berat, sulit mencapai skala ekonomi yang efisien, dan rentan terhadap gejolak harga maupun perubahan iklim.</w:t>
      </w:r>
    </w:p>
    <w:p>
      <w:pPr>
        <w:spacing w:line="360" w:lineRule="auto" w:before="0" w:after="0"/>
        <w:ind w:firstLine="720"/>
        <w:jc w:val="both"/>
      </w:pPr>
      <w:r>
        <w:rPr>
          <w:rFonts w:ascii="Times New Roman" w:hAnsi="Times New Roman" w:cs="Times New Roman"/>
          <w:b w:val="0"/>
          <w:i w:val="0"/>
          <w:color w:val="000000"/>
          <w:sz w:val="24"/>
        </w:rPr>
        <w:t>Persoalan ketahanan pangan bukanlah isu baru dalam peradaban manusia. Sejak ribuan tahun lalu, umat manusia telah bergulat dengan tantangan bagaimana memenuhi kebutuhan pangan secara berkelanjutan. Dalam tradisi intelektual Islam, terdapat khazanah yang sangat kaya tentang manajemen pangan, salah satunya termaktub dalam kisah Nabi Yusuf Alaihissalam. Kisah tentang mimpi Raja Mesir yang ditakwilkan oleh Nabi Yusuf sebagai pertanda akan datangnya tujuh tahun masa subur dan tujuh tahun masa paceklik merupakan narasi manajemen pangan klasik yang sangat brilian.</w:t>
      </w:r>
    </w:p>
    <w:p>
      <w:pPr>
        <w:spacing w:line="360" w:lineRule="auto" w:before="0" w:after="0"/>
        <w:ind w:firstLine="720"/>
        <w:jc w:val="both"/>
      </w:pPr>
      <w:r>
        <w:rPr>
          <w:rFonts w:ascii="Times New Roman" w:hAnsi="Times New Roman" w:cs="Times New Roman"/>
          <w:b w:val="0"/>
          <w:i w:val="0"/>
          <w:color w:val="000000"/>
          <w:sz w:val="24"/>
        </w:rPr>
        <w:t>Sayangnya, sebagian besar diskursus tentang ketahanan pangan di Indonesia masih didominasi oleh pendekatan teknis-ekonomi yang cenderung sekuler. Kajian terhadap kisah Nabi Yusuf sebagai model strategi pangan masih jarang dikaitkan dengan kerangka fikih prioritas (*Fiqh al-Awlawiyyat*). Padahal, jembatan antara nilai-nilai Islam dan kebijakan pangan nasional justru dapat memberikan perspektif baru yang lebih komprehensif dan berorientasi pada kemaslahatan umat.</w:t>
      </w:r>
    </w:p>
    <w:p>
      <w:pPr>
        <w:spacing w:line="360" w:lineRule="auto" w:before="0" w:after="0"/>
        <w:ind w:firstLine="720"/>
        <w:jc w:val="both"/>
      </w:pPr>
      <w:r>
        <w:rPr>
          <w:rFonts w:ascii="Times New Roman" w:hAnsi="Times New Roman" w:cs="Times New Roman"/>
          <w:b w:val="0"/>
          <w:i w:val="0"/>
          <w:color w:val="000000"/>
          <w:sz w:val="24"/>
        </w:rPr>
        <w:t>Tulisan ini bertujuan untuk menawarkan gagasan strategis tentang ketahanan pangan nasional dengan merujuk pada dua kerangka utama: pertama, kisah Nabi Yusuf dalam QS Yusuf ayat 46--48 sebagai model manajemen pangan; dan kedua, *Fiqh al-Awlawiyyat* atau fikih prioritas sebagai lensa untuk menentukan skala urgensi dalam kebijakan pangan. Dengan pendekatan reflektif-referensial, tulisan ini diharapkan dapat memberikan kontribusi bagi pengembangan kebijakan pangan yang tidak hanya kuat secara teknis, tetapi juga kokoh secara nilai.</w:t>
      </w:r>
    </w:p>
    <w:p>
      <w:pPr>
        <w:spacing w:line="360" w:lineRule="auto" w:before="0" w:after="0"/>
        <w:ind w:firstLine="720"/>
        <w:jc w:val="both"/>
      </w:pP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val="0"/>
          <w:i w:val="0"/>
          <w:color w:val="000000"/>
          <w:sz w:val="26"/>
        </w:rPr>
        <w:t>LANDASAN TEORI</w:t>
      </w:r>
    </w:p>
    <w:p>
      <w:pPr>
        <w:spacing w:line="360" w:lineRule="auto" w:before="240" w:after="120"/>
        <w:jc w:val="center"/>
      </w:pPr>
      <w:r>
        <w:rPr>
          <w:rFonts w:ascii="Times New Roman" w:hAnsi="Times New Roman" w:cs="Times New Roman"/>
          <w:b w:val="0"/>
          <w:i w:val="0"/>
          <w:color w:val="000000"/>
          <w:sz w:val="24"/>
        </w:rPr>
        <w:t>Kisah Nabi Yusuf dan Strategi Pangan Tujuh Tahun</w:t>
      </w:r>
    </w:p>
    <w:p>
      <w:pPr>
        <w:spacing w:line="360" w:lineRule="auto" w:before="0" w:after="0"/>
        <w:ind w:firstLine="720"/>
        <w:jc w:val="both"/>
      </w:pPr>
      <w:r>
        <w:rPr>
          <w:rFonts w:ascii="Times New Roman" w:hAnsi="Times New Roman" w:cs="Times New Roman"/>
          <w:b w:val="0"/>
          <w:i w:val="0"/>
          <w:color w:val="000000"/>
          <w:sz w:val="24"/>
        </w:rPr>
        <w:t>Ayat utama yang menjadi landasan kajian ini adalah firman Allah dalam Surat Yusuf ayat 46 hingga 48. Berikut adalah teks Arab, Latin, dan terjemahannya:</w:t>
      </w:r>
    </w:p>
    <w:p>
      <w:pPr>
        <w:spacing w:line="360" w:lineRule="auto" w:before="0" w:after="0"/>
        <w:ind w:firstLine="720"/>
        <w:jc w:val="both"/>
      </w:pPr>
      <w:r>
        <w:rPr>
          <w:rFonts w:ascii="Times New Roman" w:hAnsi="Times New Roman" w:cs="Times New Roman"/>
          <w:b w:val="0"/>
          <w:i w:val="0"/>
          <w:color w:val="000000"/>
          <w:sz w:val="24"/>
        </w:rPr>
        <w:t>**QS Yusuf [12]:46**</w:t>
      </w:r>
    </w:p>
    <w:p>
      <w:pPr>
        <w:spacing w:line="360" w:lineRule="auto" w:before="0" w:after="0"/>
        <w:ind w:firstLine="720"/>
        <w:jc w:val="both"/>
      </w:pPr>
      <w:r>
        <w:rPr>
          <w:rFonts w:ascii="Times New Roman" w:hAnsi="Times New Roman" w:cs="Times New Roman"/>
          <w:b w:val="0"/>
          <w:i w:val="0"/>
          <w:color w:val="000000"/>
          <w:sz w:val="24"/>
        </w:rPr>
        <w:t>*Arab:*</w:t>
      </w:r>
    </w:p>
    <w:p>
      <w:pPr>
        <w:spacing w:line="360" w:lineRule="auto" w:before="0" w:after="0"/>
        <w:ind w:firstLine="0"/>
        <w:jc w:val="right"/>
      </w:pPr>
      <w:r>
        <w:rPr>
          <w:rFonts w:ascii="Traditional Arabic" w:hAnsi="Traditional Arabic" w:cs="Traditional Arabic"/>
          <w:b w:val="0"/>
          <w:i w:val="0"/>
          <w:color w:val="000000"/>
          <w:sz w:val="32"/>
        </w:rPr>
        <w:t>يُوسُفُ أَيُّهَا الصِّدِّيقُ أَفْتِنَا فِي سَبْعِ بَقَرَاتٍ سِمَانٍ يَأْكُلُهُنَّ سَبْعٌ عِجَافٌ وَسَبْعِ سُنْبُلَاتٍ خُضْرٍ وَأُخَرَ يَابِسَاتٍ لَعَلِّي أَرْجِعُ إِلَى النَّاسِ لَعَلَّهُمْ يَعْلَمُونَ</w:t>
      </w:r>
    </w:p>
    <w:p>
      <w:pPr>
        <w:spacing w:line="360" w:lineRule="auto" w:before="0" w:after="0"/>
        <w:ind w:firstLine="720"/>
        <w:jc w:val="both"/>
      </w:pPr>
      <w:r>
        <w:rPr>
          <w:rFonts w:ascii="Times New Roman" w:hAnsi="Times New Roman" w:cs="Times New Roman"/>
          <w:b w:val="0"/>
          <w:i w:val="0"/>
          <w:color w:val="000000"/>
          <w:sz w:val="24"/>
        </w:rPr>
        <w:t>*Latin:* Yūsufu ayyuhaṣ-ṣiddīqu aftinā fī sab'i baqarātin simāniy ya'kuluhunna sab'un 'ijāfun wa sab'i sunbulātin khuḍriw wa ukhara yābisātin la'allī arji'u ilan-nāsi la'allahum ya'lamūn</w:t>
      </w:r>
    </w:p>
    <w:p>
      <w:pPr>
        <w:spacing w:line="360" w:lineRule="auto" w:before="0" w:after="0"/>
        <w:ind w:firstLine="720"/>
        <w:jc w:val="both"/>
      </w:pPr>
      <w:r>
        <w:rPr>
          <w:rFonts w:ascii="Times New Roman" w:hAnsi="Times New Roman" w:cs="Times New Roman"/>
          <w:b w:val="0"/>
          <w:i w:val="0"/>
          <w:color w:val="000000"/>
          <w:sz w:val="24"/>
        </w:rPr>
        <w:t>*Artinya:* "(Setelah menerima penjelasan itu, utusan itu kembali menghadap Yusuf seraya berkata,) 'Yusuf, wahai orang yang sangat dipercaya, berilah kami penjelasan tentang (takwil mimpi mengenai) tujuh ekor sapi gemuk yang dimakan oleh tujuh ekor sapi kurus, dan tujuh tangkai (gandum) yang hijau serta (tujuh tangkai) lainnya yang kering, agar aku kembali kepada orang-orang itu, semoga mereka mengetahui (takwil mimpi itu).'"</w:t>
      </w:r>
    </w:p>
    <w:p>
      <w:pPr>
        <w:spacing w:line="360" w:lineRule="auto" w:before="0" w:after="0"/>
        <w:ind w:firstLine="720"/>
        <w:jc w:val="both"/>
      </w:pPr>
      <w:r>
        <w:rPr>
          <w:rFonts w:ascii="Times New Roman" w:hAnsi="Times New Roman" w:cs="Times New Roman"/>
          <w:b w:val="0"/>
          <w:i w:val="0"/>
          <w:color w:val="000000"/>
          <w:sz w:val="24"/>
        </w:rPr>
        <w:t>**QS Yusuf [12]:47**</w:t>
      </w:r>
    </w:p>
    <w:p>
      <w:pPr>
        <w:spacing w:line="360" w:lineRule="auto" w:before="0" w:after="0"/>
        <w:ind w:firstLine="720"/>
        <w:jc w:val="both"/>
      </w:pPr>
      <w:r>
        <w:rPr>
          <w:rFonts w:ascii="Times New Roman" w:hAnsi="Times New Roman" w:cs="Times New Roman"/>
          <w:b w:val="0"/>
          <w:i w:val="0"/>
          <w:color w:val="000000"/>
          <w:sz w:val="24"/>
        </w:rPr>
        <w:t>*Arab:*</w:t>
      </w:r>
    </w:p>
    <w:p>
      <w:pPr>
        <w:spacing w:line="360" w:lineRule="auto" w:before="0" w:after="0"/>
        <w:ind w:firstLine="0"/>
        <w:jc w:val="right"/>
      </w:pPr>
      <w:r>
        <w:rPr>
          <w:rFonts w:ascii="Traditional Arabic" w:hAnsi="Traditional Arabic" w:cs="Traditional Arabic"/>
          <w:b w:val="0"/>
          <w:i w:val="0"/>
          <w:color w:val="000000"/>
          <w:sz w:val="32"/>
        </w:rPr>
        <w:t>قَالَ تَزْرَعُونَ سَبْعَ سِنِينَ دَأَبًا فَمَا حَصَدتُّمْ فَذَرُوهُ فِي سُنْبُلِهِ إِلَّا قَلِيلًا مِمَّا تَأْكُلُونَ</w:t>
      </w:r>
    </w:p>
    <w:p>
      <w:pPr>
        <w:spacing w:line="360" w:lineRule="auto" w:before="0" w:after="0"/>
        <w:ind w:firstLine="720"/>
        <w:jc w:val="both"/>
      </w:pPr>
      <w:r>
        <w:rPr>
          <w:rFonts w:ascii="Times New Roman" w:hAnsi="Times New Roman" w:cs="Times New Roman"/>
          <w:b w:val="0"/>
          <w:i w:val="0"/>
          <w:color w:val="000000"/>
          <w:sz w:val="24"/>
        </w:rPr>
        <w:t>*Latin:* Qāla tazra'ūna sab'a sinīna da'abā, famā ḥaṣattum fażarūhu fī sunbulihī illā qalīlam mimmā ta'kulūn</w:t>
      </w:r>
    </w:p>
    <w:p>
      <w:pPr>
        <w:spacing w:line="360" w:lineRule="auto" w:before="0" w:after="0"/>
        <w:ind w:firstLine="720"/>
        <w:jc w:val="both"/>
      </w:pPr>
      <w:r>
        <w:rPr>
          <w:rFonts w:ascii="Times New Roman" w:hAnsi="Times New Roman" w:cs="Times New Roman"/>
          <w:b w:val="0"/>
          <w:i w:val="0"/>
          <w:color w:val="000000"/>
          <w:sz w:val="24"/>
        </w:rPr>
        <w:t>*Artinya:* "Dia (Yusuf) berkata, 'Agar kamu bercocok tanam sungguh-sungguh selama tujuh tahun (berturut-turut). Kemudian, apa yang kamu panen, biarkanlah di tangkainya (jangan kamu petik) kecuali sedikit untuk kamu makan.'"</w:t>
      </w:r>
    </w:p>
    <w:p>
      <w:pPr>
        <w:spacing w:line="360" w:lineRule="auto" w:before="0" w:after="0"/>
        <w:ind w:firstLine="720"/>
        <w:jc w:val="both"/>
      </w:pPr>
      <w:r>
        <w:rPr>
          <w:rFonts w:ascii="Times New Roman" w:hAnsi="Times New Roman" w:cs="Times New Roman"/>
          <w:b w:val="0"/>
          <w:i w:val="0"/>
          <w:color w:val="000000"/>
          <w:sz w:val="24"/>
        </w:rPr>
        <w:t>**QS Yusuf [12]:48**</w:t>
      </w:r>
    </w:p>
    <w:p>
      <w:pPr>
        <w:spacing w:line="360" w:lineRule="auto" w:before="0" w:after="0"/>
        <w:ind w:firstLine="720"/>
        <w:jc w:val="both"/>
      </w:pPr>
      <w:r>
        <w:rPr>
          <w:rFonts w:ascii="Times New Roman" w:hAnsi="Times New Roman" w:cs="Times New Roman"/>
          <w:b w:val="0"/>
          <w:i w:val="0"/>
          <w:color w:val="000000"/>
          <w:sz w:val="24"/>
        </w:rPr>
        <w:t>*Arab:*</w:t>
      </w:r>
    </w:p>
    <w:p>
      <w:pPr>
        <w:spacing w:line="360" w:lineRule="auto" w:before="0" w:after="0"/>
        <w:ind w:firstLine="0"/>
        <w:jc w:val="right"/>
      </w:pPr>
      <w:r>
        <w:rPr>
          <w:rFonts w:ascii="Traditional Arabic" w:hAnsi="Traditional Arabic" w:cs="Traditional Arabic"/>
          <w:b w:val="0"/>
          <w:i w:val="0"/>
          <w:color w:val="000000"/>
          <w:sz w:val="32"/>
        </w:rPr>
        <w:t>ثُمَّ يَأْتِي مِن بَعْدِ ذَٰلِكَ سَبْعٌ شِدَادٌ يَأْكُلْنَ مَا قَدَّمْتُمْ لَهُنَّ إِلَّا قَلِيلًا مِّمَّا تُحْصِنُونَ</w:t>
      </w:r>
    </w:p>
    <w:p>
      <w:pPr>
        <w:spacing w:line="360" w:lineRule="auto" w:before="0" w:after="0"/>
        <w:ind w:firstLine="720"/>
        <w:jc w:val="both"/>
      </w:pPr>
      <w:r>
        <w:rPr>
          <w:rFonts w:ascii="Times New Roman" w:hAnsi="Times New Roman" w:cs="Times New Roman"/>
          <w:b w:val="0"/>
          <w:i w:val="0"/>
          <w:color w:val="000000"/>
          <w:sz w:val="24"/>
        </w:rPr>
        <w:t>*Latin:* Ṡumma ya'tī mim ba'di żālika sab'un syidādun ya'kulna mā qaddamtum lahunna illā qalīlan mimmā tuḥṣinūn</w:t>
      </w:r>
    </w:p>
    <w:p>
      <w:pPr>
        <w:spacing w:line="360" w:lineRule="auto" w:before="0" w:after="0"/>
        <w:ind w:firstLine="720"/>
        <w:jc w:val="both"/>
      </w:pPr>
      <w:r>
        <w:rPr>
          <w:rFonts w:ascii="Times New Roman" w:hAnsi="Times New Roman" w:cs="Times New Roman"/>
          <w:b w:val="0"/>
          <w:i w:val="0"/>
          <w:color w:val="000000"/>
          <w:sz w:val="24"/>
        </w:rPr>
        <w:t>*Artinya:* "Kemudian, setelah itu akan datang tujuh (tahun) yang sangat sulit (paceklik), yang menghabiskan apa yang kamu simpan untuk menghadapinya, kecuali sedikit dari apa yang kamu (sengaja) simpan (untuk bibit)."</w:t>
      </w:r>
    </w:p>
    <w:p>
      <w:pPr>
        <w:spacing w:line="360" w:lineRule="auto" w:before="240" w:after="120"/>
        <w:jc w:val="center"/>
      </w:pPr>
      <w:r>
        <w:rPr>
          <w:rFonts w:ascii="Times New Roman" w:hAnsi="Times New Roman" w:cs="Times New Roman"/>
          <w:b w:val="0"/>
          <w:i w:val="0"/>
          <w:color w:val="000000"/>
          <w:sz w:val="24"/>
        </w:rPr>
        <w:t>Tafsir Ibn Katsir: Empat Langkah Strategis</w:t>
      </w:r>
    </w:p>
    <w:p>
      <w:pPr>
        <w:spacing w:line="360" w:lineRule="auto" w:before="0" w:after="0"/>
        <w:ind w:firstLine="720"/>
        <w:jc w:val="both"/>
      </w:pPr>
      <w:r>
        <w:rPr>
          <w:rFonts w:ascii="Times New Roman" w:hAnsi="Times New Roman" w:cs="Times New Roman"/>
          <w:b w:val="0"/>
          <w:i w:val="0"/>
          <w:color w:val="000000"/>
          <w:sz w:val="24"/>
        </w:rPr>
        <w:t>Ibnu Katsir dalam tafsirnya memberikan penjelasan mendalam tentang kebijakan yang diambil oleh Nabi Yusuf. Setidaknya terdapat empat langkah strategis yang dapat diidentifikasi:</w:t>
      </w:r>
    </w:p>
    <w:p>
      <w:pPr>
        <w:spacing w:line="360" w:lineRule="auto" w:before="0" w:after="0"/>
        <w:ind w:firstLine="720"/>
        <w:jc w:val="both"/>
      </w:pPr>
      <w:r>
        <w:rPr>
          <w:rFonts w:ascii="Times New Roman" w:hAnsi="Times New Roman" w:cs="Times New Roman"/>
          <w:b w:val="0"/>
          <w:i w:val="0"/>
          <w:color w:val="000000"/>
          <w:sz w:val="24"/>
        </w:rPr>
        <w:t>**Pertama, produksi massal.** Nabi Yusuf memerintahkan untuk bercocok tanam secara sungguh-sungguh (*tazra'ūna sab'a sinīna da'abā*) selama tujuh tahun masa subur. Kata *da'abā* mengandung arti kesungguhan, kontinuitas, dan kerja keras tanpa henti. Ini menunjukkan bahwa produksi pangan harus dilakukan secara masif dan terencana, bukan sekadar kegiatan musiman yang sporadis.</w:t>
      </w:r>
    </w:p>
    <w:p>
      <w:pPr>
        <w:spacing w:line="360" w:lineRule="auto" w:before="0" w:after="0"/>
        <w:ind w:firstLine="720"/>
        <w:jc w:val="both"/>
      </w:pPr>
      <w:r>
        <w:rPr>
          <w:rFonts w:ascii="Times New Roman" w:hAnsi="Times New Roman" w:cs="Times New Roman"/>
          <w:b w:val="0"/>
          <w:i w:val="0"/>
          <w:color w:val="000000"/>
          <w:sz w:val="24"/>
        </w:rPr>
        <w:t>**Kedua, penyimpanan yang tepat.** Perintah untuk membiarkan hasil panen pada tangkainya (*fażarūhu fī sunbulihī*) menunjukkan adanya teknologi penyimpanan yang cerdas. Menyimpan gandum dalam kondisi masih bertangkai melindungi biji dari hama, kelembaban, dan pembusukan. Ini adalah strategi penyimpanan jangka panjang yang efisien.</w:t>
      </w:r>
    </w:p>
    <w:p>
      <w:pPr>
        <w:spacing w:line="360" w:lineRule="auto" w:before="0" w:after="0"/>
        <w:ind w:firstLine="720"/>
        <w:jc w:val="both"/>
      </w:pPr>
      <w:r>
        <w:rPr>
          <w:rFonts w:ascii="Times New Roman" w:hAnsi="Times New Roman" w:cs="Times New Roman"/>
          <w:b w:val="0"/>
          <w:i w:val="0"/>
          <w:color w:val="000000"/>
          <w:sz w:val="24"/>
        </w:rPr>
        <w:t>**Ketiga, efisiensi konsumsi.** Nabi Yusuf hanya mengizinkan konsumsi sedikit dari hasil panen (*illā qalīlan mimmā ta'kulūn*) selama masa subur. Ini mengajarkan prinsip pengendalian konsumsi, hidup sederhana, dan tidak berlebih-lebihan meskipun dalam kondisi berkelimpahan.</w:t>
      </w:r>
    </w:p>
    <w:p>
      <w:pPr>
        <w:spacing w:line="360" w:lineRule="auto" w:before="0" w:after="0"/>
        <w:ind w:firstLine="720"/>
        <w:jc w:val="both"/>
      </w:pPr>
      <w:r>
        <w:rPr>
          <w:rFonts w:ascii="Times New Roman" w:hAnsi="Times New Roman" w:cs="Times New Roman"/>
          <w:b w:val="0"/>
          <w:i w:val="0"/>
          <w:color w:val="000000"/>
          <w:sz w:val="24"/>
        </w:rPr>
        <w:t>**Keempat, distribusi terencana.** Pada masa paceklik, cadangan pangan yang telah disimpan didistribusikan secara terkendali untuk memastikan ketersediaan pangan bagi seluruh rakyat Mesir. Sistem distribusi ini memerlukan administrasi yang kuat dan data yang akurat.</w:t>
      </w:r>
    </w:p>
    <w:p>
      <w:pPr>
        <w:spacing w:line="360" w:lineRule="auto" w:before="240" w:after="120"/>
        <w:jc w:val="center"/>
      </w:pPr>
      <w:r>
        <w:rPr>
          <w:rFonts w:ascii="Times New Roman" w:hAnsi="Times New Roman" w:cs="Times New Roman"/>
          <w:b w:val="0"/>
          <w:i w:val="0"/>
          <w:color w:val="000000"/>
          <w:sz w:val="24"/>
        </w:rPr>
        <w:t>Tafsir Quraish Shihab: Tadbir, Ihtiyath, dan Awlawiyyat</w:t>
      </w:r>
    </w:p>
    <w:p>
      <w:pPr>
        <w:spacing w:line="360" w:lineRule="auto" w:before="0" w:after="0"/>
        <w:ind w:firstLine="720"/>
        <w:jc w:val="both"/>
      </w:pPr>
      <w:r>
        <w:rPr>
          <w:rFonts w:ascii="Times New Roman" w:hAnsi="Times New Roman" w:cs="Times New Roman"/>
          <w:b w:val="0"/>
          <w:i w:val="0"/>
          <w:color w:val="000000"/>
          <w:sz w:val="24"/>
        </w:rPr>
        <w:t>M. Quraish Shihab dalam Tafsir Al-Mishbah memberikan perspektif yang tidak kalah penting. Beliau menekankan tiga konsep kunci dalam strategi Nabi Yusuf:</w:t>
      </w:r>
    </w:p>
    <w:p>
      <w:pPr>
        <w:spacing w:line="360" w:lineRule="auto" w:before="0" w:after="0"/>
        <w:ind w:firstLine="720"/>
        <w:jc w:val="both"/>
      </w:pPr>
      <w:r>
        <w:rPr>
          <w:rFonts w:ascii="Times New Roman" w:hAnsi="Times New Roman" w:cs="Times New Roman"/>
          <w:b w:val="0"/>
          <w:i w:val="0"/>
          <w:color w:val="000000"/>
          <w:sz w:val="24"/>
        </w:rPr>
        <w:t>*Tadbir* (manajemen) tercermin dalam perencanaan jangka panjang yang matang. Nabi Yusuf tidak hanya memikirkan kepentingan sesaat, melainkan memproyeksikan kebutuhan hingga 14 tahun ke depan. Ini adalah contoh *long-term planning* yang sangat maju untuk zamannya.</w:t>
      </w:r>
    </w:p>
    <w:p>
      <w:pPr>
        <w:spacing w:line="360" w:lineRule="auto" w:before="0" w:after="0"/>
        <w:ind w:firstLine="720"/>
        <w:jc w:val="both"/>
      </w:pPr>
      <w:r>
        <w:rPr>
          <w:rFonts w:ascii="Times New Roman" w:hAnsi="Times New Roman" w:cs="Times New Roman"/>
          <w:b w:val="0"/>
          <w:i w:val="0"/>
          <w:color w:val="000000"/>
          <w:sz w:val="24"/>
        </w:rPr>
        <w:t>*Ihtiyath* (kehati-hatian) terlihat dari cara penyimpanan cadangan pangan. Nabi Yusuf tidak hanya menyimpan, tetapi menyimpan dengan cara yang aman dan tahan lama. Beliau juga menyisihkan bibit untuk penanaman di masa depan (*illā qalīlan mimmā tuḥṣinūn*), menunjukkan adanya pemikiran tentang keberlanjutan.</w:t>
      </w:r>
    </w:p>
    <w:p>
      <w:pPr>
        <w:spacing w:line="360" w:lineRule="auto" w:before="0" w:after="0"/>
        <w:ind w:firstLine="720"/>
        <w:jc w:val="both"/>
      </w:pPr>
      <w:r>
        <w:rPr>
          <w:rFonts w:ascii="Times New Roman" w:hAnsi="Times New Roman" w:cs="Times New Roman"/>
          <w:b w:val="0"/>
          <w:i w:val="0"/>
          <w:color w:val="000000"/>
          <w:sz w:val="24"/>
        </w:rPr>
        <w:t>*Awlawiyyat* (prioritas) menjadi kerangka berpikir yang mendasari seluruh kebijakan. Nabi Yusuf menetapkan skala prioritas yang jelas: produksi pangan pokok terlebih dahulu, kemudian penyimpanan, lalu efisiensi konsumsi, dan akhirnya distribusi. Tidak semua hal dikerjakan secara bersamaan, melainkan diurutkan berdasarkan tingkat urgensi dan dampaknya.</w:t>
      </w:r>
    </w:p>
    <w:p>
      <w:pPr>
        <w:spacing w:line="360" w:lineRule="auto" w:before="240" w:after="120"/>
        <w:jc w:val="center"/>
      </w:pPr>
      <w:r>
        <w:rPr>
          <w:rFonts w:ascii="Times New Roman" w:hAnsi="Times New Roman" w:cs="Times New Roman"/>
          <w:b w:val="0"/>
          <w:i w:val="0"/>
          <w:color w:val="000000"/>
          <w:sz w:val="24"/>
        </w:rPr>
        <w:t>Fiqh al-Awlawiyyat dan Maqashid Syariah</w:t>
      </w:r>
    </w:p>
    <w:p>
      <w:pPr>
        <w:spacing w:line="360" w:lineRule="auto" w:before="0" w:after="0"/>
        <w:ind w:firstLine="720"/>
        <w:jc w:val="both"/>
      </w:pPr>
      <w:r>
        <w:rPr>
          <w:rFonts w:ascii="Times New Roman" w:hAnsi="Times New Roman" w:cs="Times New Roman"/>
          <w:b w:val="0"/>
          <w:i w:val="0"/>
          <w:color w:val="000000"/>
          <w:sz w:val="24"/>
        </w:rPr>
        <w:t>*Fiqh al-Awlawiyyat* atau fikih prioritas adalah cabang dalam ushul fikih yang membahas tentang cara menentukan prioritas di antara berbagai kewajiban, larangan, atau kemaslahatan yang saling bersaing. Konsep ini diperkenalkan secara sistematis oleh Yusuf al-Qaradawi dalam kitabnya *Fiqh al-Awlawiyyat: Dirasah Jadidah fi Dhau'i al-Qur'an wa as-Sunnah*.</w:t>
      </w:r>
    </w:p>
    <w:p>
      <w:pPr>
        <w:spacing w:line="360" w:lineRule="auto" w:before="0" w:after="0"/>
        <w:ind w:firstLine="720"/>
        <w:jc w:val="both"/>
      </w:pPr>
      <w:r>
        <w:rPr>
          <w:rFonts w:ascii="Times New Roman" w:hAnsi="Times New Roman" w:cs="Times New Roman"/>
          <w:b w:val="0"/>
          <w:i w:val="0"/>
          <w:color w:val="000000"/>
          <w:sz w:val="24"/>
        </w:rPr>
        <w:t>Dalam kerangka *Maqashid Syariah*, ketahanan pangan masuk ke dalam kategori *hifzh al-nafs* (perlindungan jiwa) yang merupakan *daruriyyat* (kebutuhan primer). Tanpa terjaminnya ketersediaan pangan, maka jiwa manusia terancam, dan tanpa jiwa, seluruh tujuan syariat lainnya menjadi tidak bermakna. Oleh karena itu, kebijakan pangan harus mendapatkan prioritas tertinggi dalam skala kebijakan publik.</w:t>
      </w:r>
    </w:p>
    <w:p>
      <w:pPr>
        <w:spacing w:line="360" w:lineRule="auto" w:before="0" w:after="0"/>
        <w:ind w:firstLine="720"/>
        <w:jc w:val="both"/>
      </w:pPr>
      <w:r>
        <w:rPr>
          <w:rFonts w:ascii="Times New Roman" w:hAnsi="Times New Roman" w:cs="Times New Roman"/>
          <w:b w:val="0"/>
          <w:i w:val="0"/>
          <w:color w:val="000000"/>
          <w:sz w:val="24"/>
        </w:rPr>
        <w:t>Al-Qaradawi menegaskan bahwa di antara prinsip *Fiqh al-Awlawiyyat* adalah mendahulukan yang *daruri* (primer) atas yang *hajiy* (sekunder), dan mendahulukan yang *hajiy* atas yang *tahsini* (tersier). Dalam konteks pangan, maka memenuhi kebutuhan pangan pokok lebih utama daripada diversifikasi pangan, dan diversifikasi pangan lebih utama daripada industrialisasi pangan.</w:t>
      </w:r>
    </w:p>
    <w:p>
      <w:pPr>
        <w:spacing w:line="360" w:lineRule="auto" w:before="240" w:after="120"/>
        <w:jc w:val="center"/>
      </w:pPr>
      <w:r>
        <w:rPr>
          <w:rFonts w:ascii="Times New Roman" w:hAnsi="Times New Roman" w:cs="Times New Roman"/>
          <w:b w:val="0"/>
          <w:i w:val="0"/>
          <w:color w:val="000000"/>
          <w:sz w:val="24"/>
        </w:rPr>
        <w:t>Ayat Pendukung Lainnya</w:t>
      </w:r>
    </w:p>
    <w:p>
      <w:pPr>
        <w:spacing w:line="360" w:lineRule="auto" w:before="0" w:after="0"/>
        <w:ind w:firstLine="720"/>
        <w:jc w:val="both"/>
      </w:pPr>
      <w:r>
        <w:rPr>
          <w:rFonts w:ascii="Times New Roman" w:hAnsi="Times New Roman" w:cs="Times New Roman"/>
          <w:b w:val="0"/>
          <w:i w:val="0"/>
          <w:color w:val="000000"/>
          <w:sz w:val="24"/>
        </w:rPr>
        <w:t>**QS Al-Baqarah [2]:168**</w:t>
      </w:r>
    </w:p>
    <w:p>
      <w:pPr>
        <w:spacing w:line="360" w:lineRule="auto" w:before="0" w:after="0"/>
        <w:ind w:firstLine="720"/>
        <w:jc w:val="both"/>
      </w:pPr>
      <w:r>
        <w:rPr>
          <w:rFonts w:ascii="Times New Roman" w:hAnsi="Times New Roman" w:cs="Times New Roman"/>
          <w:b w:val="0"/>
          <w:i w:val="0"/>
          <w:color w:val="000000"/>
          <w:sz w:val="24"/>
        </w:rPr>
        <w:t>*Arab:*</w:t>
      </w:r>
    </w:p>
    <w:p>
      <w:pPr>
        <w:spacing w:line="360" w:lineRule="auto" w:before="0" w:after="0"/>
        <w:ind w:firstLine="0"/>
        <w:jc w:val="right"/>
      </w:pPr>
      <w:r>
        <w:rPr>
          <w:rFonts w:ascii="Traditional Arabic" w:hAnsi="Traditional Arabic" w:cs="Traditional Arabic"/>
          <w:b w:val="0"/>
          <w:i w:val="0"/>
          <w:color w:val="000000"/>
          <w:sz w:val="32"/>
        </w:rPr>
        <w:t>يَا أَيُّهَا النَّاسُ كُلُوا مِمَّا فِي الْأَرْضِ حَلَالًا طَيِّبًا وَلَا تَتَّبِعُوا خُطُوَاتِ الشَّيْطَانِ ۚ إِنَّهُ لَكُمْ عَدُوٌّ مُّبِينٌ</w:t>
      </w:r>
    </w:p>
    <w:p>
      <w:pPr>
        <w:spacing w:line="360" w:lineRule="auto" w:before="0" w:after="0"/>
        <w:ind w:firstLine="720"/>
        <w:jc w:val="both"/>
      </w:pPr>
      <w:r>
        <w:rPr>
          <w:rFonts w:ascii="Times New Roman" w:hAnsi="Times New Roman" w:cs="Times New Roman"/>
          <w:b w:val="0"/>
          <w:i w:val="0"/>
          <w:color w:val="000000"/>
          <w:sz w:val="24"/>
        </w:rPr>
        <w:t>*Latin:* Yā ayyuhan-nāsu kulū mimmā fil-arḍi ḥalālan ṭayyibā, wa lā tattabi'ū khuṭuwātisy-syaiṭān, innahū lakum 'aduwwum mubīn</w:t>
      </w:r>
    </w:p>
    <w:p>
      <w:pPr>
        <w:spacing w:line="360" w:lineRule="auto" w:before="0" w:after="0"/>
        <w:ind w:firstLine="720"/>
        <w:jc w:val="both"/>
      </w:pPr>
      <w:r>
        <w:rPr>
          <w:rFonts w:ascii="Times New Roman" w:hAnsi="Times New Roman" w:cs="Times New Roman"/>
          <w:b w:val="0"/>
          <w:i w:val="0"/>
          <w:color w:val="000000"/>
          <w:sz w:val="24"/>
        </w:rPr>
        <w:t>*Artinya:* "Wahai manusia, makanlah dari (makanan) yang halal dan baik yang terdapat di bumi, dan janganlah kamu mengikuti langkah-langkah setan. Sungguh, setan itu musuh yang nyata bagimu."</w:t>
      </w:r>
    </w:p>
    <w:p>
      <w:pPr>
        <w:spacing w:line="360" w:lineRule="auto" w:before="0" w:after="0"/>
        <w:ind w:firstLine="720"/>
        <w:jc w:val="both"/>
      </w:pPr>
      <w:r>
        <w:rPr>
          <w:rFonts w:ascii="Times New Roman" w:hAnsi="Times New Roman" w:cs="Times New Roman"/>
          <w:b w:val="0"/>
          <w:i w:val="0"/>
          <w:color w:val="000000"/>
          <w:sz w:val="24"/>
        </w:rPr>
        <w:t>Ayat ini menegaskan dua aspek penting: *halal* dan *thayyib*. Dalam konteks ketahanan pangan, *halal* berkaitan dengan aspek legalitas (sumber yang sah, bebas dari riba, dan proses yang sesuai syariat), sedangkan *thayyib* berkaitan dengan aspek kualitas (bergizi, sehat, aman dikonsumsi). Kebijakan pangan nasional harus memenuhi kedua dimensi ini.</w:t>
      </w:r>
    </w:p>
    <w:p>
      <w:pPr>
        <w:spacing w:line="360" w:lineRule="auto" w:before="0" w:after="0"/>
        <w:ind w:firstLine="720"/>
        <w:jc w:val="both"/>
      </w:pPr>
      <w:r>
        <w:rPr>
          <w:rFonts w:ascii="Times New Roman" w:hAnsi="Times New Roman" w:cs="Times New Roman"/>
          <w:b w:val="0"/>
          <w:i w:val="0"/>
          <w:color w:val="000000"/>
          <w:sz w:val="24"/>
        </w:rPr>
        <w:t>Penguatan tentang konsumsi yang proporsional juga ditemukan dalam hadits riwayat Tirmidzi dan Ibnu Majah:</w:t>
      </w:r>
    </w:p>
    <w:p>
      <w:pPr>
        <w:spacing w:line="360" w:lineRule="auto" w:before="0" w:after="0"/>
        <w:ind w:firstLine="720"/>
        <w:jc w:val="both"/>
      </w:pPr>
      <w:r>
        <w:rPr>
          <w:rFonts w:ascii="Times New Roman" w:hAnsi="Times New Roman" w:cs="Times New Roman"/>
          <w:b w:val="0"/>
          <w:i/>
          <w:color w:val="000000"/>
          <w:sz w:val="24"/>
        </w:rPr>
        <w:t>"مَا مَلَأَ آدَمِيٌّ وِعَاءً شَرًّا مِنْ بَطْنٍ، بِحَسْبِ ابْنِ آدَمَ أُكُلَاتٌ يُقِمْنَ صُلْبَهُ، فَإِنْ كَانَ لَا مَحَالَةَ فَثُلُثٌ لِطَعَامِهِ وَثُلُثٌ لِشَرَابِهِ وَثُلُثٌ لِنَفَسِهِ"</w:t>
      </w:r>
    </w:p>
    <w:p>
      <w:pPr>
        <w:spacing w:line="360" w:lineRule="auto" w:before="0" w:after="0"/>
        <w:ind w:firstLine="720"/>
        <w:jc w:val="both"/>
      </w:pPr>
      <w:r>
        <w:rPr>
          <w:rFonts w:ascii="Times New Roman" w:hAnsi="Times New Roman" w:cs="Times New Roman"/>
          <w:b w:val="0"/>
          <w:i w:val="0"/>
          <w:color w:val="000000"/>
          <w:sz w:val="24"/>
        </w:rPr>
        <w:t>&gt;</w:t>
      </w:r>
    </w:p>
    <w:p>
      <w:pPr>
        <w:spacing w:line="360" w:lineRule="auto" w:before="0" w:after="0"/>
        <w:ind w:firstLine="720"/>
        <w:jc w:val="both"/>
      </w:pPr>
      <w:r>
        <w:rPr>
          <w:rFonts w:ascii="Times New Roman" w:hAnsi="Times New Roman" w:cs="Times New Roman"/>
          <w:b w:val="0"/>
          <w:i/>
          <w:color w:val="000000"/>
          <w:sz w:val="24"/>
        </w:rPr>
        <w:t>"Tidaklah anak Adam memenuhi bejana yang lebih buruk dari perutnya. Cukuplah bagi anak Adam beberapa suapan yang menegakkan tulang punggungnya. Jika harus (lebih), maka sepertiga untuk makanan, sepertiga untuk minuman, dan sepertiga untuk udara (pernapasan)." (HR. Tirmidzi, no. 2380; Ibnu Majah, no. 3349)</w:t>
      </w:r>
    </w:p>
    <w:p>
      <w:pPr>
        <w:spacing w:line="360" w:lineRule="auto" w:before="0" w:after="0"/>
        <w:ind w:firstLine="720"/>
        <w:jc w:val="both"/>
      </w:pPr>
      <w:r>
        <w:rPr>
          <w:rFonts w:ascii="Times New Roman" w:hAnsi="Times New Roman" w:cs="Times New Roman"/>
          <w:b w:val="0"/>
          <w:i w:val="0"/>
          <w:color w:val="000000"/>
          <w:sz w:val="24"/>
        </w:rPr>
        <w:t>Hadits ini menjadi panduan konsumsi yang proporsional dan relevan dengan strategi efisiensi pangan Nabi Yusuf.</w:t>
      </w:r>
    </w:p>
    <w:p>
      <w:pPr>
        <w:spacing w:line="360" w:lineRule="auto" w:before="0" w:after="0"/>
        <w:ind w:firstLine="720"/>
        <w:jc w:val="both"/>
      </w:pPr>
      <w:r>
        <w:rPr>
          <w:rFonts w:ascii="Times New Roman" w:hAnsi="Times New Roman" w:cs="Times New Roman"/>
          <w:b w:val="0"/>
          <w:i w:val="0"/>
          <w:color w:val="000000"/>
          <w:sz w:val="24"/>
        </w:rPr>
        <w:t>**QS Quraisy [106]:3--4**</w:t>
      </w:r>
    </w:p>
    <w:p>
      <w:pPr>
        <w:spacing w:line="360" w:lineRule="auto" w:before="0" w:after="0"/>
        <w:ind w:firstLine="720"/>
        <w:jc w:val="both"/>
      </w:pPr>
      <w:r>
        <w:rPr>
          <w:rFonts w:ascii="Times New Roman" w:hAnsi="Times New Roman" w:cs="Times New Roman"/>
          <w:b w:val="0"/>
          <w:i w:val="0"/>
          <w:color w:val="000000"/>
          <w:sz w:val="24"/>
        </w:rPr>
        <w:t>*Arab:*</w:t>
      </w:r>
    </w:p>
    <w:p>
      <w:pPr>
        <w:spacing w:line="360" w:lineRule="auto" w:before="0" w:after="0"/>
        <w:ind w:firstLine="0"/>
        <w:jc w:val="right"/>
      </w:pPr>
      <w:r>
        <w:rPr>
          <w:rFonts w:ascii="Traditional Arabic" w:hAnsi="Traditional Arabic" w:cs="Traditional Arabic"/>
          <w:b w:val="0"/>
          <w:i w:val="0"/>
          <w:color w:val="000000"/>
          <w:sz w:val="32"/>
        </w:rPr>
        <w:t>فَلْيَعْبُدُوا رَبَّ هَٰذَا الْبَيْتِ ﴿٣﴾ الَّذِي أَطْعَمَهُم مِّن جُوعٍ وَآمَنَهُم مِّنْ خَوْفٍ</w:t>
      </w:r>
    </w:p>
    <w:p>
      <w:pPr>
        <w:spacing w:line="360" w:lineRule="auto" w:before="0" w:after="0"/>
        <w:ind w:firstLine="720"/>
        <w:jc w:val="both"/>
      </w:pPr>
      <w:r>
        <w:rPr>
          <w:rFonts w:ascii="Times New Roman" w:hAnsi="Times New Roman" w:cs="Times New Roman"/>
          <w:b w:val="0"/>
          <w:i w:val="0"/>
          <w:color w:val="000000"/>
          <w:sz w:val="24"/>
        </w:rPr>
        <w:t>*Latin:* Falya'budū rabba hāżal-bayt. Allażī aṭ'āmahum min jū'in wa āmanahum min khauf</w:t>
      </w:r>
    </w:p>
    <w:p>
      <w:pPr>
        <w:spacing w:line="360" w:lineRule="auto" w:before="0" w:after="0"/>
        <w:ind w:firstLine="720"/>
        <w:jc w:val="both"/>
      </w:pPr>
      <w:r>
        <w:rPr>
          <w:rFonts w:ascii="Times New Roman" w:hAnsi="Times New Roman" w:cs="Times New Roman"/>
          <w:b w:val="0"/>
          <w:i w:val="0"/>
          <w:color w:val="000000"/>
          <w:sz w:val="24"/>
        </w:rPr>
        <w:t>*Artinya:* "Maka hendaklah mereka menyembah Tuhan (pemilik) rumah ini (Ka'bah). Yang telah memberi makanan kepada mereka untuk menghilangkan lapar dan mengamankan mereka dari rasa ketakutan."</w:t>
      </w:r>
    </w:p>
    <w:p>
      <w:pPr>
        <w:spacing w:line="360" w:lineRule="auto" w:before="0" w:after="0"/>
        <w:ind w:firstLine="720"/>
        <w:jc w:val="both"/>
      </w:pPr>
      <w:r>
        <w:rPr>
          <w:rFonts w:ascii="Times New Roman" w:hAnsi="Times New Roman" w:cs="Times New Roman"/>
          <w:b w:val="0"/>
          <w:i w:val="0"/>
          <w:color w:val="000000"/>
          <w:sz w:val="24"/>
        </w:rPr>
        <w:t>Ayat ini secara eksplisit menghubungkan dua kebutuhan dasar manusia: pangan (*aṭ'āmahum min jū'in*) dan keamanan (*āmanahum min khauf*). Fakta bahwa keduanya disebut dalam satu ayat yang sama menunjukkan bahwa pangan dan keamanan adalah dua sisi mata uang yang tidak terpisahkan. Ketahanan pangan adalah fondasi keamanan nasional. Suatu negara tidak akan pernah benar-benar aman jika rakyatnya masih kelaparan.</w:t>
      </w:r>
    </w:p>
    <w:p>
      <w:pPr>
        <w:spacing w:line="360" w:lineRule="auto" w:before="0" w:after="0"/>
        <w:ind w:firstLine="720"/>
        <w:jc w:val="both"/>
      </w:pPr>
      <w:r>
        <w:rPr>
          <w:rFonts w:ascii="Times New Roman" w:hAnsi="Times New Roman" w:cs="Times New Roman"/>
          <w:b w:val="0"/>
          <w:i w:val="0"/>
          <w:color w:val="000000"/>
          <w:sz w:val="24"/>
        </w:rPr>
        <w:t>**QS Al-An'am [141] tentang Zakat Pertanian**</w:t>
      </w:r>
    </w:p>
    <w:p>
      <w:pPr>
        <w:spacing w:line="360" w:lineRule="auto" w:before="0" w:after="0"/>
        <w:ind w:firstLine="720"/>
        <w:jc w:val="both"/>
      </w:pPr>
      <w:r>
        <w:rPr>
          <w:rFonts w:ascii="Times New Roman" w:hAnsi="Times New Roman" w:cs="Times New Roman"/>
          <w:b w:val="0"/>
          <w:i w:val="0"/>
          <w:color w:val="000000"/>
          <w:sz w:val="24"/>
        </w:rPr>
        <w:t>*Arab:*</w:t>
      </w:r>
    </w:p>
    <w:p>
      <w:pPr>
        <w:spacing w:line="360" w:lineRule="auto" w:before="0" w:after="0"/>
        <w:ind w:firstLine="0"/>
        <w:jc w:val="right"/>
      </w:pPr>
      <w:r>
        <w:rPr>
          <w:rFonts w:ascii="Traditional Arabic" w:hAnsi="Traditional Arabic" w:cs="Traditional Arabic"/>
          <w:b w:val="0"/>
          <w:i w:val="0"/>
          <w:color w:val="000000"/>
          <w:sz w:val="32"/>
        </w:rPr>
        <w:t>وَهُوَ الَّذِي أَنشَأَ جَنَّاتٍ مَّعْرُوشَاتٍ وَغَيْرَ مَعْرُوشَاتٍ وَالنَّخْلَ وَالزَّرْعَ مُخْتَلِفًا أُكُلُهُ وَالزَّيْتُونَ وَالرُّمَّانَ مُتَشَابِهًا وَغَيْرَ مُتَشَابِهٍ ۚ كُلُوا مِن ثَمَرِهِ إِذَا أَثْمَرَ وَآتُوا حَقَّهُ يَوْمَ حَصَادِهِ ۖ وَلَا تُسْرِفُوا ۚ إِنَّهُ لَا يُحِبُّ الْمُسْرِفِينَ</w:t>
      </w:r>
    </w:p>
    <w:p>
      <w:pPr>
        <w:spacing w:line="360" w:lineRule="auto" w:before="0" w:after="0"/>
        <w:ind w:firstLine="720"/>
        <w:jc w:val="both"/>
      </w:pPr>
      <w:r>
        <w:rPr>
          <w:rFonts w:ascii="Times New Roman" w:hAnsi="Times New Roman" w:cs="Times New Roman"/>
          <w:b w:val="0"/>
          <w:i w:val="0"/>
          <w:color w:val="000000"/>
          <w:sz w:val="24"/>
        </w:rPr>
        <w:t>*Latin:* Wa huwallażī ansya'a jannātim ma'rūsyātin wa gaira ma'rūsyātin wan-nakhla waz-zar'a mukhtalifan ukuluhu waz-zaitūna war-rummāna mutasyābihan wa gaira mutasyābih. Kulū min ṡamarihī iżā aṡmara wa ātū ḥaqqahū yawma ḥaṣādih, wa lā tusrifū, innahū lā yuḥibbul-musrifīn</w:t>
      </w:r>
    </w:p>
    <w:p>
      <w:pPr>
        <w:spacing w:line="360" w:lineRule="auto" w:before="0" w:after="0"/>
        <w:ind w:firstLine="720"/>
        <w:jc w:val="both"/>
      </w:pPr>
      <w:r>
        <w:rPr>
          <w:rFonts w:ascii="Times New Roman" w:hAnsi="Times New Roman" w:cs="Times New Roman"/>
          <w:b w:val="0"/>
          <w:i w:val="0"/>
          <w:color w:val="000000"/>
          <w:sz w:val="24"/>
        </w:rPr>
        <w:t>*Artinya:* "Dan Dialah yang menjadikan kebun-kebun yang menjalar dan yang tidak menjalar, pohon kurma, tanaman yang berbeda-beda buahnya, zaitun dan delima yang serupa (bentuknya) dan tidak serupa (rasanya). Makanlah buahnya apabila ia berbuah, dan tunaikanlah haknya (zakatnya) pada hari memetiknya. Dan janganlah kamu berlebih-lebihan. Sesungguhnya Allah tidak menyukai orang yang berlebih-lebihan."</w:t>
      </w:r>
    </w:p>
    <w:p>
      <w:pPr>
        <w:spacing w:line="360" w:lineRule="auto" w:before="0" w:after="0"/>
        <w:ind w:firstLine="720"/>
        <w:jc w:val="both"/>
      </w:pPr>
      <w:r>
        <w:rPr>
          <w:rFonts w:ascii="Times New Roman" w:hAnsi="Times New Roman" w:cs="Times New Roman"/>
          <w:b w:val="0"/>
          <w:i w:val="0"/>
          <w:color w:val="000000"/>
          <w:sz w:val="24"/>
        </w:rPr>
        <w:t>Ayat ini menegaskan kewajiban zakat pertanian pada saat panen (*yawma ḥaṣādih*). Dalam hadits riwayat Bukhari, Rasulullah Shallallahu 'Alaihi Wasallam bersabda:</w:t>
      </w:r>
    </w:p>
    <w:p>
      <w:pPr>
        <w:spacing w:line="360" w:lineRule="auto" w:before="0" w:after="0"/>
        <w:ind w:firstLine="720"/>
        <w:jc w:val="both"/>
      </w:pPr>
      <w:r>
        <w:rPr>
          <w:rFonts w:ascii="Times New Roman" w:hAnsi="Times New Roman" w:cs="Times New Roman"/>
          <w:b w:val="0"/>
          <w:i/>
          <w:color w:val="000000"/>
          <w:sz w:val="24"/>
        </w:rPr>
        <w:t>"فِيمَا سَقَتِ السَّمَاءُ وَالْعُيُونُ أَوْ كَانَ عَثَرِيًّا الْعُشْرُ، وَمَا سُقِيَ بِالنَّضْحِ فَفِيهِ نِصْفُ الْعُشْرِ"</w:t>
      </w:r>
    </w:p>
    <w:p>
      <w:pPr>
        <w:spacing w:line="360" w:lineRule="auto" w:before="0" w:after="0"/>
        <w:ind w:firstLine="720"/>
        <w:jc w:val="both"/>
      </w:pPr>
      <w:r>
        <w:rPr>
          <w:rFonts w:ascii="Times New Roman" w:hAnsi="Times New Roman" w:cs="Times New Roman"/>
          <w:b w:val="0"/>
          <w:i w:val="0"/>
          <w:color w:val="000000"/>
          <w:sz w:val="24"/>
        </w:rPr>
        <w:t>&gt;</w:t>
      </w:r>
    </w:p>
    <w:p>
      <w:pPr>
        <w:spacing w:line="360" w:lineRule="auto" w:before="0" w:after="0"/>
        <w:ind w:firstLine="720"/>
        <w:jc w:val="both"/>
      </w:pPr>
      <w:r>
        <w:rPr>
          <w:rFonts w:ascii="Times New Roman" w:hAnsi="Times New Roman" w:cs="Times New Roman"/>
          <w:b w:val="0"/>
          <w:i/>
          <w:color w:val="000000"/>
          <w:sz w:val="24"/>
        </w:rPr>
        <w:t>"Pada (tanaman) yang diairi oleh air hujan, mata air, atau air sungai (tanpa biaya), zakatnya sepersepuluh (10%). Sedangkan yang diairi dengan biaya (pengairan buatan), zakatnya seperduapuluh (5%)." (HR. Bukhari, no. 1483)</w:t>
      </w:r>
    </w:p>
    <w:p>
      <w:pPr>
        <w:spacing w:line="360" w:lineRule="auto" w:before="0" w:after="0"/>
        <w:ind w:firstLine="720"/>
        <w:jc w:val="both"/>
      </w:pPr>
      <w:r>
        <w:rPr>
          <w:rFonts w:ascii="Times New Roman" w:hAnsi="Times New Roman" w:cs="Times New Roman"/>
          <w:b w:val="0"/>
          <w:i w:val="0"/>
          <w:color w:val="000000"/>
          <w:sz w:val="24"/>
        </w:rPr>
        <w:t>Zakat pertanian dan zakat fitrah merupakan instrumen distribusi pangan yang telah mapan dalam Islam. Jika dikelola dengan baik, potensi zakat ini dapat menjadi sumber dana yang signifikan untuk program ketahanan pangan nasional.</w:t>
      </w:r>
    </w:p>
    <w:p>
      <w:pPr>
        <w:spacing w:line="360" w:lineRule="auto" w:before="0" w:after="0"/>
        <w:ind w:firstLine="720"/>
        <w:jc w:val="both"/>
      </w:pP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val="0"/>
          <w:i w:val="0"/>
          <w:color w:val="000000"/>
          <w:sz w:val="26"/>
        </w:rPr>
        <w:t>TAWARAN GAGASAN</w:t>
      </w:r>
    </w:p>
    <w:p>
      <w:pPr>
        <w:spacing w:line="360" w:lineRule="auto" w:before="240" w:after="120"/>
        <w:jc w:val="center"/>
      </w:pPr>
      <w:r>
        <w:rPr>
          <w:rFonts w:ascii="Times New Roman" w:hAnsi="Times New Roman" w:cs="Times New Roman"/>
          <w:b w:val="0"/>
          <w:i w:val="0"/>
          <w:color w:val="000000"/>
          <w:sz w:val="24"/>
        </w:rPr>
        <w:t>1. Produksi Dalam Negeri sebagai Prioritas Utama</w:t>
      </w:r>
    </w:p>
    <w:p>
      <w:pPr>
        <w:spacing w:line="360" w:lineRule="auto" w:before="0" w:after="0"/>
        <w:ind w:firstLine="720"/>
        <w:jc w:val="both"/>
      </w:pPr>
      <w:r>
        <w:rPr>
          <w:rFonts w:ascii="Times New Roman" w:hAnsi="Times New Roman" w:cs="Times New Roman"/>
          <w:b w:val="0"/>
          <w:i w:val="0"/>
          <w:color w:val="000000"/>
          <w:sz w:val="24"/>
        </w:rPr>
        <w:t>Langkah pertama yang diajarkan Nabi Yusuf adalah *tazra'ūna sab'a sinīna da'abā* — bercocok tanam dengan sungguh-sungguh selama tujuh tahun. Ini adalah pesan yang sangat jelas: produksi dalam negeri harus menjadi prioritas utama, bukan impor.</w:t>
      </w:r>
    </w:p>
    <w:p>
      <w:pPr>
        <w:spacing w:line="360" w:lineRule="auto" w:before="0" w:after="0"/>
        <w:ind w:firstLine="720"/>
        <w:jc w:val="both"/>
      </w:pPr>
      <w:r>
        <w:rPr>
          <w:rFonts w:ascii="Times New Roman" w:hAnsi="Times New Roman" w:cs="Times New Roman"/>
          <w:b w:val="0"/>
          <w:i w:val="0"/>
          <w:color w:val="000000"/>
          <w:sz w:val="24"/>
        </w:rPr>
        <w:t>Dalam konteks Indonesia, pesan ini memiliki relevansi yang mendalam. Indonesia memiliki lahan pertanian yang luas dan keanekaragaman hayati yang tinggi. Namun, data menunjukkan bahwa impor beras masih mencapai 3,6 juta ton per tahun. Ini berarti kita belum menjalankan perintah *tazra'ūna* secara optimal.</w:t>
      </w:r>
    </w:p>
    <w:p>
      <w:pPr>
        <w:spacing w:line="360" w:lineRule="auto" w:before="0" w:after="0"/>
        <w:ind w:firstLine="720"/>
        <w:jc w:val="both"/>
      </w:pPr>
      <w:r>
        <w:rPr>
          <w:rFonts w:ascii="Times New Roman" w:hAnsi="Times New Roman" w:cs="Times New Roman"/>
          <w:b w:val="0"/>
          <w:i w:val="0"/>
          <w:color w:val="000000"/>
          <w:sz w:val="24"/>
        </w:rPr>
        <w:t>Pemerintahan Presiden Prabowo Subianto telah menempatkan swasembada pangan sebagai salah satu prioritas nasional. Program cetak sawah baru, optimalisasi lahan rawa, dan rehabilitasi jaringan irigasi merupakan langkah strategis yang sejalan dengan spirit *tazra'ūna da'abā*. Namun, keberhasilan program ini memerlukan sinergi antara pemerintah, petani, dan sektor swasta.</w:t>
      </w:r>
    </w:p>
    <w:p>
      <w:pPr>
        <w:spacing w:line="360" w:lineRule="auto" w:before="0" w:after="0"/>
        <w:ind w:firstLine="720"/>
        <w:jc w:val="both"/>
      </w:pPr>
      <w:r>
        <w:rPr>
          <w:rFonts w:ascii="Times New Roman" w:hAnsi="Times New Roman" w:cs="Times New Roman"/>
          <w:b w:val="0"/>
          <w:i w:val="0"/>
          <w:color w:val="000000"/>
          <w:sz w:val="24"/>
        </w:rPr>
        <w:t>Dalam kerangka *Fiqh al-Awlawiyyat*, produksi pangan pokok (terutama beras sebagai makanan pokok mayoritas penduduk) harus didahulukan daripada komoditas pangan lainnya. Diversifikasi pangan tetap penting, tetapi tidak boleh mengorbankan produksi pangan pokok. Ini adalah penerapan prinsip mendahulukan yang *daruri* atas yang *hajiy*.</w:t>
      </w:r>
    </w:p>
    <w:p>
      <w:pPr>
        <w:spacing w:line="360" w:lineRule="auto" w:before="240" w:after="120"/>
        <w:jc w:val="center"/>
      </w:pPr>
      <w:r>
        <w:rPr>
          <w:rFonts w:ascii="Times New Roman" w:hAnsi="Times New Roman" w:cs="Times New Roman"/>
          <w:b w:val="0"/>
          <w:i w:val="0"/>
          <w:color w:val="000000"/>
          <w:sz w:val="24"/>
        </w:rPr>
        <w:t>2. Cadangan Strategis Nasional: Bulog, Food Estate, dan Lumbung Desa</w:t>
      </w:r>
    </w:p>
    <w:p>
      <w:pPr>
        <w:spacing w:line="360" w:lineRule="auto" w:before="0" w:after="0"/>
        <w:ind w:firstLine="720"/>
        <w:jc w:val="both"/>
      </w:pPr>
      <w:r>
        <w:rPr>
          <w:rFonts w:ascii="Times New Roman" w:hAnsi="Times New Roman" w:cs="Times New Roman"/>
          <w:b w:val="0"/>
          <w:i w:val="0"/>
          <w:color w:val="000000"/>
          <w:sz w:val="24"/>
        </w:rPr>
        <w:t>Langkah kedua Nabi Yusuf adalah *fażarūhu fī sunbulihī* — menyimpan hasil panen pada tangkainya. Ini adalah sistem cadangan strategis. Indonesia telah memiliki Perum Bulog sebagai lembaga yang bertugas menjaga stabilitas harga dan ketersediaan pangan. Namun, kapasitas penyimpanan dan efektivitas penyerapan gabah petani masih perlu ditingkatkan.</w:t>
      </w:r>
    </w:p>
    <w:p>
      <w:pPr>
        <w:spacing w:line="360" w:lineRule="auto" w:before="0" w:after="0"/>
        <w:ind w:firstLine="720"/>
        <w:jc w:val="both"/>
      </w:pPr>
      <w:r>
        <w:rPr>
          <w:rFonts w:ascii="Times New Roman" w:hAnsi="Times New Roman" w:cs="Times New Roman"/>
          <w:b w:val="0"/>
          <w:i w:val="0"/>
          <w:color w:val="000000"/>
          <w:sz w:val="24"/>
        </w:rPr>
        <w:t>Dalam kerangka *Fiqh al-Awlawiyyat*, penyimpanan cadangan pangan adalah bagian dari *ihtiyath* (kehati-hatian) dan *hifzh al-nafs* (perlindungan jiwa). Negara wajib memiliki cadangan pangan yang cukup untuk menghadapi masa krisis, sebagaimana dilakukan oleh Nabi Yusuf. Idealnya, cadangan beras nasional setara dengan kebutuhan konsumsi 3--6 bulan, bukan hanya 1--2 bulan seperti saat ini.</w:t>
      </w:r>
    </w:p>
    <w:p>
      <w:pPr>
        <w:spacing w:line="360" w:lineRule="auto" w:before="0" w:after="0"/>
        <w:ind w:firstLine="720"/>
        <w:jc w:val="both"/>
      </w:pPr>
      <w:r>
        <w:rPr>
          <w:rFonts w:ascii="Times New Roman" w:hAnsi="Times New Roman" w:cs="Times New Roman"/>
          <w:b w:val="0"/>
          <w:i w:val="0"/>
          <w:color w:val="000000"/>
          <w:sz w:val="24"/>
        </w:rPr>
        <w:t>Program *food estate* yang dicanangkan pemerintah di sejumlah daerah perlu dikaji ulang dengan pendekatan yang lebih hati-hati. Alih-alih membuka lahan baru secara masif di kawasan hutan, prioritas seharusnya diberikan pada optimalisasi lahan yang sudah ada melalui intensifikasi, rehabilitasi irigasi, dan penyediaan sarana produksi.</w:t>
      </w:r>
    </w:p>
    <w:p>
      <w:pPr>
        <w:spacing w:line="360" w:lineRule="auto" w:before="0" w:after="0"/>
        <w:ind w:firstLine="720"/>
        <w:jc w:val="both"/>
      </w:pPr>
      <w:r>
        <w:rPr>
          <w:rFonts w:ascii="Times New Roman" w:hAnsi="Times New Roman" w:cs="Times New Roman"/>
          <w:b w:val="0"/>
          <w:i w:val="0"/>
          <w:color w:val="000000"/>
          <w:sz w:val="24"/>
        </w:rPr>
        <w:t>Di tingkat desa, revitalisasi lumbung desa (*lumbung pangan*) merupakan inisiatif yang sangat strategis. Sejarah mencatat bahwa lumbung desa telah menjadi institusi penyangga ketahanan pangan masyarakat sejak zaman kerajaan-kerajaan Nusantara. Dalam perspektif *Fiqh al-Awlawiyyat*, lumbung desa adalah wujud tanggung jawab kolektif (*fardhu kifayah*) dalam menjaga ketersediaan pangan di tingkat komunitas.</w:t>
      </w:r>
    </w:p>
    <w:p>
      <w:pPr>
        <w:spacing w:line="360" w:lineRule="auto" w:before="240" w:after="120"/>
        <w:jc w:val="center"/>
      </w:pPr>
      <w:r>
        <w:rPr>
          <w:rFonts w:ascii="Times New Roman" w:hAnsi="Times New Roman" w:cs="Times New Roman"/>
          <w:b w:val="0"/>
          <w:i w:val="0"/>
          <w:color w:val="000000"/>
          <w:sz w:val="24"/>
        </w:rPr>
        <w:t>3. Zakat Fitrah dan Zakat Pertanian sebagai Instrumen Distribusi Pangan</w:t>
      </w:r>
    </w:p>
    <w:p>
      <w:pPr>
        <w:spacing w:line="360" w:lineRule="auto" w:before="0" w:after="0"/>
        <w:ind w:firstLine="720"/>
        <w:jc w:val="both"/>
      </w:pPr>
      <w:r>
        <w:rPr>
          <w:rFonts w:ascii="Times New Roman" w:hAnsi="Times New Roman" w:cs="Times New Roman"/>
          <w:b w:val="0"/>
          <w:i w:val="0"/>
          <w:color w:val="000000"/>
          <w:sz w:val="24"/>
        </w:rPr>
        <w:t>Distribusi pangan yang adil merupakan langkah keempat dalam strategi Nabi Yusuf. Dalam sistem ekonomi Islam, zakat fitrah dan zakat pertanian adalah instrumen distribusi yang telah mapan secara syariat.</w:t>
      </w:r>
    </w:p>
    <w:p>
      <w:pPr>
        <w:spacing w:line="360" w:lineRule="auto" w:before="0" w:after="0"/>
        <w:ind w:firstLine="720"/>
        <w:jc w:val="both"/>
      </w:pPr>
      <w:r>
        <w:rPr>
          <w:rFonts w:ascii="Times New Roman" w:hAnsi="Times New Roman" w:cs="Times New Roman"/>
          <w:b w:val="0"/>
          <w:i w:val="0"/>
          <w:color w:val="000000"/>
          <w:sz w:val="24"/>
        </w:rPr>
        <w:t>Zakat fitrah yang dikeluarkan setiap bulan Ramadhan memiliki potensi yang sangat besar. Dengan jumlah penduduk Muslim Indonesia sekitar 240 juta jiwa, dan nilai zakat fitrah rata-rata Rp45.000 per orang, maka potensi pengumpulan zakat fitrah mencapai lebih dari Rp10 triliun per tahun. Jika dikelola secara profesional, dana ini dapat digunakan untuk program pemberian pangan kepada masyarakat prasejahtera, termasuk untuk program Makan Siang Gratis yang saat ini digalakkan oleh pemerintahan Prabowo.</w:t>
      </w:r>
    </w:p>
    <w:p>
      <w:pPr>
        <w:spacing w:line="360" w:lineRule="auto" w:before="0" w:after="0"/>
        <w:ind w:firstLine="720"/>
        <w:jc w:val="both"/>
      </w:pPr>
      <w:r>
        <w:rPr>
          <w:rFonts w:ascii="Times New Roman" w:hAnsi="Times New Roman" w:cs="Times New Roman"/>
          <w:b w:val="0"/>
          <w:i w:val="0"/>
          <w:color w:val="000000"/>
          <w:sz w:val="24"/>
        </w:rPr>
        <w:t>Zakat pertanian juga memiliki potensi yang signifikan. Dengan prinsip 10 persen untuk lahan tadah hujan dan 5 persen untuk lahan irigasi berbayar, zakat pertanian dapat menjadi sumber dana yang berkelanjutan untuk program ketahanan pangan. Dalam konteks *Fiqh al-Awlawiyyat*, zakat pertanian termasuk dalam kategori ibadah *maliyyah ijtima'iyyah* (ibadah sosial-ekonomi) yang memiliki dampak langsung terhadap kesejahteraan umat.</w:t>
      </w:r>
    </w:p>
    <w:p>
      <w:pPr>
        <w:spacing w:line="360" w:lineRule="auto" w:before="0" w:after="0"/>
        <w:ind w:firstLine="720"/>
        <w:jc w:val="both"/>
      </w:pPr>
      <w:r>
        <w:rPr>
          <w:rFonts w:ascii="Times New Roman" w:hAnsi="Times New Roman" w:cs="Times New Roman"/>
          <w:b w:val="0"/>
          <w:i w:val="0"/>
          <w:color w:val="000000"/>
          <w:sz w:val="24"/>
        </w:rPr>
        <w:t>Pemerintah, melalui Badan Amil Zakat Nasional (BAZNAS), perlu memperkuat kolaborasi dengan Kementerian Pertanian dan Bulog untuk mengintegrasikan pengelolaan zakat pertanian dengan program ketahanan pangan nasional. Sinergi ini akan menciptakan ekosistem distribusi pangan yang berbasis pada nilai-nilai syariat.</w:t>
      </w:r>
    </w:p>
    <w:p>
      <w:pPr>
        <w:spacing w:line="360" w:lineRule="auto" w:before="240" w:after="120"/>
        <w:jc w:val="center"/>
      </w:pPr>
      <w:r>
        <w:rPr>
          <w:rFonts w:ascii="Times New Roman" w:hAnsi="Times New Roman" w:cs="Times New Roman"/>
          <w:b w:val="0"/>
          <w:i w:val="0"/>
          <w:color w:val="000000"/>
          <w:sz w:val="24"/>
        </w:rPr>
        <w:t>4. Skala Prioritas: Pangan Pokok, Diversifikasi, Industrialisasi</w:t>
      </w:r>
    </w:p>
    <w:p>
      <w:pPr>
        <w:spacing w:line="360" w:lineRule="auto" w:before="0" w:after="0"/>
        <w:ind w:firstLine="720"/>
        <w:jc w:val="both"/>
      </w:pPr>
      <w:r>
        <w:rPr>
          <w:rFonts w:ascii="Times New Roman" w:hAnsi="Times New Roman" w:cs="Times New Roman"/>
          <w:b w:val="0"/>
          <w:i w:val="0"/>
          <w:color w:val="000000"/>
          <w:sz w:val="24"/>
        </w:rPr>
        <w:t>Dalam kerangka *Fiqh al-Awlawiyyat*, penentuan skala prioritas adalah kunci dari kebijakan yang efektif. Berikut adalah skala prioritas yang diusulkan untuk ketahanan pangan nasional:</w:t>
      </w:r>
    </w:p>
    <w:p>
      <w:pPr>
        <w:spacing w:line="360" w:lineRule="auto" w:before="0" w:after="0"/>
        <w:ind w:firstLine="720"/>
        <w:jc w:val="both"/>
      </w:pPr>
      <w:r>
        <w:rPr>
          <w:rFonts w:ascii="Times New Roman" w:hAnsi="Times New Roman" w:cs="Times New Roman"/>
          <w:b w:val="0"/>
          <w:i w:val="0"/>
          <w:color w:val="000000"/>
          <w:sz w:val="24"/>
        </w:rPr>
        <w:t>**Prioritas Pertama (Daruriyyat): Pemenuhan Pangan Pokok.** Ini adalah level *hifzh al-nafs* yang merupakan kewajiban paling mendasar. Indonesia harus mencapai swasembada beras, jagung, dan kedelai. Selama kebutuhan pokok belum terpenuhi secara mandiri, impor hanya boleh dilakukan sebagai *darurat* (kondisi terpaksa), bukan sebagai kebiasaan.</w:t>
      </w:r>
    </w:p>
    <w:p>
      <w:pPr>
        <w:spacing w:line="360" w:lineRule="auto" w:before="0" w:after="0"/>
        <w:ind w:firstLine="720"/>
        <w:jc w:val="both"/>
      </w:pPr>
      <w:r>
        <w:rPr>
          <w:rFonts w:ascii="Times New Roman" w:hAnsi="Times New Roman" w:cs="Times New Roman"/>
          <w:b w:val="0"/>
          <w:i w:val="0"/>
          <w:color w:val="000000"/>
          <w:sz w:val="24"/>
        </w:rPr>
        <w:t>**Prioritas Kedua (Hajiyyat): Diversifikasi Pangan.** Setelah kebutuhan pokok terpenuhi, langkah selanjutnya adalah diversifikasi pangan untuk meningkatkan kualitas gizi dan mengurangi ketergantungan pada satu komoditas. Program diversifikasi pangan lokal (sorgum, sagu, ubi kayu, talas) perlu didorong secara bertahap.</w:t>
      </w:r>
    </w:p>
    <w:p>
      <w:pPr>
        <w:spacing w:line="360" w:lineRule="auto" w:before="0" w:after="0"/>
        <w:ind w:firstLine="720"/>
        <w:jc w:val="both"/>
      </w:pPr>
      <w:r>
        <w:rPr>
          <w:rFonts w:ascii="Times New Roman" w:hAnsi="Times New Roman" w:cs="Times New Roman"/>
          <w:b w:val="0"/>
          <w:i w:val="0"/>
          <w:color w:val="000000"/>
          <w:sz w:val="24"/>
        </w:rPr>
        <w:t>**Prioritas Ketiga (Tahsiniyyat): Industrialisasi Pangan.** Pada level ini, pengembangan industri pengolahan pangan, rantai dingin (*cold chain*), dan sistem logistik pangan modern menjadi fokus. Ini meningkatkan nilai tambah dan daya saing produk pangan nasional.</w:t>
      </w:r>
    </w:p>
    <w:p>
      <w:pPr>
        <w:spacing w:line="360" w:lineRule="auto" w:before="0" w:after="0"/>
        <w:ind w:firstLine="720"/>
        <w:jc w:val="both"/>
      </w:pPr>
      <w:r>
        <w:rPr>
          <w:rFonts w:ascii="Times New Roman" w:hAnsi="Times New Roman" w:cs="Times New Roman"/>
          <w:b w:val="0"/>
          <w:i w:val="0"/>
          <w:color w:val="000000"/>
          <w:sz w:val="24"/>
        </w:rPr>
        <w:t>Skala prioritas ini sejalan dengan strategi Nabi Yusuf yang pertama-tama fokus pada produksi pangan pokok, kemudian penyimpanan, dan baru kemudian distribusi dan konsumsi. Tidak semua hal bisa dikerjakan sekaligus; prioritas harus ditetapkan berdasarkan urgensi dan dampak.</w:t>
      </w:r>
    </w:p>
    <w:p>
      <w:pPr>
        <w:spacing w:line="360" w:lineRule="auto" w:before="240" w:after="120"/>
        <w:jc w:val="center"/>
      </w:pPr>
      <w:r>
        <w:rPr>
          <w:rFonts w:ascii="Times New Roman" w:hAnsi="Times New Roman" w:cs="Times New Roman"/>
          <w:b w:val="0"/>
          <w:i w:val="0"/>
          <w:color w:val="000000"/>
          <w:sz w:val="24"/>
        </w:rPr>
        <w:t>5. Relevansi dengan Kebijakan Pemerintahan Prabowo</w:t>
      </w:r>
    </w:p>
    <w:p>
      <w:pPr>
        <w:spacing w:line="360" w:lineRule="auto" w:before="0" w:after="0"/>
        <w:ind w:firstLine="720"/>
        <w:jc w:val="both"/>
      </w:pPr>
      <w:r>
        <w:rPr>
          <w:rFonts w:ascii="Times New Roman" w:hAnsi="Times New Roman" w:cs="Times New Roman"/>
          <w:b w:val="0"/>
          <w:i w:val="0"/>
          <w:color w:val="000000"/>
          <w:sz w:val="24"/>
        </w:rPr>
        <w:t>Pemerintahan Presiden Prabowo Subianto telah menempatkan ketahanan pangan sebagai salah satu agenda strategis. Program prioritas seperti swasembada pangan, cetak sawah baru, optimalisasi lahan rawa, dan Makan Siang Gratis untuk 82,9 juta penerima memiliki keselarasan dengan prinsip-prinsip dalam kisah Nabi Yusuf.</w:t>
      </w:r>
    </w:p>
    <w:p>
      <w:pPr>
        <w:spacing w:line="360" w:lineRule="auto" w:before="0" w:after="0"/>
        <w:ind w:firstLine="720"/>
        <w:jc w:val="both"/>
      </w:pPr>
      <w:r>
        <w:rPr>
          <w:rFonts w:ascii="Times New Roman" w:hAnsi="Times New Roman" w:cs="Times New Roman"/>
          <w:b w:val="0"/>
          <w:i w:val="0"/>
          <w:color w:val="000000"/>
          <w:sz w:val="24"/>
        </w:rPr>
        <w:t>Program Makan Siang Gratis, misalnya, dapat dianalogikan dengan sistem distribusi pangan pada masa Nabi Yusuf. Jika dikelola dengan baik, program ini bukan hanya menjadi solusi gizi bagi anak-anak sekolah, tetapi juga dapat menjadi instrumen stabilisasi harga pangan dan penyerapan hasil panen petani. Namun, diperlukan perencanaan yang matang dalam hal sumber bahan baku, logistik, dan anggaran agar program ini tidak justru menjadi beban baru bagi anggaran negara.</w:t>
      </w:r>
    </w:p>
    <w:p>
      <w:pPr>
        <w:spacing w:line="360" w:lineRule="auto" w:before="0" w:after="0"/>
        <w:ind w:firstLine="720"/>
        <w:jc w:val="both"/>
      </w:pPr>
      <w:r>
        <w:rPr>
          <w:rFonts w:ascii="Times New Roman" w:hAnsi="Times New Roman" w:cs="Times New Roman"/>
          <w:b w:val="0"/>
          <w:i w:val="0"/>
          <w:color w:val="000000"/>
          <w:sz w:val="24"/>
        </w:rPr>
        <w:t>Dalam kerangka *Fiqh al-Awlawiyyat*, program Makan Siang Gratis masuk dalam kategori *hifzh al-nafs* (perlindungan jiwa) dan *hifzh al-'aql* (perlindungan akal) karena berkaitan dengan kecukupan gizi anak-anak yang sedang dalam masa pertumbuhan dan perkembangan otak. Oleh karena itu, program ini layak mendapatkan prioritas tinggi, tetapi tetap harus diimbangi dengan upaya peningkatan produksi pangan dalam negeri agar tidak menimbulkan tekanan pada neraca pangan nasional.</w:t>
      </w:r>
    </w:p>
    <w:p>
      <w:pPr>
        <w:spacing w:line="360" w:lineRule="auto" w:before="0" w:after="0"/>
        <w:ind w:firstLine="720"/>
        <w:jc w:val="both"/>
      </w:pP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val="0"/>
          <w:i w:val="0"/>
          <w:color w:val="000000"/>
          <w:sz w:val="26"/>
        </w:rPr>
        <w:t>PENUTUP</w:t>
      </w:r>
    </w:p>
    <w:p>
      <w:pPr>
        <w:spacing w:line="360" w:lineRule="auto" w:before="0" w:after="0"/>
        <w:ind w:firstLine="720"/>
        <w:jc w:val="both"/>
      </w:pPr>
      <w:r>
        <w:rPr>
          <w:rFonts w:ascii="Times New Roman" w:hAnsi="Times New Roman" w:cs="Times New Roman"/>
          <w:b w:val="0"/>
          <w:i w:val="0"/>
          <w:color w:val="000000"/>
          <w:sz w:val="24"/>
        </w:rPr>
        <w:t>Kisah Nabi Yusuf bukanlah sekadar cerita masa lalu yang hanya layak dibacakan di majelis taklim. Lebih dari itu, kisah ini mengandung sistem manajemen pangan yang brilian dan sarat dengan nilai-nilai *Fiqh al-Awlawiyyat*. Empat langkah strategis yang diajarkan — produksi massal, penyimpanan tepat, efisiensi konsumsi, dan distribusi terencana — adalah formula yang telah teruji dalam sejarah.</w:t>
      </w:r>
    </w:p>
    <w:p>
      <w:pPr>
        <w:spacing w:line="360" w:lineRule="auto" w:before="0" w:after="0"/>
        <w:ind w:firstLine="720"/>
        <w:jc w:val="both"/>
      </w:pPr>
      <w:r>
        <w:rPr>
          <w:rFonts w:ascii="Times New Roman" w:hAnsi="Times New Roman" w:cs="Times New Roman"/>
          <w:b w:val="0"/>
          <w:i w:val="0"/>
          <w:color w:val="000000"/>
          <w:sz w:val="24"/>
        </w:rPr>
        <w:t>Indonesia sebagai negara yang mayoritas penduduknya Muslim memiliki keunggulan komparatif dalam mengadopsi nilai-nilai ini. Zakat pertanian, zakat fitrah, lumbung desa, dan semangat gotong royong adalah modal sosial yang sangat berharga. Namun, semua modal ini tidak akan berarti tanpa kemauan politik yang kuat, perencanaan yang matang, dan pelaksanaan yang konsisten.</w:t>
      </w:r>
    </w:p>
    <w:p>
      <w:pPr>
        <w:spacing w:line="360" w:lineRule="auto" w:before="0" w:after="0"/>
        <w:ind w:firstLine="720"/>
        <w:jc w:val="both"/>
      </w:pPr>
      <w:r>
        <w:rPr>
          <w:rFonts w:ascii="Times New Roman" w:hAnsi="Times New Roman" w:cs="Times New Roman"/>
          <w:b w:val="0"/>
          <w:i w:val="0"/>
          <w:color w:val="000000"/>
          <w:sz w:val="24"/>
        </w:rPr>
        <w:t>Dalam kerangka *Maqashid Syariah*, ketahanan pangan bukanlah pilihan, melainkan kewajiban. *Hifzh al-nafs* (perlindungan jiwa) adalah salah satu dari lima tujuan pokok syariat. Negara tidak boleh lengah dalam hal ini. Setiap butir beras yang diimpor ketika negeri ini masih mampu memproduksinya sendiri adalah pengingat bahwa kita belum sepenuhnya menjalankan amanat *tazra'ūna sab'a sinīna da'abā*.</w:t>
      </w:r>
    </w:p>
    <w:p>
      <w:pPr>
        <w:spacing w:line="360" w:lineRule="auto" w:before="0" w:after="0"/>
        <w:ind w:firstLine="720"/>
        <w:jc w:val="both"/>
      </w:pPr>
      <w:r>
        <w:rPr>
          <w:rFonts w:ascii="Times New Roman" w:hAnsi="Times New Roman" w:cs="Times New Roman"/>
          <w:b w:val="0"/>
          <w:i w:val="0"/>
          <w:color w:val="000000"/>
          <w:sz w:val="24"/>
        </w:rPr>
        <w:t>Sudah saatnya bangsa ini kembali pada akar nilai-nilai agamanya yang kaya akan solusi. Kisah Nabi Yusuf mengajarkan bahwa krisis pangan bisa diantisipasi, bukan hanya direspons. Dengan *tadbir* (manajemen), *ihtiyath* (kehati-hatian), dan *awlawiyyat* (prioritas), Indonesia dapat mewujudkan ketahanan pangan yang kokoh dan berkelanjutan.</w:t>
      </w:r>
    </w:p>
    <w:p>
      <w:pPr>
        <w:spacing w:line="360" w:lineRule="auto" w:before="0" w:after="0"/>
        <w:ind w:firstLine="720"/>
        <w:jc w:val="both"/>
      </w:pPr>
      <w:r>
        <w:rPr>
          <w:rFonts w:ascii="Times New Roman" w:hAnsi="Times New Roman" w:cs="Times New Roman"/>
          <w:b w:val="0"/>
          <w:i w:val="0"/>
          <w:color w:val="000000"/>
          <w:sz w:val="24"/>
        </w:rPr>
        <w:t>QS Yusuf ayat 46 hingga 48 bukan sekadar bacaan, melainkan pedoman. Sudah saatnya kita menerjemahkan ayat-ayat itu ke dalam kebijakan nyata di bumi pertiwi. Karena pada akhirnya, bangsa yang kuat adalah bangsa yang mampu memberi makan rakyatnya sendiri.</w:t>
      </w:r>
    </w:p>
    <w:p>
      <w:pPr>
        <w:spacing w:line="360" w:lineRule="auto" w:before="0" w:after="0"/>
        <w:ind w:firstLine="720"/>
        <w:jc w:val="both"/>
      </w:pP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**DAFTAR PUSTAKA**</w:t>
      </w:r>
    </w:p>
    <w:p>
      <w:pPr>
        <w:spacing w:line="360" w:lineRule="auto" w:before="0" w:after="0"/>
        <w:ind w:firstLine="720"/>
        <w:jc w:val="both"/>
      </w:pPr>
      <w:r>
        <w:rPr>
          <w:rFonts w:ascii="Times New Roman" w:hAnsi="Times New Roman" w:cs="Times New Roman"/>
          <w:b w:val="0"/>
          <w:i w:val="0"/>
          <w:color w:val="000000"/>
          <w:sz w:val="24"/>
        </w:rPr>
        <w:t>Al-Bukhari, Muhammad bin Ismail. *Shahih al-Bukhari*.</w:t>
      </w:r>
    </w:p>
    <w:p>
      <w:pPr>
        <w:spacing w:line="360" w:lineRule="auto" w:before="0" w:after="0"/>
        <w:ind w:firstLine="720"/>
        <w:jc w:val="both"/>
      </w:pPr>
      <w:r>
        <w:rPr>
          <w:rFonts w:ascii="Times New Roman" w:hAnsi="Times New Roman" w:cs="Times New Roman"/>
          <w:b w:val="0"/>
          <w:i w:val="0"/>
          <w:color w:val="000000"/>
          <w:sz w:val="24"/>
        </w:rPr>
        <w:t>Al-Qaradawi, Yusuf. *Fiqh al-Awlawiyyat: Dirasah Jadidah fi Dhau'i al-Qur'an wa as-Sunnah*. Kairo: Maktabah Wahbah, 1995.</w:t>
      </w:r>
    </w:p>
    <w:p>
      <w:pPr>
        <w:spacing w:line="360" w:lineRule="auto" w:before="0" w:after="0"/>
        <w:ind w:firstLine="720"/>
        <w:jc w:val="both"/>
      </w:pPr>
      <w:r>
        <w:rPr>
          <w:rFonts w:ascii="Times New Roman" w:hAnsi="Times New Roman" w:cs="Times New Roman"/>
          <w:b w:val="0"/>
          <w:i w:val="0"/>
          <w:color w:val="000000"/>
          <w:sz w:val="24"/>
        </w:rPr>
        <w:t>Al-Qur'an al-Karim.</w:t>
      </w:r>
    </w:p>
    <w:p>
      <w:pPr>
        <w:spacing w:line="360" w:lineRule="auto" w:before="0" w:after="0"/>
        <w:ind w:firstLine="720"/>
        <w:jc w:val="both"/>
      </w:pPr>
      <w:r>
        <w:rPr>
          <w:rFonts w:ascii="Times New Roman" w:hAnsi="Times New Roman" w:cs="Times New Roman"/>
          <w:b w:val="0"/>
          <w:i w:val="0"/>
          <w:color w:val="000000"/>
          <w:sz w:val="24"/>
        </w:rPr>
        <w:t>At-Tirmidzi, Muhammad bin Isa. *Sunan at-Tirmidzi*.</w:t>
      </w:r>
    </w:p>
    <w:p>
      <w:pPr>
        <w:spacing w:line="360" w:lineRule="auto" w:before="0" w:after="0"/>
        <w:ind w:firstLine="720"/>
        <w:jc w:val="both"/>
      </w:pPr>
      <w:r>
        <w:rPr>
          <w:rFonts w:ascii="Times New Roman" w:hAnsi="Times New Roman" w:cs="Times New Roman"/>
          <w:b w:val="0"/>
          <w:i w:val="0"/>
          <w:color w:val="000000"/>
          <w:sz w:val="24"/>
        </w:rPr>
        <w:t>Badan Pusat Statistik. *Statistik Indonesia 2024*. Jakarta: BPS RI, 2024.</w:t>
      </w:r>
    </w:p>
    <w:p>
      <w:pPr>
        <w:spacing w:line="360" w:lineRule="auto" w:before="0" w:after="0"/>
        <w:ind w:firstLine="720"/>
        <w:jc w:val="both"/>
      </w:pPr>
      <w:r>
        <w:rPr>
          <w:rFonts w:ascii="Times New Roman" w:hAnsi="Times New Roman" w:cs="Times New Roman"/>
          <w:b w:val="0"/>
          <w:i w:val="0"/>
          <w:color w:val="000000"/>
          <w:sz w:val="24"/>
        </w:rPr>
        <w:t>Ibnu Katsir, Ismail bin Umar. *Tafsir al-Qur'an al-'Azhim*. Kairo: Dar al-Hadits, 2000.</w:t>
      </w:r>
    </w:p>
    <w:p>
      <w:pPr>
        <w:spacing w:line="360" w:lineRule="auto" w:before="0" w:after="0"/>
        <w:ind w:firstLine="720"/>
        <w:jc w:val="both"/>
      </w:pPr>
      <w:r>
        <w:rPr>
          <w:rFonts w:ascii="Times New Roman" w:hAnsi="Times New Roman" w:cs="Times New Roman"/>
          <w:b w:val="0"/>
          <w:i w:val="0"/>
          <w:color w:val="000000"/>
          <w:sz w:val="24"/>
        </w:rPr>
        <w:t>Ibnu Majah, Muhammad bin Yazid. *Sunan Ibnu Majah*.</w:t>
      </w:r>
    </w:p>
    <w:p>
      <w:pPr>
        <w:spacing w:line="360" w:lineRule="auto" w:before="0" w:after="0"/>
        <w:ind w:firstLine="720"/>
        <w:jc w:val="both"/>
      </w:pPr>
      <w:r>
        <w:rPr>
          <w:rFonts w:ascii="Times New Roman" w:hAnsi="Times New Roman" w:cs="Times New Roman"/>
          <w:b w:val="0"/>
          <w:i w:val="0"/>
          <w:color w:val="000000"/>
          <w:sz w:val="24"/>
        </w:rPr>
        <w:t>Shihab, M. Quraish. *Tafsir Al-Mishbah: Pesan, Kesan, dan Keserasian al-Qur'an*. Jakarta: Lentera Hati, 2002.</w:t>
      </w:r>
    </w:p>
    <w:sectPr w:rsidR="00FC693F" w:rsidRPr="0006063C" w:rsidSect="00034616">
      <w:pgSz w:w="11906" w:h="16838"/>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