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720"/>
        <w:jc w:val="both"/>
      </w:pPr>
      <w:r>
        <w:rPr>
          <w:rFonts w:ascii="Times New Roman" w:hAnsi="Times New Roman" w:cs="Times New Roman"/>
          <w:b/>
          <w:i w:val="0"/>
          <w:color w:val="000000"/>
          <w:sz w:val="24"/>
        </w:rPr>
        <w:t>Oleh: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p>
    <w:p>
      <w:pPr>
        <w:spacing w:line="360" w:lineRule="auto" w:before="240" w:after="120"/>
        <w:jc w:val="center"/>
      </w:pPr>
      <w:r>
        <w:rPr>
          <w:rFonts w:ascii="Times New Roman" w:hAnsi="Times New Roman" w:cs="Times New Roman"/>
          <w:b/>
          <w:i w:val="0"/>
          <w:color w:val="000000"/>
          <w:sz w:val="28"/>
        </w:rPr>
        <w:t>Prolog: Antrean Panjang dan Hati yang Terluka</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9</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1: Fakta Pahit Diskriminasi Pelayanan Publik</w:t>
      </w:r>
    </w:p>
    <w:p>
      <w:pPr>
        <w:spacing w:line="360" w:lineRule="auto" w:before="160" w:after="80"/>
      </w:pPr>
      <w:r>
        <w:rPr>
          <w:rFonts w:ascii="Times New Roman" w:hAnsi="Times New Roman" w:cs="Times New Roman"/>
          <w:b/>
          <w:i w:val="0"/>
          <w:color w:val="000000"/>
          <w:sz w:val="26"/>
        </w:rPr>
        <w:t>Pungli: Biaya Tak Terlihat yang Menghancurkan</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Maladministrasi: Wajah Lain Ketidakadilan</w:t>
      </w:r>
    </w:p>
    <w:p>
      <w:pPr>
        <w:spacing w:line="360" w:lineRule="auto" w:before="0" w:after="0"/>
        <w:ind w:firstLine="720"/>
        <w:jc w:val="both"/>
      </w:pP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Diskriminasi: Ketika "Melayani" Berarti "Memilih-Milih"</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digital divide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2: QS Al-Ma'idah 8 — Keadilan Universal Tanpa Kompromi</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يَا أَيُّهَا الَّذِينَ آمَنُوا كُونُوا قَوَّامِينَ لِلَّهِ شُهَدَاءَ بِالْقِسْطِ ۖ وَلَا يَجْرِمَنَّكُمْ شَنَآنُ قَوْمٍ عَلَىٰ أَلَّا تَعْدِلُوا ۚ اعْدِلُوا هُوَ أَقْرَبُ لِلتَّقْوَىٰ ۚ وَاتَّقُوا اللَّهَ ۚ إِنَّ اللَّهَ خَبِيرٌ بِمَا تَعْمَلُونَ</w:t>
      </w:r>
    </w:p>
    <w:p>
      <w:pPr>
        <w:spacing w:line="360" w:lineRule="auto" w:before="0" w:after="0"/>
        <w:ind w:firstLine="720"/>
        <w:jc w:val="both"/>
      </w:pPr>
      <w:r>
        <w:rPr>
          <w:rFonts w:ascii="Times New Roman" w:hAnsi="Times New Roman" w:cs="Times New Roman"/>
          <w:b w:val="0"/>
          <w:i/>
          <w:color w:val="000000"/>
          <w:sz w:val="24"/>
        </w:rPr>
        <w:t>"Wahai orang-orang yang beriman! Jadilah kamu penegak (kebenaran) karena Allah, menjadi saksi dengan adil. Dan janganlah kebencianmu terhadap suatu kaum mendorong kamu untuk berlaku tidak adil. Berlaku adillah, karena (berlaku) adil itu lebih dekat kepada takwa. Dan bertakwalah kepada Allah, sesungguhnya Allah Maha Mengetahui apa yang kamu kerjakan."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Tafsir At-Thabari: Keadilan adalah Ibadah, Bukan Opsional</w:t>
      </w:r>
    </w:p>
    <w:p>
      <w:pPr>
        <w:spacing w:line="360" w:lineRule="auto" w:before="0" w:after="0"/>
        <w:ind w:firstLine="720"/>
        <w:jc w:val="right"/>
      </w:pPr>
      <w:r>
        <w:rPr>
          <w:rFonts w:ascii="Traditional Arabic" w:hAnsi="Traditional Arabic" w:cs="Traditional Arabic"/>
          <w:b w:val="0"/>
          <w:i w:val="0"/>
          <w:color w:val="000000"/>
          <w:sz w:val="32"/>
        </w:rPr>
        <w:t>Imam Abu Ja'far Muhammad bin Jarir ath-Thabari (w. 310 H), dalam tafsir monumentalnya *Jami' al-Bayan 'an Ta'wil Ay al-Qur'an*, menafsirkan ayat ini dengan penekanan yang sangat kuat pada universalitas keadilan. Menurut ath-Thabari, frasa **كُونُوا قَوَّامِينَ لِلَّهِ** (jadilah kamu penegak karena Allah) berarti hendaknya kaum mukminin menegakkan keadilan semata-mata karena Allah, bukan karena kepentingan duniawi, bukan karena hubungan kekerabatan, dan bukan karena tekanan sosial.</w:t>
      </w:r>
    </w:p>
    <w:p>
      <w:pPr>
        <w:spacing w:line="360" w:lineRule="auto" w:before="0" w:after="0"/>
        <w:ind w:firstLine="720"/>
        <w:jc w:val="right"/>
      </w:pPr>
      <w:r>
        <w:rPr>
          <w:rFonts w:ascii="Traditional Arabic" w:hAnsi="Traditional Arabic" w:cs="Traditional Arabic"/>
          <w:b w:val="0"/>
          <w:i w:val="0"/>
          <w:color w:val="000000"/>
          <w:sz w:val="32"/>
        </w:rPr>
        <w:t>Ath-Thabari kemudian mengupas bagian **وَلَا يَجْرِمَنَّكُمْ شَنَآنُ قَوْمٍ عَلَىٰ أَلَّا تَعْدِلُوا** — *"janganlah kebencianmu terhadap suatu kaum mendorong kamu untuk berlaku tidak adil."* Menurutnya, larangan ini bersifat mutlak. Bahkan terhadap musuh sekalipun — orang kafir yang memerangi umat Islam — seorang Muslim dilarang berlaku zalim. Jika terhadap musuh saja tidak boleh tidak adil, apalagi terhadap sesama Muslim, terhadap pemohon layanan publik, terhadap warga negara yang datang mengurus dokumen kependudukan.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'ammah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Tafsir Hamka: Keadilan sebagai Fondasi Peradaban</w:t>
      </w:r>
    </w:p>
    <w:p>
      <w:pPr>
        <w:spacing w:line="360" w:lineRule="auto" w:before="0" w:after="0"/>
        <w:ind w:firstLine="720"/>
        <w:jc w:val="right"/>
      </w:pPr>
      <w:r>
        <w:rPr>
          <w:rFonts w:ascii="Traditional Arabic" w:hAnsi="Traditional Arabic" w:cs="Traditional Arabic"/>
          <w:b w:val="0"/>
          <w:i w:val="0"/>
          <w:color w:val="000000"/>
          <w:sz w:val="32"/>
        </w:rPr>
        <w:t>Prof. Dr. Haji Abdul Malik Karim Amrullah (Hamka) dalam *Tafsir Al-Azhar* memberikan perspektif yang lebih kontekstual dan membumi. Hamka menyoroti kata **قَوَّامِينَ** (*qawwamin*) yang berasal dari kata *qiyam* (berdiri). Menurut Hamka, orang beriman diperintahkan untuk *berdiri* — berdiri tegak membela kebenaran dan keadilan, tidak goyah oleh godaan dan tekanan.</w:t>
      </w:r>
    </w:p>
    <w:p>
      <w:pPr>
        <w:spacing w:line="360" w:lineRule="auto" w:before="0" w:after="0"/>
        <w:ind w:firstLine="720"/>
        <w:jc w:val="right"/>
      </w:pPr>
      <w:r>
        <w:rPr>
          <w:rFonts w:ascii="Traditional Arabic" w:hAnsi="Traditional Arabic" w:cs="Traditional Arabic"/>
          <w:b w:val="0"/>
          <w:i w:val="0"/>
          <w:color w:val="000000"/>
          <w:sz w:val="32"/>
        </w:rPr>
        <w:t>Hamka juga memberikan penjelasan mendalam tentang makna **شُهَدَاءَ بِالْقِسْطِ** (menjadi saksi dengan adil). Dalam konteks pelayanan publik, menjadi saksi dengan adil berarti memberikan kesaksian — dan layanan — secara proporsional tanpa memandang bulu. Seorang pegawai negeri adalah saksi negara bagi rakyat. Ketika ia melayani, ia bersaksi bahwa negara hadir untuk semua, bukan hanya untuk segelintir.</w:t>
      </w:r>
    </w:p>
    <w:p>
      <w:pPr>
        <w:spacing w:line="360" w:lineRule="auto" w:before="0" w:after="0"/>
        <w:ind w:firstLine="720"/>
        <w:jc w:val="both"/>
      </w:pP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jihad akbar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val="0"/>
          <w:color w:val="000000"/>
          <w:sz w:val="32"/>
        </w:rPr>
        <w:t>Hamka menutup penafsirannya dengan sebuah nasihat: **اعْدِلُوا هُوَ أَقْرَبُ لِلتَّقْوَىٰ** — *"Berlaku adillah, karena (berlaku) adil itu lebih dekat kepada takwa."* Artinya, keadilan bukan sekadar soal etika birokrasi, melainkan tangga menuju ketakwaan kepada Allah. Setiap kali seorang pegawai melayani tanpa diskriminasi, ia sedang menaiki satu anak tangga menuju surga.</w:t>
      </w:r>
    </w:p>
    <w:p>
      <w:pPr>
        <w:spacing w:line="360" w:lineRule="auto" w:before="240" w:after="120"/>
        <w:jc w:val="center"/>
      </w:pPr>
      <w:r>
        <w:rPr>
          <w:rFonts w:ascii="Times New Roman" w:hAnsi="Times New Roman" w:cs="Times New Roman"/>
          <w:b/>
          <w:i w:val="0"/>
          <w:color w:val="000000"/>
          <w:sz w:val="28"/>
        </w:rPr>
        <w:t>Bagian 3: QS Al-Balad 12-16 — Pelayanan Dhuafa sebagai Puncak Keberimanan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وَمَا أَدْرَاكَ مَا الْعَقَبَةُ . فَكُّ رَقَبَةٍ . أَوْ إِطْعَامٌ فِي يَوْمٍ ذِي مَسْغَبَةٍ . يَتِيمًا ذَا مَقْرَبَةٍ . أَوْ مِسْكِينًا ذَا مَتْرَبَةٍ</w:t>
      </w:r>
    </w:p>
    <w:p>
      <w:pPr>
        <w:spacing w:line="360" w:lineRule="auto" w:before="0" w:after="0"/>
        <w:ind w:firstLine="720"/>
        <w:jc w:val="both"/>
      </w:pPr>
      <w:r>
        <w:rPr>
          <w:rFonts w:ascii="Times New Roman" w:hAnsi="Times New Roman" w:cs="Times New Roman"/>
          <w:b w:val="0"/>
          <w:i/>
          <w:color w:val="000000"/>
          <w:sz w:val="24"/>
        </w:rPr>
        <w:t>"Dan tahukah kamu apakah jalan yang mendaki lagi sukar itu? (Yaitu) melepaskan budak, atau memberi makan pada hari terjadi kelaparan, (kepada) anak yatim yang ada hubungan kerabat, atau orang miskin yang sangat fakir."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9</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Tafsir Sya'rawi: 'Aqabah sebagai Metafora Pengorbanan</w:t>
      </w:r>
    </w:p>
    <w:p>
      <w:pPr>
        <w:spacing w:line="360" w:lineRule="auto" w:before="0" w:after="0"/>
        <w:ind w:firstLine="720"/>
        <w:jc w:val="right"/>
      </w:pPr>
      <w:r>
        <w:rPr>
          <w:rFonts w:ascii="Traditional Arabic" w:hAnsi="Traditional Arabic" w:cs="Traditional Arabic"/>
          <w:b w:val="0"/>
          <w:i w:val="0"/>
          <w:color w:val="000000"/>
          <w:sz w:val="32"/>
        </w:rPr>
        <w:t>Syeikh Muhammad Mutawalli asy-Sya'rawi (w. 1418 H) dalam tafsirnya memberikan penjelasan yang sangat menggugah tentang ayat ini. Kata **الْعَقَبَةُ** (*al-'aqabah*) secara etimologis berarti jalan di pegunungan yang terjal dan mendaki. Sya'rawi menjelaskan bahwa Allah menggunakan metafora ini untuk menggambarkan betapa beratnya jalan menuju keselamatan — ia tidaklah mudah seperti berjalan di permukaan yang rata.</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fakku raqabah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ith'amun fi yaumi dhi masghabah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val="0"/>
          <w:color w:val="000000"/>
          <w:sz w:val="32"/>
        </w:rPr>
        <w:t>Sya'rawi juga menekankan kata **ذَا مَتْرَبَةٍ** (*dha matrabah*) — orang miskin yang sangat fakir, secara harfiah berarti "yang menempel di tanah" karena ketidakberdayaannya. Ini adalah gambaran paling ekstrem dari kemiskinan: seseorang yang sudah tidak punya daya dan upaya sama sekali. Dalam konteks pelayanan publik, merekalah yang paling prioritas. Bukan pengusaha besar yang punya akses ke mana-mana, bukan pejabat yang kenal semua pintu, melainkan *al-miskin dhu matrabah* — warga paling rentan yang tidak punya siapa-siapa dan tidak bisa berbuat apa-apa.</w:t>
      </w:r>
    </w:p>
    <w:p>
      <w:pPr>
        <w:spacing w:line="360" w:lineRule="auto" w:before="160" w:after="80"/>
      </w:pPr>
      <w:r>
        <w:rPr>
          <w:rFonts w:ascii="Times New Roman" w:hAnsi="Times New Roman" w:cs="Times New Roman"/>
          <w:b/>
          <w:i w:val="0"/>
          <w:color w:val="000000"/>
          <w:sz w:val="26"/>
        </w:rPr>
        <w:t>Hadits Bukhari: Mengasihi Manusia sebagai Syarat Keimanan</w:t>
      </w:r>
    </w:p>
    <w:p>
      <w:pPr>
        <w:spacing w:line="360" w:lineRule="auto" w:before="0" w:after="0"/>
        <w:ind w:firstLine="720"/>
        <w:jc w:val="both"/>
      </w:pP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مَنْ لا يَرْحَمُ النَّاسَ لا يَرْحَمُهُ اللَّهُ</w:t>
      </w:r>
    </w:p>
    <w:p>
      <w:pPr>
        <w:spacing w:line="360" w:lineRule="auto" w:before="0" w:after="0"/>
        <w:ind w:firstLine="720"/>
        <w:jc w:val="both"/>
      </w:pPr>
      <w:r>
        <w:rPr>
          <w:rFonts w:ascii="Times New Roman" w:hAnsi="Times New Roman" w:cs="Times New Roman"/>
          <w:b w:val="0"/>
          <w:i/>
          <w:color w:val="000000"/>
          <w:sz w:val="24"/>
        </w:rPr>
        <w:t>"Siapa yang tidak mengasihi manusia, Allah tidak akan mengasihinya."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7</w:t>
      </w:r>
      <w:r>
        <w:rPr>
          <w:rFonts w:ascii="Times New Roman" w:hAnsi="Times New Roman" w:cs="Times New Roman"/>
          <w:b w:val="0"/>
          <w:i w:val="0"/>
          <w:color w:val="000000"/>
          <w:sz w:val="24"/>
        </w:rPr>
        <w:t>3</w:t>
      </w:r>
      <w:r>
        <w:rPr>
          <w:rFonts w:ascii="Times New Roman" w:hAnsi="Times New Roman" w:cs="Times New Roman"/>
          <w:b w:val="0"/>
          <w:i w:val="0"/>
          <w:color w:val="000000"/>
          <w:sz w:val="24"/>
        </w:rPr>
        <w:t>7</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rahmat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rahmat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4: Hadits Muslim No. 42 — Kepemimpinan dan Tanggung Jawab</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كُلُّكُمْ رَاعٍ وَكُلُّكُمْ مَسْئُولٌ عَنْ رَعِيَّتِهِ... وَالرَّجُلُ رَاعٍ عَلَى أَهْلِ بَيْتِهِ وَهُوَ مَسْئُولٌ عَنْهُمْ</w:t>
      </w:r>
    </w:p>
    <w:p>
      <w:pPr>
        <w:spacing w:line="360" w:lineRule="auto" w:before="0" w:after="0"/>
        <w:ind w:firstLine="720"/>
        <w:jc w:val="both"/>
      </w:pPr>
      <w:r>
        <w:rPr>
          <w:rFonts w:ascii="Times New Roman" w:hAnsi="Times New Roman" w:cs="Times New Roman"/>
          <w:b w:val="0"/>
          <w:i/>
          <w:color w:val="000000"/>
          <w:sz w:val="24"/>
        </w:rPr>
        <w:t>"Setiap kalian adalah pemimpin, dan setiap kalian akan dimintai pertanggungjawaban atas yang dipimpinnya... Dan seorang laki-laki adalah pemimpin atas keluarganya dan ia akan dimintai pertanggungjawaban atas mereka."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ra'in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5: Fiqh al-Awlawiyyat — Prioritas dalam Pelayanan Publik</w:t>
      </w:r>
    </w:p>
    <w:p>
      <w:pPr>
        <w:spacing w:line="360" w:lineRule="auto" w:before="0" w:after="0"/>
        <w:ind w:firstLine="720"/>
        <w:jc w:val="both"/>
      </w:pP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Keadilan &gt; Efisiensi</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aqrabu li at-taqwa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Pelayanan Dhuafa &gt; Pelayanan VIP</w:t>
      </w:r>
    </w:p>
    <w:p>
      <w:pPr>
        <w:spacing w:line="360" w:lineRule="auto" w:before="0" w:after="0"/>
        <w:ind w:firstLine="720"/>
        <w:jc w:val="both"/>
      </w:pP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al-miskin dhu matrabah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right"/>
      </w:pPr>
      <w:r>
        <w:rPr>
          <w:rFonts w:ascii="Traditional Arabic" w:hAnsi="Traditional Arabic" w:cs="Traditional Arabic"/>
          <w:b w:val="0"/>
          <w:i/>
          <w:color w:val="000000"/>
          <w:sz w:val="32"/>
        </w:rPr>
        <w:t>اَللّهُمَّ أَحْيِنِي مِسْكِينًا، وَأَمِتْنِي مِسْكِينًا، وَاحْشُرْنِي فِي زُمْرَةِ الْمَسَاكِينِ</w:t>
      </w:r>
    </w:p>
    <w:p>
      <w:pPr>
        <w:spacing w:line="360" w:lineRule="auto" w:before="0" w:after="0"/>
        <w:ind w:firstLine="720"/>
        <w:jc w:val="both"/>
      </w:pPr>
      <w:r>
        <w:rPr>
          <w:rFonts w:ascii="Times New Roman" w:hAnsi="Times New Roman" w:cs="Times New Roman"/>
          <w:b w:val="0"/>
          <w:i/>
          <w:color w:val="000000"/>
          <w:sz w:val="24"/>
        </w:rPr>
        <w:t>"Ya Allah, hidupkanlah aku sebagai orang miskin, matikanlah aku sebagai orang miskin, dan bangkitkanlah aku di golongan orang-orang miskin."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Transparansi &gt; Kerahasiaan</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6: Zakat sebagai Instrumen Jaminan Sosial</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ashnaf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fuqara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masakin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Pertama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Kedua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7: Relevansi bagi Pemerintahan Prabowo</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Reformasi Birokrasi dan Penyederhanaan Eselon</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Sistem Pemerintahan Berbasis Elektronik (SPBE)</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digital divide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al-miskin dhu matrabah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Gerakan Zakat Nasional</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P</w:t>
      </w:r>
      <w:r>
        <w:rPr>
          <w:rFonts w:ascii="Times New Roman" w:hAnsi="Times New Roman" w:cs="Times New Roman"/>
          <w:b w:val="0"/>
          <w:i w:val="0"/>
          <w:color w:val="000000"/>
          <w:sz w:val="24"/>
        </w:rPr>
        <w:t>J</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Bagian 8: Rekomendasi — Menuju Birokrasi yang Berkeadilan</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1. Penguatan Standar Pelayanan Minimal (SPM) dengan Indikator Keadilan</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2. Pembentukan Ombudsman Syariah</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3. Integrasi Pendidikan Anti-Diskriminasi dalam Diklat PNS</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4. Optimalisasi Zakat untuk Subsidi Layanan Publik</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5. Digitalisasi Inklusif</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6. Sanksi Berat bagi Pelaku Diskriminasi dan Pungli</w:t>
      </w:r>
    </w:p>
    <w:p>
      <w:pPr>
        <w:spacing w:line="360" w:lineRule="auto" w:before="0" w:after="0"/>
        <w:ind w:firstLine="720"/>
        <w:jc w:val="both"/>
      </w:pP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"Setiap kalian adalah pemimpin dan akan dimintai pertanggungjawaban."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Epilog: Kembali pada Fitrah Melayani</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fitrah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karamah insaniyyah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Daftar Pustaka</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Jami' al-Bayan 'an Ta'wil Ay al-Qur'an</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Tafsir Al-Azhar</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Tafsir asy-Sya'rawi</w:t>
      </w:r>
    </w:p>
    <w:p>
      <w:pPr>
        <w:spacing w:line="360" w:lineRule="auto" w:before="0" w:after="0"/>
        <w:ind w:firstLine="720"/>
        <w:jc w:val="both"/>
      </w:pP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Shahih al-Bukhari</w:t>
      </w:r>
    </w:p>
    <w:p>
      <w:pPr>
        <w:spacing w:line="360" w:lineRule="auto" w:before="0" w:after="0"/>
        <w:ind w:firstLine="720"/>
        <w:jc w:val="both"/>
      </w:pP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Shahih Muslim</w:t>
      </w:r>
    </w:p>
    <w:p>
      <w:pPr>
        <w:spacing w:line="360" w:lineRule="auto" w:before="0" w:after="0"/>
        <w:ind w:firstLine="720"/>
        <w:jc w:val="both"/>
      </w:pP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 Dirasa Jadida fi Dhau' al-Qur'an wa as-Sunnah</w:t>
      </w:r>
    </w:p>
    <w:p>
      <w:pPr>
        <w:spacing w:line="360" w:lineRule="auto" w:before="0" w:after="0"/>
        <w:ind w:firstLine="720"/>
        <w:jc w:val="both"/>
      </w:pP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Laporan Tahunan 2024</w:t>
      </w:r>
    </w:p>
    <w:p>
      <w:pPr>
        <w:spacing w:line="360" w:lineRule="auto" w:before="0" w:after="0"/>
        <w:ind w:firstLine="720"/>
        <w:jc w:val="both"/>
      </w:pPr>
      <w:r>
        <w:rPr>
          <w:rFonts w:ascii="Times New Roman" w:hAnsi="Times New Roman" w:cs="Times New Roman"/>
          <w:b w:val="0"/>
          <w:i w:val="0"/>
          <w:color w:val="000000"/>
          <w:sz w:val="24"/>
        </w:rPr>
        <w:t>9</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Survei Integritas Sektor Publik 2023</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Laporan Kondisi Kebebasan Beragama/Berkeyakinan di Indonesia 2024</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Statistik Zakat Nasional 2024</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Laporan Reformasi Birokrasi 2024</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