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240" w:after="12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Telaah QS Yusuf [12]:46–48 dan QS Quraisy [106]:3–4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Oleh: Hermes Agent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Diakses: 15 Juni 2026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Ringkasan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gemah ripah loh jinawi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?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–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8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–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Fiqh al-Awlawiyyat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240" w:after="12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Bagian 1: Ironi Negeri Agraris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8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;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9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240" w:after="12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Bagian 2: QS Yusuf [12]:46–48 — Strategi Manajemen Krisis Nabi Yusuf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Teks dan Terjemahan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Ayat 46:</w:t>
      </w:r>
    </w:p>
    <w:p>
      <w:pPr>
        <w:spacing w:line="360" w:lineRule="auto" w:before="0" w:after="0"/>
        <w:ind w:firstLine="720"/>
        <w:jc w:val="right"/>
      </w:pPr>
      <w:r>
        <w:rPr>
          <w:rFonts w:ascii="Traditional Arabic" w:hAnsi="Traditional Arabic" w:cs="Traditional Arabic"/>
          <w:b w:val="0"/>
          <w:i/>
          <w:color w:val="000000"/>
          <w:sz w:val="32"/>
        </w:rPr>
        <w:t>قَالَ يُوسُفُ أَيُّهَا الصِّدِّيقُ أَفْتِنَا فِي سَبْعِ بَقَرَاتٍ سِمَانٍ يَأْكُلُهُنَّ سَبْعٌ عِجَافٌ وَسَبْعِ سُنْبُلَاتٍ خُضْرٍ وَأُخَرَ يَابِسَاتٍ لَعَلِّي أَرْجِعُ إِلَى النَّاسِ لَعَلَّهُمْ يَعْلَمُونَ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Qāla yūsufu ayyuhaṣ-ṣiddīqu aftinā fī sab'i baqarātin simānin ya'kuluhunna sab'un 'ijāfun wa sab'i sunbulātin khuḍrin wa ukharu yābisātin la'allī arji'u ilan-nāsi la'allahum ya'lamūn.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Ayat 47:</w:t>
      </w:r>
    </w:p>
    <w:p>
      <w:pPr>
        <w:spacing w:line="360" w:lineRule="auto" w:before="0" w:after="0"/>
        <w:ind w:firstLine="720"/>
        <w:jc w:val="right"/>
      </w:pPr>
      <w:r>
        <w:rPr>
          <w:rFonts w:ascii="Traditional Arabic" w:hAnsi="Traditional Arabic" w:cs="Traditional Arabic"/>
          <w:b w:val="0"/>
          <w:i/>
          <w:color w:val="000000"/>
          <w:sz w:val="32"/>
        </w:rPr>
        <w:t>قَالَ تَزْرَعُونَ سَبْعَ سِنِينَ دَأَبًا فَمَا حَصَدْتُمْ فَذَرُوهُ فِي سُنْبُلِهِ إِلَّا قَلِيلًا مِمَّا تَأْكُلُونَ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Qāla tazra'ūna sab'a sinīna da'aban famā ḥaṣadtum fażarūhu fī sunbulihī illā qalīlam mimmā ta'kulūn.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Ayat 48:</w:t>
      </w:r>
    </w:p>
    <w:p>
      <w:pPr>
        <w:spacing w:line="360" w:lineRule="auto" w:before="0" w:after="0"/>
        <w:ind w:firstLine="720"/>
        <w:jc w:val="right"/>
      </w:pPr>
      <w:r>
        <w:rPr>
          <w:rFonts w:ascii="Traditional Arabic" w:hAnsi="Traditional Arabic" w:cs="Traditional Arabic"/>
          <w:b w:val="0"/>
          <w:i/>
          <w:color w:val="000000"/>
          <w:sz w:val="32"/>
        </w:rPr>
        <w:t>ثُمَّ يَأْتِي مِنْ بَعْدِ ذَٰلِكَ سَبْعٌ شِدَادٌ يَأْكُلْنَ مَا قَدَّمْتُمْ لَهُنَّ إِلَّا قَلِيلًا مِمَّا تُحْصِنُونَ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Ṡumma ya'tī min ba'di żālika sab'un syidādun ya'kulna mā qaddamtum lahunna illā qalīlan mimmā tuḥṣinūn.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Tafsir dan Konteks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–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8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Pertama, perencanaan jangka panjang.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Kedua, produksi berlebih sebagai kebijakan.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7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tazra'ūna sab'a sinīna da'aban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Ketiga, disiplin distribusi.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austerity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Keempat, kepemimpinan berbasis kompetensi.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aṣ-ṣiddīq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Relevansi untuk Indonesia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tazra'ūna sab'a sinīna da'aban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240" w:after="12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Bagian 3: QS Quraisy [106]:3–4 — Pangan dan Keamanan Nasional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Teks dan Terjemahan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Ayat 3:</w:t>
      </w:r>
    </w:p>
    <w:p>
      <w:pPr>
        <w:spacing w:line="360" w:lineRule="auto" w:before="0" w:after="0"/>
        <w:ind w:firstLine="720"/>
        <w:jc w:val="right"/>
      </w:pPr>
      <w:r>
        <w:rPr>
          <w:rFonts w:ascii="Traditional Arabic" w:hAnsi="Traditional Arabic" w:cs="Traditional Arabic"/>
          <w:b w:val="0"/>
          <w:i/>
          <w:color w:val="000000"/>
          <w:sz w:val="32"/>
        </w:rPr>
        <w:t>فَلْيَعْبُدُوا رَبَّ هَٰذَا الْبَيْتِ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Falya'budū rabba hāżal-bait.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Ayat 4:</w:t>
      </w:r>
    </w:p>
    <w:p>
      <w:pPr>
        <w:spacing w:line="360" w:lineRule="auto" w:before="0" w:after="0"/>
        <w:ind w:firstLine="720"/>
        <w:jc w:val="right"/>
      </w:pPr>
      <w:r>
        <w:rPr>
          <w:rFonts w:ascii="Traditional Arabic" w:hAnsi="Traditional Arabic" w:cs="Traditional Arabic"/>
          <w:b w:val="0"/>
          <w:i/>
          <w:color w:val="000000"/>
          <w:sz w:val="32"/>
        </w:rPr>
        <w:t>الَّذِي أَطْعَمَهُمْ مِنْ جُوعٍ وَآمَنَهُمْ مِنْ خَوْفٍ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Allażī aṭ'amahum min jū'in wa āmanahum min khauf.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Tafsir dan Konteks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aṭ'amahum min jū'in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āmanahum min khauf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pangan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keamanan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jū'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khauf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wa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circular causality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Relevansi untuk Indonesia: Pangan sebagai Isu Keamanan Nasional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Ancaman iklim.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–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Ancaman geopolitik.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–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Ancaman demografis.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8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%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Ancaman struktural.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&lt;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āmanahum min khauf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240" w:after="12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Bagian 4: Fiqh al-Awlawiyyat — Kewajiban Berswasembada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</w:p>
    <w:p>
      <w:pPr>
        <w:spacing w:line="360" w:lineRule="auto" w:before="0" w:after="0"/>
        <w:ind w:firstLine="720"/>
        <w:jc w:val="right"/>
      </w:pPr>
      <w:r>
        <w:rPr>
          <w:rFonts w:ascii="Traditional Arabic" w:hAnsi="Traditional Arabic" w:cs="Traditional Arabic"/>
          <w:b w:val="0"/>
          <w:i/>
          <w:color w:val="000000"/>
          <w:sz w:val="32"/>
        </w:rPr>
        <w:t>**مَا لَا يَتِمُّ الْوَاجِبُ إِلَّا بِهِ فَهُوَ وَاجِبٌ**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&gt;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Mā lā yatimmu al-wājibu illā bihi fa huwa wājib.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&gt;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Fiqh al-Awlawiyyat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ḥifẓ an-nafs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maqāṣid asy-syarī'ah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;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240" w:after="12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Bagian 5: Tawaran Kebijakan — Lima Langkah Menuju Swasembada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–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8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–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Mā lā yatimmu al-wājibu illā bihi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1. Optimasi Lahan: 60 Juta Hektar Potensi, 40 Juta Terpakai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–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Public-Private Partnership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green Sukuk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2. Modernisasi Pertanian: Dari Tradisional ke Presisi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–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%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Mekanisasi: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Digitalisasi: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Bioteknologi: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Pasca-panen: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Petani Milenial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3. Food Estate dan Lumbung Desa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food estate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Kajian AMDAL yang ketat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Keterlibatan petani lokal.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Diversifikasi komoditas.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Lumbung Desa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4. Program Makan Siang Gratis sebagai Pasar Petani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Makan Siang Gratis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market creation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18,7 juta siswa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Rp 115 triliun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8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9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9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penjamin pasar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8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7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8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7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8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9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8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9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5. Zakat Fitrah sebagai Sistem Distribusi Pangan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Tawaran: Integrasi zakat fitrah dengan program distribusi pangan nasional.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thu'atun lil-masākīn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</w:p>
    <w:p>
      <w:pPr>
        <w:spacing w:line="360" w:lineRule="auto" w:before="240" w:after="12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Bagian 6: Spirit Kebersamaan dalam Makan — Hadits, Adab, dan Budaya Nusantara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bagaimana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Hadits Makan Bersama: Keberkahan dalam Kebersamaan</w:t>
      </w:r>
    </w:p>
    <w:p>
      <w:pPr>
        <w:spacing w:line="360" w:lineRule="auto" w:before="0" w:after="0"/>
        <w:ind w:firstLine="720"/>
        <w:jc w:val="right"/>
      </w:pPr>
      <w:r>
        <w:rPr>
          <w:rFonts w:ascii="Traditional Arabic" w:hAnsi="Traditional Arabic" w:cs="Traditional Arabic"/>
          <w:b w:val="0"/>
          <w:i w:val="0"/>
          <w:color w:val="000000"/>
          <w:sz w:val="32"/>
        </w:rPr>
        <w:t>Rasulullah ﷺ bersabda:</w:t>
      </w:r>
    </w:p>
    <w:p>
      <w:pPr>
        <w:spacing w:line="360" w:lineRule="auto" w:before="0" w:after="0"/>
        <w:ind w:firstLine="720"/>
        <w:jc w:val="right"/>
      </w:pPr>
      <w:r>
        <w:rPr>
          <w:rFonts w:ascii="Traditional Arabic" w:hAnsi="Traditional Arabic" w:cs="Traditional Arabic"/>
          <w:b w:val="0"/>
          <w:i/>
          <w:color w:val="000000"/>
          <w:sz w:val="32"/>
        </w:rPr>
        <w:t>**طعام الاثنين كافي الثلاثة، وطعام الثلاثة كافي الأربعة**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&gt;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"Makanan untuk dua orang cukup untuk tiga orang, dan makanan untuk tiga orang cukup untuk empat orang."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&gt;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i/>
          <w:color w:val="000000"/>
          <w:sz w:val="24"/>
        </w:rPr>
        <w:t>(HR. Abu Dawud No. 3764, juga diriwayatkan Ibnu Majah No. 3286)</w:t>
      </w:r>
    </w:p>
    <w:p>
      <w:pPr>
        <w:spacing w:line="360" w:lineRule="auto" w:before="0" w:after="0"/>
        <w:ind w:firstLine="720"/>
        <w:jc w:val="right"/>
      </w:pPr>
      <w:r>
        <w:rPr>
          <w:rFonts w:ascii="Traditional Arabic" w:hAnsi="Traditional Arabic" w:cs="Traditional Arabic"/>
          <w:b w:val="0"/>
          <w:i w:val="0"/>
          <w:color w:val="000000"/>
          <w:sz w:val="32"/>
        </w:rPr>
        <w:t>Dalam riwayat lain, dari Jabir bin Abdillah RA, Rasulullah ﷺ bersabda:</w:t>
      </w:r>
    </w:p>
    <w:p>
      <w:pPr>
        <w:spacing w:line="360" w:lineRule="auto" w:before="0" w:after="0"/>
        <w:ind w:firstLine="720"/>
        <w:jc w:val="right"/>
      </w:pPr>
      <w:r>
        <w:rPr>
          <w:rFonts w:ascii="Traditional Arabic" w:hAnsi="Traditional Arabic" w:cs="Traditional Arabic"/>
          <w:b w:val="0"/>
          <w:i/>
          <w:color w:val="000000"/>
          <w:sz w:val="32"/>
        </w:rPr>
        <w:t>**طعام الواحد يكفي الاثنين، وطعام الاثنين يكفي الأربعة**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&gt;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"Makanan satu orang cukup untuk dua orang, dan makanan dua orang cukup untuk empat orang."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&gt;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i/>
          <w:color w:val="000000"/>
          <w:sz w:val="24"/>
        </w:rPr>
        <w:t>(HR. Bukhari No. 5376, HR. Muslim No. 2022)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barakah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QS Al-Ahzab [33]:21 — Teladan dalam Setiap Aspek Kehidupan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</w:p>
    <w:p>
      <w:pPr>
        <w:spacing w:line="360" w:lineRule="auto" w:before="0" w:after="0"/>
        <w:ind w:firstLine="720"/>
        <w:jc w:val="right"/>
      </w:pPr>
      <w:r>
        <w:rPr>
          <w:rFonts w:ascii="Traditional Arabic" w:hAnsi="Traditional Arabic" w:cs="Traditional Arabic"/>
          <w:b w:val="0"/>
          <w:i/>
          <w:color w:val="000000"/>
          <w:sz w:val="32"/>
        </w:rPr>
        <w:t>**لَّقَدْ كَانَ لَكُمْ فِي رَسُولِ اللَّهِ أُسْوَةٌ حَسَنَةٌ لِّمَن كَانَ يَرْجُو اللَّهَ وَالْيَوْمَ الْآخِرَ وَذَكَرَ اللَّهَ كَثِيرًا**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Laqad kāna lakum fī rasūlillāhi uswatun ḥasanatun liman kāna yarjullāha wal-yaumal-ākhira wa żakarallāha katsīrā.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(QS. Al-Ahzab [33]:21)</w:t>
      </w:r>
    </w:p>
    <w:p>
      <w:pPr>
        <w:spacing w:line="360" w:lineRule="auto" w:before="0" w:after="0"/>
        <w:ind w:firstLine="720"/>
        <w:jc w:val="right"/>
      </w:pPr>
      <w:r>
        <w:rPr>
          <w:rFonts w:ascii="Traditional Arabic" w:hAnsi="Traditional Arabic" w:cs="Traditional Arabic"/>
          <w:b w:val="0"/>
          <w:i w:val="0"/>
          <w:color w:val="000000"/>
          <w:sz w:val="32"/>
        </w:rPr>
        <w:t>Ayat ini menegaskan bahwa Rasulullah ﷺ adalah *uswatun hasanah* — teladan yang sempurna — dalam seluruh aspek kehidupan, termasuk dalam adab makan dan interaksi sosial. Tidak ada satu pun detail kehidupan yang luput dari bimbingan beliau.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Adab Makan dalam Islam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</w:p>
    <w:p>
      <w:pPr>
        <w:spacing w:line="360" w:lineRule="auto" w:before="0" w:after="0"/>
        <w:ind w:firstLine="720"/>
        <w:jc w:val="right"/>
      </w:pPr>
      <w:r>
        <w:rPr>
          <w:rFonts w:ascii="Traditional Arabic" w:hAnsi="Traditional Arabic" w:cs="Traditional Arabic"/>
          <w:b w:val="0"/>
          <w:i w:val="0"/>
          <w:color w:val="000000"/>
          <w:sz w:val="32"/>
        </w:rPr>
        <w:t>1. **Membaca Bismillah** sebelum makan. Rasulullah ﷺ bersabda: "Ucapkanlah Bismillah, makanlah dengan tangan kananmu, dan makanlah dari apa yang ada di dekatmu." (HR. Bukhari No. 5376, HR. Muslim No. 2022)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Makan dengan tangan kanan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Makan dari yang terdekat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Tidak mencela makanan.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;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Tidak makan berlebihan.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syukur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adl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iqtishad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Tradisi Ngeliwet: Kearifan Lokal yang Selaras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ngeliwet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liwetan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makan terasa lebih nikmat dan berkah ketika dibagi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7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7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Pelajaran dari Peristiwa 2017: Adab Makan di Panggung Dunia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8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7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x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7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</w:p>
    <w:p>
      <w:pPr>
        <w:spacing w:line="360" w:lineRule="auto" w:before="240" w:after="12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Bagian 7: Kesimpulan — Antara Mimpi Firaun dan Realitas Indonesia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&amp;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[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]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</w:p>
    <w:p>
      <w:pPr>
        <w:spacing w:line="360" w:lineRule="auto" w:before="0" w:after="0"/>
        <w:ind w:firstLine="720"/>
        <w:jc w:val="right"/>
      </w:pPr>
      <w:r>
        <w:rPr>
          <w:rFonts w:ascii="Traditional Arabic" w:hAnsi="Traditional Arabic" w:cs="Traditional Arabic"/>
          <w:b w:val="0"/>
          <w:i/>
          <w:color w:val="000000"/>
          <w:sz w:val="32"/>
        </w:rPr>
        <w:t>قُلْ لَا يَسْتَوِي الْخَبِيثُ وَالطَّيِّبُ وَلَوْ أَعْجَبَكَ كَثْرَةُ الْخَبِيثِ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Qul lā yastawī al-khabītsu waṭ-ṭayyibu wa law a'jabaka katsratul-khabīts.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Wallāhu a'lam biṣ-ṣawāb.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Daftar Referensi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[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]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–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8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[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]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–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[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]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8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Fiqh al-Awlawiyyat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9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9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Statistik Indonesia 2025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Roadmap Swasembada Pangan 2025–2029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7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Laporan Tahunan Ketersediaan Beras 2025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8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Kajian Ketahanan Pangan Nasional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9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The State of Food Security and Nutrition in the World 2025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Outlook Zakat Nasional 2025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Prevalensi Stunting 2025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7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&amp;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8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7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&amp;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"Tillerson warned over left-handed handshake at Saudi lunch"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8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7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Perkembangan Program Makan Siang Gratis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Artikel ini ditulis sebagai bagian dari Karya Tulis Ilmiah Populer untuk kajian Ketahanan Pangan dalam Perspektif Islam.</w:t>
      </w:r>
    </w:p>
    <w:sectPr w:rsidR="00FC693F" w:rsidRPr="0006063C" w:rsidSect="00034616">
      <w:pgSz w:w="12240" w:h="15840"/>
      <w:pgMar w:top="2268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