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cs="Times New Roman"/>
          <w:b/>
          <w:i w:val="0"/>
          <w:color w:val="000000"/>
          <w:sz w:val="28"/>
        </w:rPr>
        <w:t>1. Pendahuluan: Krisis Iklim sebagai Persoalan Iman</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1</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M</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2</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µ</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³</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7</w:t>
      </w: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2. QS Al-An'am [6]:141 — Fondasi Zakat Pertanian dan Kedaulatan Pangan Berkelanjutan</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"Dan Dialah yang menjadikan kebun-kebun yang berjunjung dan yang tidak berjunjung, pohon kurma, tanam-tanaman yang bermacam-macam buahnya, zaitun dan delima yang serupa dan tidak sama rasanya. Makanlah buahnya apabila ia berbuah, dan tunaikanlah haknya di hari memetik hasilnya; dan janganlah kamu berlebih-lebihan. Sesungguhnya Allah tidak menyukai orang-orang yang berlebih-lebihan."</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Pertama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Kedua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Ketiga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Keempat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3. QS Al-Qasas [28]:77 — Keseimbangan Dunia-Akhirat dan Larangan Merusak</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"Dan carilah pada apa yang telah dianugerahkan Allah kepadamu kebahagiaan negeri akhirat, dan janganlah kamu melupakan bagianmu dari kenikmatan duniawi. Dan berbuat baiklah sebagaimana Allah telah berbuat baik kepadamu, dan janganlah kamu berbuat kerusakan di bumi. Sungguh, Allah tidak menyukai orang-orang yang berbuat kerusakan."</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Prinsip keseimbangan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Prinsip altruisme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Prinsip anti-rusak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S</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4. Potensi Zakat Indonesia: Celah Besar antara Harapan dan Realita</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2</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8</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f</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5. Wakaf Lingkungan: Instrumen Abadi untuk Pelestarian Bumi</w:t>
      </w:r>
    </w:p>
    <w:p>
      <w:pPr>
        <w:spacing w:line="360" w:lineRule="auto" w:before="0" w:after="0"/>
        <w:ind w:firstLine="720"/>
        <w:jc w:val="both"/>
      </w:pP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o</w:t>
      </w:r>
      <w:r>
        <w:rPr>
          <w:rFonts w:ascii="Times New Roman" w:hAnsi="Times New Roman" w:cs="Times New Roman"/>
          <w:b w:val="0"/>
          <w:i w:val="0"/>
          <w:color w:val="000000"/>
          <w:sz w:val="24"/>
        </w:rPr>
        <w:t>c</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wakaf hutan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wakaf energi terbarukan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wakaf air bersih</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wakaf lahan pertanian berkelanjutan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8</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6. Kawasan Lindung Islami Warisan Peradaban</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7. Ekonomi Hijau sebagai Prioritas Jangka Panjang</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Pertama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Kedua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Ketiga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Keempat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8. Penutup: Menuju Indonesia Emas 2045 yang Berkelanjutan</w:t>
      </w:r>
    </w:p>
    <w:p>
      <w:pPr>
        <w:spacing w:line="360" w:lineRule="auto" w:before="0" w:after="0"/>
        <w:ind w:firstLine="720"/>
        <w:jc w:val="both"/>
      </w:pP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7</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2</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8</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4</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