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120"/>
        <w:jc w:val="center"/>
      </w:pPr>
      <w:r>
        <w:rPr>
          <w:rFonts w:ascii="Times New Roman" w:hAnsi="Times New Roman"/>
          <w:b/>
          <w:sz w:val="28"/>
        </w:rPr>
        <w:t>Zakat untuk Ketahanan Pangan: Menggali Potensi Filantropi Islam di Tengah Darurat Pangan Nasional</w:t>
      </w:r>
    </w:p>
    <w:p>
      <w:pPr>
        <w:spacing w:line="360" w:lineRule="auto" w:after="240"/>
        <w:jc w:val="center"/>
      </w:pPr>
      <w:r>
        <w:rPr>
          <w:rFonts w:ascii="Times New Roman" w:hAnsi="Times New Roman"/>
          <w:sz w:val="24"/>
        </w:rPr>
        <w:t>**Oleh: Abdullaah**</w:t>
      </w:r>
    </w:p>
    <w:p>
      <w:pPr>
        <w:spacing w:line="360" w:lineRule="auto" w:before="360" w:after="120"/>
        <w:jc w:val="left"/>
      </w:pPr>
      <w:r>
        <w:rPr>
          <w:rFonts w:ascii="Times New Roman" w:hAnsi="Times New Roman"/>
          <w:b/>
          <w:sz w:val="24"/>
        </w:rPr>
        <w:t>A. PENDAHULUAN</w:t>
      </w:r>
    </w:p>
    <w:p>
      <w:pPr>
        <w:spacing w:line="360" w:lineRule="auto" w:before="240" w:after="60"/>
        <w:jc w:val="left"/>
      </w:pPr>
      <w:r>
        <w:rPr>
          <w:rFonts w:ascii="Times New Roman" w:hAnsi="Times New Roman"/>
          <w:b/>
          <w:sz w:val="24"/>
        </w:rPr>
        <w:t>Fakta Sosial</w:t>
      </w:r>
    </w:p>
    <w:p>
      <w:pPr>
        <w:spacing w:line="360" w:lineRule="auto" w:before="0" w:after="60"/>
        <w:jc w:val="both"/>
      </w:pPr>
      <w:r>
        <w:rPr>
          <w:rFonts w:ascii="Times New Roman" w:hAnsi="Times New Roman"/>
          <w:sz w:val="24"/>
        </w:rPr>
        <w:t>Indonesia menghadapi ironi pangan yang pelik. Sebagai negara agraris dengan 60 juta hektar lahan potensial, Indonesia masih mengimpor 4,2 juta ton beras pada tahun 2025 (BPS, 2025). Lebih dari separuh petani — tepatnya 57,4% atau 16,89 juta jiwa — adalah petani gurem dengan penguasaan lahan kurang dari setengah hektar (BPS, Sensus Pertanian 2023). Angka ini meningkat 3,7 juta jiwa dibanding Sensus 2013, menunjukkan bahwa fragmentasi lahan semakin parah.</w:t>
      </w:r>
    </w:p>
    <w:p>
      <w:pPr>
        <w:spacing w:line="360" w:lineRule="auto" w:before="0" w:after="60"/>
        <w:jc w:val="both"/>
      </w:pPr>
      <w:r>
        <w:rPr>
          <w:rFonts w:ascii="Times New Roman" w:hAnsi="Times New Roman"/>
          <w:sz w:val="24"/>
        </w:rPr>
        <w:t>Di sisi konsumsi, prevalensi stunting masih berada di angka 21,6% (SSGI, 2023), jauh dari target nasional 14% pada tahun 2025. Ironisnya, di tengah kelaparan struktural ini, Indonesia juga mengalami food loss dan waste yang sangat besar: sekitar 25-30% dari total produksi pangan hilang di tahap produksi dan distribusi, dengan nilai kerugian ekonomi mencapai Rp 213-551 triliun per tahun (Bappenas, 2023). Sampah makanan sendiri mencapai 23-48 juta ton per tahun, atau sekitar 30% dari total sampah nasional (KLHK, 2025).</w:t>
      </w:r>
    </w:p>
    <w:p>
      <w:pPr>
        <w:spacing w:line="360" w:lineRule="auto" w:before="240" w:after="60"/>
        <w:jc w:val="left"/>
      </w:pPr>
      <w:r>
        <w:rPr>
          <w:rFonts w:ascii="Times New Roman" w:hAnsi="Times New Roman"/>
          <w:b/>
          <w:sz w:val="24"/>
        </w:rPr>
        <w:t>Fakta Literatur dan Research Gap</w:t>
      </w:r>
    </w:p>
    <w:p>
      <w:pPr>
        <w:spacing w:line="360" w:lineRule="auto" w:before="0" w:after="60"/>
        <w:jc w:val="both"/>
      </w:pPr>
      <w:r>
        <w:rPr>
          <w:rFonts w:ascii="Times New Roman" w:hAnsi="Times New Roman"/>
          <w:sz w:val="24"/>
        </w:rPr>
        <w:t>Di tengah krisis pangan ini, terdapat potensi filantropi Islam yang sangat besar. Potensi zakat nasional mencapai Rp 327 triliun per tahun (BAZNAS Outlook, 2024), namun realisasinya baru sekitar Rp 41 triliun pada tahun 2024 — hanya 12,5% dari potensi. Artinya, masih ada sekitar Rp 286 triliun potensi zakat yang belum tergarap.</w:t>
      </w:r>
    </w:p>
    <w:p>
      <w:pPr>
        <w:spacing w:line="360" w:lineRule="auto" w:before="0" w:after="60"/>
        <w:jc w:val="both"/>
      </w:pPr>
      <w:r>
        <w:rPr>
          <w:rFonts w:ascii="Times New Roman" w:hAnsi="Times New Roman"/>
          <w:sz w:val="24"/>
        </w:rPr>
        <w:t>Penelitian tentang zakat dan ketahanan pangan sudah cukup banyak. Huda dan Sawarjuwono (2020) meneliti pengaruh zakat produktif terhadap ketahanan pangan mustahik di Jawa Timur dan menemukan peningkatan skor Food Consumption Score sebesar 15 poin. Firdaus dan Beik (2021) mengkaji optimalisasi zakat produktif berbasis pertanian terpadu di Lombok dan melaporkan kenaikan produksi beras mustahik hingga 1,2 ton per hektar. Azizah dan Wibowo (2023) mengevaluasi program zakat produktif berbasis klaster pangan di lima provinsi dan mencatat peningkatan Indeks Ketahanan Pangan mustahik dari 55 menjadi 72 dalam dua tahun. Syamsuri dkk. (2024) menunjukkan bahwa integrasi zakat produktif dengan pendampingan agronomi meningkatkan pendapatan petani mustahik sebesar 45%.</w:t>
      </w:r>
    </w:p>
    <w:p>
      <w:pPr>
        <w:spacing w:line="360" w:lineRule="auto" w:before="0" w:after="60"/>
        <w:jc w:val="both"/>
      </w:pPr>
      <w:r>
        <w:rPr>
          <w:rFonts w:ascii="Times New Roman" w:hAnsi="Times New Roman"/>
          <w:sz w:val="24"/>
        </w:rPr>
        <w:t xml:space="preserve">Namun demikian, dari seluruh studi tersebut, belum ada satu pun yang secara sistematis menggunakan kerangka </w:t>
      </w:r>
      <w:r>
        <w:rPr>
          <w:rFonts w:ascii="Times New Roman" w:hAnsi="Times New Roman"/>
          <w:b/>
          <w:sz w:val="24"/>
        </w:rPr>
        <w:t>Fikih Prioritas (Fiqh al-Awlawiyyat)</w:t>
      </w:r>
      <w:r>
        <w:rPr>
          <w:rFonts w:ascii="Times New Roman" w:hAnsi="Times New Roman"/>
          <w:sz w:val="24"/>
        </w:rPr>
        <w:t xml:space="preserve"> untuk menentukan prioritas distribusi dan pemberdayaan zakat dalam konteks ketahanan pangan. Beberapa studi tentang Fikih Prioritas dalam distribusi zakat — seperti Nasution (2020), Hafidhuddin dan Karim (2021), serta Yusuf dan Siregar (2022) — masih bersifat konseptual dan belum diterapkan secara konkret pada sektor pangan. Padahal, dalam kondisi sumber daya terbatas (realisasi zakat baru 12,5% dari potensi), kemampuan memilah mustahik dan program mana yang lebih prioritas menjadi sangat krusial.</w:t>
      </w:r>
    </w:p>
    <w:p>
      <w:pPr>
        <w:spacing w:line="360" w:lineRule="auto" w:before="240" w:after="60"/>
        <w:jc w:val="left"/>
      </w:pPr>
      <w:r>
        <w:rPr>
          <w:rFonts w:ascii="Times New Roman" w:hAnsi="Times New Roman"/>
          <w:b/>
          <w:sz w:val="24"/>
        </w:rPr>
        <w:t>Argumen dan Tujuan</w:t>
      </w:r>
    </w:p>
    <w:p>
      <w:pPr>
        <w:spacing w:line="360" w:lineRule="auto" w:before="0" w:after="60"/>
        <w:jc w:val="both"/>
      </w:pPr>
      <w:r>
        <w:rPr>
          <w:rFonts w:ascii="Times New Roman" w:hAnsi="Times New Roman"/>
          <w:sz w:val="24"/>
        </w:rPr>
        <w:t xml:space="preserve">Tulisan ini berargumen bahwa zakat — khususnya zakat pertanian dan zakat fitrah — memiliki potensi strategis sebagai instrumen ketahanan pangan nasional jika dikelola dengan kerangka Fikih Prioritas. Fikih Prioritas memberikan pedoman untuk menentukan mana yang lebih didahulukan </w:t>
      </w:r>
      <w:r>
        <w:rPr>
          <w:rFonts w:ascii="Times New Roman" w:hAnsi="Times New Roman"/>
          <w:i/>
          <w:sz w:val="24"/>
        </w:rPr>
        <w:t>(al-ahamm fa al-ahamm)</w:t>
      </w:r>
      <w:r>
        <w:rPr>
          <w:rFonts w:ascii="Times New Roman" w:hAnsi="Times New Roman"/>
          <w:sz w:val="24"/>
        </w:rPr>
        <w:t xml:space="preserve"> di tengah keterbatasan sumber daya, sejalan dengan kaidah </w:t>
      </w:r>
      <w:r>
        <w:rPr>
          <w:rFonts w:ascii="Times New Roman" w:hAnsi="Times New Roman"/>
          <w:i/>
          <w:sz w:val="24"/>
        </w:rPr>
        <w:t>"la yutraku ma'lumun li majhulin"</w:t>
      </w:r>
      <w:r>
        <w:rPr>
          <w:rFonts w:ascii="Times New Roman" w:hAnsi="Times New Roman"/>
          <w:sz w:val="24"/>
        </w:rPr>
        <w:t xml:space="preserve"> — jangan tinggalkan yang sudah pasti demi yang belum jelas hasilnya.</w:t>
      </w:r>
    </w:p>
    <w:p>
      <w:pPr>
        <w:spacing w:line="360" w:lineRule="auto" w:before="0" w:after="60"/>
        <w:jc w:val="both"/>
      </w:pPr>
      <w:r>
        <w:rPr>
          <w:rFonts w:ascii="Times New Roman" w:hAnsi="Times New Roman"/>
          <w:sz w:val="24"/>
        </w:rPr>
        <w:t>Tujuan tulisan ini adalah merumuskan prioritas distribusi zakat untuk ketahanan pangan berdasarkan nilai-nilai universal Al-Qur'an dan kerangka Fikih Prioritas.</w:t>
      </w:r>
    </w:p>
    <w:p>
      <w:pPr>
        <w:spacing w:line="360" w:lineRule="auto" w:before="360" w:after="120"/>
        <w:jc w:val="left"/>
      </w:pPr>
      <w:r>
        <w:rPr>
          <w:rFonts w:ascii="Times New Roman" w:hAnsi="Times New Roman"/>
          <w:b/>
          <w:sz w:val="24"/>
        </w:rPr>
        <w:t>B. LANDASAN TEORI DAN TINJAUAN PUSTAKA</w:t>
      </w:r>
    </w:p>
    <w:p>
      <w:pPr>
        <w:spacing w:line="360" w:lineRule="auto" w:before="240" w:after="60"/>
        <w:jc w:val="left"/>
      </w:pPr>
      <w:r>
        <w:rPr>
          <w:rFonts w:ascii="Times New Roman" w:hAnsi="Times New Roman"/>
          <w:b/>
          <w:sz w:val="24"/>
        </w:rPr>
        <w:t>Research Gap</w:t>
      </w:r>
    </w:p>
    <w:p>
      <w:pPr>
        <w:spacing w:line="360" w:lineRule="auto" w:before="0" w:after="60"/>
        <w:jc w:val="both"/>
      </w:pPr>
      <w:r>
        <w:rPr>
          <w:rFonts w:ascii="Times New Roman" w:hAnsi="Times New Roman"/>
          <w:sz w:val="24"/>
        </w:rPr>
        <w:t>Berdasarkan tinjauan terhadap lima studi terdahulu tentang zakat produktif dan ketahanan pangan (Huda &amp; Sawarjuwono, 2020; Firdaus &amp; Beik, 2021; Ridwan &amp; Hasanah, 2022; Azizah &amp; Wibowo, 2023; Syamsuri dkk., 2024), ditemukan beberapa celah. Pertama, seluruh studi berfokus pada dampak ekonomi zakat produktif, tetapi belum ada yang membahas kerangka prioritas distribusi. Kedua, studi tentang Fikih Prioritas dalam zakat (Nasution, 2020; Hafidhuddin &amp; Karim, 2021; Yusuf &amp; Siregar, 2022) masih bersifat normatif-teoretis dan belum dielaborasi dengan ayat-ayat Al-Qur'an secara mendalam. Ketiga, belum ada penelitian yang mengintegrasikan zakat fitrah sebagai jaring pengaman pangan nasional ke dalam skema prioritas yang sistematis. Tulisan ini mengisi celah tersebut dengan menawarkan kerangka prioritas distribusi zakat yang berlandaskan QS Al-An'am [6]:141 dan diperkuat oleh ayat-ayat pendukung lainnya.</w:t>
      </w:r>
    </w:p>
    <w:p>
      <w:pPr>
        <w:spacing w:line="360" w:lineRule="auto" w:before="240" w:after="60"/>
        <w:jc w:val="left"/>
      </w:pPr>
      <w:r>
        <w:rPr>
          <w:rFonts w:ascii="Times New Roman" w:hAnsi="Times New Roman"/>
          <w:b/>
          <w:sz w:val="24"/>
        </w:rPr>
        <w:t>Ayat Utama: QS Al-An'am [6]:141</w:t>
      </w:r>
    </w:p>
    <w:p>
      <w:pPr>
        <w:spacing w:line="360" w:lineRule="auto" w:before="120" w:after="60"/>
        <w:jc w:val="center"/>
      </w:pPr>
      <w:r>
        <w:rPr>
          <w:rFonts w:ascii="Traditional Arabic" w:hAnsi="Traditional Arabic" w:eastAsia="Traditional Arabic"/>
          <w:color w:val="000000"/>
          <w:sz w:val="32"/>
        </w:rPr>
        <w:t>Allah ﷻ berfirman:</w:t>
      </w:r>
    </w:p>
    <w:p>
      <w:pPr>
        <w:spacing w:line="360" w:lineRule="auto" w:before="120" w:after="60"/>
        <w:jc w:val="center"/>
      </w:pPr>
      <w:r>
        <w:rPr>
          <w:rFonts w:ascii="Traditional Arabic" w:hAnsi="Traditional Arabic" w:eastAsia="Traditional Arabic"/>
          <w:color w:val="000000"/>
          <w:sz w:val="32"/>
        </w:rPr>
        <w:t>&gt; ۞ وَهُوَ الَّذِي أَنشَأَ جَنَّاتٍ مَّعْرُوشَاتٍ وَغَيْرَ مَعْرُوشَاتٍ وَالنَّخْلَ وَالزَّرْعَ مُخْتَلِفًا أُكُلُهُ وَالزَّيْتُونَ وَالرُّمَّانَ مُتَشَابِهًا وَغَيْرَ مُتَشَابِهٍ ۚ كُلُوا مِن ثَمَرِهِ إِذَا أَثْمَرَ وَآتُوا حَقَّهُ يَوْمَ حَصَادِهِ ۖ وَلَا تُسْرِفُوا ۚ إِنَّهُ لَا يُحِبُّ الْمُسْرِفِينَ</w:t>
      </w:r>
    </w:p>
    <w:p>
      <w:pPr>
        <w:spacing w:line="360" w:lineRule="auto" w:before="60" w:after="120"/>
        <w:ind w:left="567"/>
        <w:jc w:val="both"/>
      </w:pPr>
      <w:r>
        <w:rPr>
          <w:rFonts w:ascii="Times New Roman" w:hAnsi="Times New Roman"/>
          <w:i/>
          <w:sz w:val="24"/>
        </w:rPr>
        <w:t>"Dan Dialah yang menjadikan kebun-kebun yang berjunjung dan yang tidak berjunjung, pohon kurma, tanaman yang beraneka ragam buahnya, zaitun dan delima yang serupa (bentuk dan warnanya) dan tidak serupa (rasanya). Makanlah dari buahnya apabila ia berbuah, dan tunaikanlah haknya di hari memetik hasilnya; dan janganlah berlebih-lebihan. Sungguh, Allah tidak menyukai orang yang berlebih-lebihan."</w:t>
      </w:r>
    </w:p>
    <w:p>
      <w:pPr>
        <w:spacing w:line="360" w:lineRule="auto" w:before="0" w:after="60"/>
        <w:jc w:val="both"/>
      </w:pPr>
      <w:r>
        <w:rPr>
          <w:rFonts w:ascii="Times New Roman" w:hAnsi="Times New Roman"/>
          <w:sz w:val="24"/>
        </w:rPr>
      </w:r>
      <w:r>
        <w:rPr>
          <w:rFonts w:ascii="Times New Roman" w:hAnsi="Times New Roman"/>
          <w:b/>
          <w:sz w:val="24"/>
        </w:rPr>
        <w:t>Asbabun Nuzul.</w:t>
      </w:r>
      <w:r>
        <w:rPr>
          <w:rFonts w:ascii="Times New Roman" w:hAnsi="Times New Roman"/>
          <w:sz w:val="24"/>
        </w:rPr>
        <w:t xml:space="preserve"> Ayat ini turun berkaitan dengan kebiasaan masyarakat musyrik Arab yang mengharamkan sebagian hasil pertanian dan binatang ternak tertentu (seperti al-bahirah dan as-sa'ibah) sebagai bentuk pengabdian kepada berhala. Al-Thabari dalam </w:t>
      </w:r>
      <w:r>
        <w:rPr>
          <w:rFonts w:ascii="Times New Roman" w:hAnsi="Times New Roman"/>
          <w:i/>
          <w:sz w:val="24"/>
        </w:rPr>
        <w:t>Jami' al-Bayan</w:t>
      </w:r>
      <w:r>
        <w:rPr>
          <w:rFonts w:ascii="Times New Roman" w:hAnsi="Times New Roman"/>
          <w:sz w:val="24"/>
        </w:rPr>
        <w:t xml:space="preserve"> meriwayatkan dari Ibnu Abbas dan Mujahid bahwa ayat ini membatalkan tradisi tersebut dan mengembalikan otoritas penetapan halal-haram hanya kepada Allah. Al-Qurthubi dalam </w:t>
      </w:r>
      <w:r>
        <w:rPr>
          <w:rFonts w:ascii="Times New Roman" w:hAnsi="Times New Roman"/>
          <w:i/>
          <w:sz w:val="24"/>
        </w:rPr>
        <w:t>Al-Jami' li Ahkam al-Qur'an</w:t>
      </w:r>
      <w:r>
        <w:rPr>
          <w:rFonts w:ascii="Times New Roman" w:hAnsi="Times New Roman"/>
          <w:sz w:val="24"/>
        </w:rPr>
        <w:t xml:space="preserve"> (juz 7, hlm. 127) menambahkan bahwa ayat ini juga membantah praktik musyrikin yang membagi hasil bumi secara tidak adil — ada yang untuk berhala, ada yang untuk manusia, dan yang untuk berhala tidak boleh dimakan manusia.</w:t>
      </w:r>
    </w:p>
    <w:p>
      <w:pPr>
        <w:spacing w:line="360" w:lineRule="auto" w:before="0" w:after="60"/>
        <w:jc w:val="both"/>
      </w:pPr>
      <w:r>
        <w:rPr>
          <w:rFonts w:ascii="Times New Roman" w:hAnsi="Times New Roman"/>
          <w:sz w:val="24"/>
        </w:rPr>
      </w:r>
      <w:r>
        <w:rPr>
          <w:rFonts w:ascii="Times New Roman" w:hAnsi="Times New Roman"/>
          <w:b/>
          <w:sz w:val="24"/>
        </w:rPr>
        <w:t>Tafsir Ayat.</w:t>
      </w:r>
      <w:r>
        <w:rPr>
          <w:rFonts w:ascii="Times New Roman" w:hAnsi="Times New Roman"/>
          <w:sz w:val="24"/>
        </w:rPr>
        <w:t xml:space="preserve"> Ibnu Katsir dalam </w:t>
      </w:r>
      <w:r>
        <w:rPr>
          <w:rFonts w:ascii="Times New Roman" w:hAnsi="Times New Roman"/>
          <w:i/>
          <w:sz w:val="24"/>
        </w:rPr>
        <w:t>Tafsir al-Qur'an al-'Azhim</w:t>
      </w:r>
      <w:r>
        <w:rPr>
          <w:rFonts w:ascii="Times New Roman" w:hAnsi="Times New Roman"/>
          <w:sz w:val="24"/>
        </w:rPr>
        <w:t xml:space="preserve"> menjelaskan bahwa </w:t>
      </w:r>
      <w:r>
        <w:rPr>
          <w:rFonts w:ascii="Times New Roman" w:hAnsi="Times New Roman"/>
          <w:b/>
          <w:sz w:val="24"/>
        </w:rPr>
        <w:t>"haknya" *(haqqahu)* pada ayat ini adalah zakat yang diwajibkan</w:t>
      </w:r>
      <w:r>
        <w:rPr>
          <w:rFonts w:ascii="Times New Roman" w:hAnsi="Times New Roman"/>
          <w:sz w:val="24"/>
        </w:rPr>
        <w:t xml:space="preserve"> atas hasil pertanian, sebagaimana diperkuat oleh hadits riwayat Bukhari (no. 1454), Muslim (no. 981), Abu Dawud (no. 1597), dan Tirmidzi (no. 640) yang menyepakati: tanaman yang diairi air hujan zakatnya 10%, yang diairi dengan biaya/irigasi zakatnya 5%. Konsep ini menunjukkan fleksibilitas Islam — besaran zakat disesuaikan dengan tingkat kesulitan produksi.</w:t>
      </w:r>
    </w:p>
    <w:p>
      <w:pPr>
        <w:spacing w:line="360" w:lineRule="auto" w:before="0" w:after="60"/>
        <w:jc w:val="both"/>
      </w:pPr>
      <w:r>
        <w:rPr>
          <w:rFonts w:ascii="Times New Roman" w:hAnsi="Times New Roman"/>
          <w:sz w:val="24"/>
        </w:rPr>
        <w:t xml:space="preserve">Al-Qurthubi mengomentari </w:t>
      </w:r>
      <w:r>
        <w:rPr>
          <w:rFonts w:ascii="Times New Roman" w:hAnsi="Times New Roman"/>
          <w:b/>
          <w:sz w:val="24"/>
        </w:rPr>
        <w:t>"wa la tusrifu"</w:t>
      </w:r>
      <w:r>
        <w:rPr>
          <w:rFonts w:ascii="Times New Roman" w:hAnsi="Times New Roman"/>
          <w:sz w:val="24"/>
        </w:rPr>
        <w:t xml:space="preserve"> (jangan berlebih-lebihan) dengan tiga penafsiran: (1) jangan mengambil hak orang lain (zakat) secara berlebihan sehingga merugikan mustahik lain; (2) jangan membelanjakan harta melampaui batas syariat; dan (3) jangan memakan semua hasil panen hingga melupakan zakat. Tafsir ketiga inilah yang paling relevan dengan konteks ketahanan pangan — larangan </w:t>
      </w:r>
      <w:r>
        <w:rPr>
          <w:rFonts w:ascii="Times New Roman" w:hAnsi="Times New Roman"/>
          <w:i/>
          <w:sz w:val="24"/>
        </w:rPr>
        <w:t>israf</w:t>
      </w:r>
      <w:r>
        <w:rPr>
          <w:rFonts w:ascii="Times New Roman" w:hAnsi="Times New Roman"/>
          <w:sz w:val="24"/>
        </w:rPr>
        <w:t xml:space="preserve"> mencakup larangan menimbun pangan saat orang lain kelaparan.</w:t>
      </w:r>
    </w:p>
    <w:p>
      <w:pPr>
        <w:spacing w:line="360" w:lineRule="auto" w:before="0" w:after="60"/>
        <w:jc w:val="both"/>
      </w:pPr>
      <w:r>
        <w:rPr>
          <w:rFonts w:ascii="Times New Roman" w:hAnsi="Times New Roman"/>
          <w:sz w:val="24"/>
        </w:rPr>
        <w:t xml:space="preserve">Al-Sa'di dalam </w:t>
      </w:r>
      <w:r>
        <w:rPr>
          <w:rFonts w:ascii="Times New Roman" w:hAnsi="Times New Roman"/>
          <w:i/>
          <w:sz w:val="24"/>
        </w:rPr>
        <w:t>Taysir al-Karim al-Rahman</w:t>
      </w:r>
      <w:r>
        <w:rPr>
          <w:rFonts w:ascii="Times New Roman" w:hAnsi="Times New Roman"/>
          <w:sz w:val="24"/>
        </w:rPr>
        <w:t xml:space="preserve"> menekankan bahwa ayat ini mengajarkan keseimbangan </w:t>
      </w:r>
      <w:r>
        <w:rPr>
          <w:rFonts w:ascii="Times New Roman" w:hAnsi="Times New Roman"/>
          <w:i/>
          <w:sz w:val="24"/>
        </w:rPr>
        <w:t>(tawazun)</w:t>
      </w:r>
      <w:r>
        <w:rPr>
          <w:rFonts w:ascii="Times New Roman" w:hAnsi="Times New Roman"/>
          <w:sz w:val="24"/>
        </w:rPr>
        <w:t>: antara konsumsi pribadi dan kewajiban sosial, antara produktivitas dan keberkahan. Pelit dan boros sama-sama dilarang.</w:t>
      </w:r>
    </w:p>
    <w:p>
      <w:pPr>
        <w:spacing w:line="360" w:lineRule="auto" w:before="0" w:after="60"/>
        <w:jc w:val="both"/>
      </w:pPr>
      <w:r>
        <w:rPr>
          <w:rFonts w:ascii="Times New Roman" w:hAnsi="Times New Roman"/>
          <w:sz w:val="24"/>
        </w:rPr>
      </w:r>
      <w:r>
        <w:rPr>
          <w:rFonts w:ascii="Times New Roman" w:hAnsi="Times New Roman"/>
          <w:b/>
          <w:sz w:val="24"/>
        </w:rPr>
        <w:t>Kisah Sahabat.</w:t>
      </w:r>
      <w:r>
        <w:rPr>
          <w:rFonts w:ascii="Times New Roman" w:hAnsi="Times New Roman"/>
          <w:sz w:val="24"/>
        </w:rPr>
        <w:t xml:space="preserve"> Relevan dengan semangat zakat produktif ayat ini, terdapat kisrah masyhur dari Umar bin Khattab dalam </w:t>
      </w:r>
      <w:r>
        <w:rPr>
          <w:rFonts w:ascii="Times New Roman" w:hAnsi="Times New Roman"/>
          <w:i/>
          <w:sz w:val="24"/>
        </w:rPr>
        <w:t>Muwaththa' Malik</w:t>
      </w:r>
      <w:r>
        <w:rPr>
          <w:rFonts w:ascii="Times New Roman" w:hAnsi="Times New Roman"/>
          <w:sz w:val="24"/>
        </w:rPr>
        <w:t xml:space="preserve"> (Kitab al-Shadaqah, no. 1825): seorang lelaki miskin datang meminta zakat. Umar tidak memberinya uang tunai, melainkan tali dan kampak, seraya berkata: </w:t>
      </w:r>
      <w:r>
        <w:rPr>
          <w:rFonts w:ascii="Times New Roman" w:hAnsi="Times New Roman"/>
          <w:i/>
          <w:sz w:val="24"/>
        </w:rPr>
        <w:t>"Pergilah, cari kayu bakar, jual, dan usahakan dirimu sendiri. Jangan sampai aku melihatmu meminta-minta lagi."</w:t>
      </w:r>
      <w:r>
        <w:rPr>
          <w:rFonts w:ascii="Times New Roman" w:hAnsi="Times New Roman"/>
          <w:sz w:val="24"/>
        </w:rPr>
        <w:t xml:space="preserve"> Riwayat ini menjadi fondasi konsep zakat produktif — memberdayakan mustahik dengan modal kerja, bukan sekadar memberi konsumsi.</w:t>
      </w:r>
    </w:p>
    <w:p>
      <w:pPr>
        <w:spacing w:line="360" w:lineRule="auto" w:before="240" w:after="60"/>
        <w:jc w:val="left"/>
      </w:pPr>
      <w:r>
        <w:rPr>
          <w:rFonts w:ascii="Times New Roman" w:hAnsi="Times New Roman"/>
          <w:b/>
          <w:sz w:val="24"/>
        </w:rPr>
        <w:t>Ayat Pendukung</w:t>
      </w:r>
    </w:p>
    <w:p>
      <w:pPr>
        <w:spacing w:line="360" w:lineRule="auto" w:before="0" w:after="60"/>
        <w:jc w:val="both"/>
      </w:pPr>
      <w:r>
        <w:rPr>
          <w:rFonts w:ascii="Times New Roman" w:hAnsi="Times New Roman"/>
          <w:sz w:val="24"/>
        </w:rPr>
      </w:r>
      <w:r>
        <w:rPr>
          <w:rFonts w:ascii="Times New Roman" w:hAnsi="Times New Roman"/>
          <w:b/>
          <w:sz w:val="24"/>
        </w:rPr>
        <w:t>QS Al-Baqarah [2]:168.</w:t>
      </w:r>
      <w:r>
        <w:rPr>
          <w:rFonts w:ascii="Times New Roman" w:hAnsi="Times New Roman"/>
          <w:sz w:val="24"/>
        </w:rPr>
        <w:t xml:space="preserve"> Allah berfirman: </w:t>
      </w:r>
      <w:r>
        <w:rPr>
          <w:rFonts w:ascii="Times New Roman" w:hAnsi="Times New Roman"/>
          <w:i/>
          <w:sz w:val="24"/>
        </w:rPr>
        <w:t xml:space="preserve">"Wahai manusia! Makanlah dari (makanan) yang halal dan baik </w:t>
      </w:r>
      <w:r>
        <w:rPr>
          <w:rFonts w:ascii="Times New Roman" w:hAnsi="Times New Roman"/>
          <w:sz w:val="24"/>
        </w:rPr>
        <w:t>(thayyib)</w:t>
      </w:r>
      <w:r>
        <w:rPr>
          <w:rFonts w:ascii="Times New Roman" w:hAnsi="Times New Roman"/>
          <w:i/>
          <w:sz w:val="24"/>
        </w:rPr>
        <w:t xml:space="preserve"> yang terdapat di bumi..."</w:t>
      </w:r>
      <w:r>
        <w:rPr>
          <w:rFonts w:ascii="Times New Roman" w:hAnsi="Times New Roman"/>
          <w:sz w:val="24"/>
        </w:rPr>
        <w:t xml:space="preserve"> Ayat ini menegaskan bahwa pangan harus memenuhi dua syarat: halal (cara peroleh) dan thayyib (bergizi, aman, berkualitas). Zakat sebagai instrumen distribusi harus memastikan kedua aspek ini terpenuhi bagi mustahik — bukan sekadar memberi makanan, tetapi memberi makanan yang layak dan bergizi.</w:t>
      </w:r>
    </w:p>
    <w:p>
      <w:pPr>
        <w:spacing w:line="360" w:lineRule="auto" w:before="0" w:after="60"/>
        <w:jc w:val="both"/>
      </w:pPr>
      <w:r>
        <w:rPr>
          <w:rFonts w:ascii="Times New Roman" w:hAnsi="Times New Roman"/>
          <w:sz w:val="24"/>
        </w:rPr>
      </w:r>
      <w:r>
        <w:rPr>
          <w:rFonts w:ascii="Times New Roman" w:hAnsi="Times New Roman"/>
          <w:b/>
          <w:sz w:val="24"/>
        </w:rPr>
        <w:t>QS Al-Hasyr [59]:7.</w:t>
      </w:r>
      <w:r>
        <w:rPr>
          <w:rFonts w:ascii="Times New Roman" w:hAnsi="Times New Roman"/>
          <w:sz w:val="24"/>
        </w:rPr>
        <w:t xml:space="preserve"> Allah berfirman: </w:t>
      </w:r>
      <w:r>
        <w:rPr>
          <w:rFonts w:ascii="Times New Roman" w:hAnsi="Times New Roman"/>
          <w:i/>
          <w:sz w:val="24"/>
        </w:rPr>
        <w:t>"...agar harta itu jangan hanya beredar di antara orang-orang kaya saja di antara kamu."</w:t>
      </w:r>
      <w:r>
        <w:rPr>
          <w:rFonts w:ascii="Times New Roman" w:hAnsi="Times New Roman"/>
          <w:sz w:val="24"/>
        </w:rPr>
        <w:t xml:space="preserve"> Ayat ini menjadi landasan filosofis redistribusi kekayaan dalam Islam. Zakat adalah mekanisme utama untuk memutus sirkulasi harta yang hanya berputar di kalangan elite. Dalam konteks ketahanan pangan, ayat ini mendorong agar sumber daya pangan didistribusikan secara merata, tidak ditimbun oleh segelintir pelaku usaha besar.</w:t>
      </w:r>
    </w:p>
    <w:p>
      <w:pPr>
        <w:spacing w:line="360" w:lineRule="auto" w:before="0" w:after="60"/>
        <w:jc w:val="both"/>
      </w:pPr>
      <w:r>
        <w:rPr>
          <w:rFonts w:ascii="Times New Roman" w:hAnsi="Times New Roman"/>
          <w:sz w:val="24"/>
        </w:rPr>
      </w:r>
      <w:r>
        <w:rPr>
          <w:rFonts w:ascii="Times New Roman" w:hAnsi="Times New Roman"/>
          <w:b/>
          <w:sz w:val="24"/>
        </w:rPr>
        <w:t>QS Al-Qashash [28]:77.</w:t>
      </w:r>
      <w:r>
        <w:rPr>
          <w:rFonts w:ascii="Times New Roman" w:hAnsi="Times New Roman"/>
          <w:sz w:val="24"/>
        </w:rPr>
        <w:t xml:space="preserve"> Allah berfirman: </w:t>
      </w:r>
      <w:r>
        <w:rPr>
          <w:rFonts w:ascii="Times New Roman" w:hAnsi="Times New Roman"/>
          <w:i/>
          <w:sz w:val="24"/>
        </w:rPr>
        <w:t>"...Dan janganlah kamu lupakan bagianmu di dunia..."</w:t>
      </w:r>
      <w:r>
        <w:rPr>
          <w:rFonts w:ascii="Times New Roman" w:hAnsi="Times New Roman"/>
          <w:sz w:val="24"/>
        </w:rPr>
        <w:t xml:space="preserve"> Ayat ini mengajarkan keseimbangan </w:t>
      </w:r>
      <w:r>
        <w:rPr>
          <w:rFonts w:ascii="Times New Roman" w:hAnsi="Times New Roman"/>
          <w:i/>
          <w:sz w:val="24"/>
        </w:rPr>
        <w:t>(tawazun)</w:t>
      </w:r>
      <w:r>
        <w:rPr>
          <w:rFonts w:ascii="Times New Roman" w:hAnsi="Times New Roman"/>
          <w:sz w:val="24"/>
        </w:rPr>
        <w:t xml:space="preserve"> antara kepentingan akhirat dan dunia. Dalam distribusi zakat, ini berarti keseimbangan antara program konsumtif (jaring pengaman darurat) dan produktif (pemberdayaan jangka panjang).</w:t>
      </w:r>
    </w:p>
    <w:p>
      <w:pPr>
        <w:spacing w:line="360" w:lineRule="auto" w:before="360" w:after="120"/>
        <w:jc w:val="left"/>
      </w:pPr>
      <w:r>
        <w:rPr>
          <w:rFonts w:ascii="Times New Roman" w:hAnsi="Times New Roman"/>
          <w:b/>
          <w:sz w:val="24"/>
        </w:rPr>
        <w:t>C. TAWARAN GAGASAN BERBASIS NILAI-NILAI UNIVERSAL AL-QUR'AN</w:t>
      </w:r>
    </w:p>
    <w:p>
      <w:pPr>
        <w:spacing w:line="360" w:lineRule="auto" w:before="240" w:after="60"/>
        <w:jc w:val="left"/>
      </w:pPr>
      <w:r>
        <w:rPr>
          <w:rFonts w:ascii="Times New Roman" w:hAnsi="Times New Roman"/>
          <w:b/>
          <w:sz w:val="24"/>
        </w:rPr>
        <w:t>1. Zakat Fitrah sebagai Jaring Pengaman Pangan Nasional</w:t>
      </w:r>
    </w:p>
    <w:p>
      <w:pPr>
        <w:spacing w:line="360" w:lineRule="auto" w:before="0" w:after="60"/>
        <w:jc w:val="both"/>
      </w:pPr>
      <w:r>
        <w:rPr>
          <w:rFonts w:ascii="Times New Roman" w:hAnsi="Times New Roman"/>
          <w:sz w:val="24"/>
        </w:rPr>
        <w:t xml:space="preserve">Zakat fitrah memiliki potensi yang sangat besar namun selama ini terfragmentasi. Dengan jumlah penduduk Indonesia sekitar 280 juta jiwa dan rata-rata 2,5 kg beras per jiwa (setara Rp 37.500,- per jiwa), potensi zakat fitrah mencapai </w:t>
      </w:r>
      <w:r>
        <w:rPr>
          <w:rFonts w:ascii="Times New Roman" w:hAnsi="Times New Roman"/>
          <w:b/>
          <w:sz w:val="24"/>
        </w:rPr>
        <w:t>700 ribu ton beras per tahun</w:t>
      </w:r>
      <w:r>
        <w:rPr>
          <w:rFonts w:ascii="Times New Roman" w:hAnsi="Times New Roman"/>
          <w:sz w:val="24"/>
        </w:rPr>
        <w:t xml:space="preserve"> — cukup untuk memenuhi kebutuhan pokok 3,8 juta jiwa selama setahun.</w:t>
      </w:r>
    </w:p>
    <w:p>
      <w:pPr>
        <w:spacing w:line="360" w:lineRule="auto" w:before="0" w:after="60"/>
        <w:jc w:val="both"/>
      </w:pPr>
      <w:r>
        <w:rPr>
          <w:rFonts w:ascii="Times New Roman" w:hAnsi="Times New Roman"/>
          <w:sz w:val="24"/>
        </w:rPr>
        <w:t xml:space="preserve">Dalam kerangka Fikih Prioritas, zakat fitrah berada pada level </w:t>
      </w:r>
      <w:r>
        <w:rPr>
          <w:rFonts w:ascii="Times New Roman" w:hAnsi="Times New Roman"/>
          <w:b/>
          <w:sz w:val="24"/>
        </w:rPr>
        <w:t>daruriyyat</w:t>
      </w:r>
      <w:r>
        <w:rPr>
          <w:rFonts w:ascii="Times New Roman" w:hAnsi="Times New Roman"/>
          <w:sz w:val="24"/>
        </w:rPr>
        <w:t xml:space="preserve"> (kebutuhan primer): ia adalah jaring pengaman yang memastikan tidak ada seorang muslim pun yang kelaparan di hari raya. Prioritasnya mutlak dan tidak bisa ditunda. Namun realitasnya, distribusi zakat fitrah masih bersifat sporadis — diberikan dalam bentuk beras mentah kepada mustahik di sekitar muzaki, tanpa direncanakan sebagai bagian dari sistem ketahanan pangan nasional.</w:t>
      </w:r>
    </w:p>
    <w:p>
      <w:pPr>
        <w:spacing w:line="360" w:lineRule="auto" w:before="0" w:after="60"/>
        <w:jc w:val="both"/>
      </w:pPr>
      <w:r>
        <w:rPr>
          <w:rFonts w:ascii="Times New Roman" w:hAnsi="Times New Roman"/>
          <w:sz w:val="24"/>
        </w:rPr>
        <w:t xml:space="preserve">Gagasan yang ditawarkan: </w:t>
      </w:r>
      <w:r>
        <w:rPr>
          <w:rFonts w:ascii="Times New Roman" w:hAnsi="Times New Roman"/>
          <w:b/>
          <w:sz w:val="24"/>
        </w:rPr>
        <w:t>sentralisasi pengelolaan zakat fitrah di tingkat desa melalui Lembaga Amil Zakat (LAZ) desa atau Unit Pengumpul Zakat (UPZ)</w:t>
      </w:r>
      <w:r>
        <w:rPr>
          <w:rFonts w:ascii="Times New Roman" w:hAnsi="Times New Roman"/>
          <w:sz w:val="24"/>
        </w:rPr>
        <w:t xml:space="preserve">. Beras zakat fitrah tidak dibagikan seluruhnya saat Idul Fitri, tetapi sebagian disimpan sebagai cadangan pangan desa </w:t>
      </w:r>
      <w:r>
        <w:rPr>
          <w:rFonts w:ascii="Times New Roman" w:hAnsi="Times New Roman"/>
          <w:i/>
          <w:sz w:val="24"/>
        </w:rPr>
        <w:t>(buffer stock)</w:t>
      </w:r>
      <w:r>
        <w:rPr>
          <w:rFonts w:ascii="Times New Roman" w:hAnsi="Times New Roman"/>
          <w:sz w:val="24"/>
        </w:rPr>
        <w:t xml:space="preserve"> untuk tiga bulan ke depan. Model ini telah diuji oleh Nurhayati dan Yulianti (2020) yang menunjukkan bahwa lumbung desa mampu menyediakan stok beras rata-rata 5 ton per desa dan menstabilkan harga di tingkat lokal.</w:t>
      </w:r>
    </w:p>
    <w:p>
      <w:pPr>
        <w:spacing w:line="360" w:lineRule="auto" w:before="240" w:after="60"/>
        <w:jc w:val="left"/>
      </w:pPr>
      <w:r>
        <w:rPr>
          <w:rFonts w:ascii="Times New Roman" w:hAnsi="Times New Roman"/>
          <w:b/>
          <w:sz w:val="24"/>
        </w:rPr>
        <w:t>2. Zakat Mal Produktif untuk Pemberdayaan Petani Gurem</w:t>
      </w:r>
    </w:p>
    <w:p>
      <w:pPr>
        <w:spacing w:line="360" w:lineRule="auto" w:before="0" w:after="60"/>
        <w:jc w:val="both"/>
      </w:pPr>
      <w:r>
        <w:rPr>
          <w:rFonts w:ascii="Times New Roman" w:hAnsi="Times New Roman"/>
          <w:sz w:val="24"/>
        </w:rPr>
        <w:t xml:space="preserve">Jika zakat fitrah bersifat konsumtif-darurat, zakat mal — khususnya zakat pertanian dan zakat profesi — dapat diorientasikan pada program pemberdayaan produktif. Sasaran utama adalah </w:t>
      </w:r>
      <w:r>
        <w:rPr>
          <w:rFonts w:ascii="Times New Roman" w:hAnsi="Times New Roman"/>
          <w:b/>
          <w:sz w:val="24"/>
        </w:rPr>
        <w:t>16,89 juta petani gurem</w:t>
      </w:r>
      <w:r>
        <w:rPr>
          <w:rFonts w:ascii="Times New Roman" w:hAnsi="Times New Roman"/>
          <w:sz w:val="24"/>
        </w:rPr>
        <w:t xml:space="preserve"> yang menguasai lahan rata-rata hanya 0,32 hektar.</w:t>
      </w:r>
    </w:p>
    <w:p>
      <w:pPr>
        <w:spacing w:line="360" w:lineRule="auto" w:before="0" w:after="60"/>
        <w:jc w:val="both"/>
      </w:pPr>
      <w:r>
        <w:rPr>
          <w:rFonts w:ascii="Times New Roman" w:hAnsi="Times New Roman"/>
          <w:sz w:val="24"/>
        </w:rPr>
        <w:t xml:space="preserve">Berdasarkan data BAZNAS, saat ini 60% distribusi zakat masih bersifat konsumtif dan hanya 30% untuk program ekonomi produktif. Gagasan ini mengusulkan </w:t>
      </w:r>
      <w:r>
        <w:rPr>
          <w:rFonts w:ascii="Times New Roman" w:hAnsi="Times New Roman"/>
          <w:b/>
          <w:sz w:val="24"/>
        </w:rPr>
        <w:t>reorientasi skala prioritas</w:t>
      </w:r>
      <w:r>
        <w:rPr>
          <w:rFonts w:ascii="Times New Roman" w:hAnsi="Times New Roman"/>
          <w:sz w:val="24"/>
        </w:rPr>
        <w:t>: setidaknya 50% dana zakat mal diarahkan ke sektor produktif pertanian, dengan tiga program unggulan:</w:t>
      </w:r>
    </w:p>
    <w:p>
      <w:pPr>
        <w:spacing w:line="360" w:lineRule="auto" w:before="60" w:after="60"/>
        <w:ind w:left="567"/>
      </w:pPr>
      <w:r>
        <w:rPr>
          <w:rFonts w:ascii="Times New Roman" w:hAnsi="Times New Roman"/>
          <w:sz w:val="24"/>
        </w:rPr>
      </w:r>
      <w:r>
        <w:rPr>
          <w:rFonts w:ascii="Times New Roman" w:hAnsi="Times New Roman"/>
          <w:b/>
          <w:sz w:val="24"/>
        </w:rPr>
        <w:t>Pertama, Qardhul Hasan untuk Modal Pertanian.</w:t>
      </w:r>
      <w:r>
        <w:rPr>
          <w:rFonts w:ascii="Times New Roman" w:hAnsi="Times New Roman"/>
          <w:sz w:val="24"/>
        </w:rPr>
        <w:t xml:space="preserve"> Memberikan pinjaman tanpa bunga kepada petani gurem untuk membeli bibit unggul, pupuk organik, dan alat produksi. Model ini telah terbukti oleh Firdaus dan Beik (2021) di Lombok: program zakat produktif berbasis pertanian terpadu (padi + ikan) mampu menaikkan produksi beras mustahik hingga 1,2 ton per hektar dan mengurangi pengeluaran pangan hingga 30%. Syamsuri dkk. (2024) di Sulawesi Selatan menambahkan bahwa integrasi zakat produktif dengan pendampingan agronomi menghasilkan peningkatan pendapatan petani mustahik sebesar 45%.</w:t>
      </w:r>
    </w:p>
    <w:p>
      <w:pPr>
        <w:spacing w:line="360" w:lineRule="auto" w:before="60" w:after="60"/>
        <w:ind w:left="567"/>
      </w:pPr>
      <w:r>
        <w:rPr>
          <w:rFonts w:ascii="Times New Roman" w:hAnsi="Times New Roman"/>
          <w:sz w:val="24"/>
        </w:rPr>
      </w:r>
      <w:r>
        <w:rPr>
          <w:rFonts w:ascii="Times New Roman" w:hAnsi="Times New Roman"/>
          <w:b/>
          <w:sz w:val="24"/>
        </w:rPr>
        <w:t>Kedua, Aset Produktif untuk Petani.</w:t>
      </w:r>
      <w:r>
        <w:rPr>
          <w:rFonts w:ascii="Times New Roman" w:hAnsi="Times New Roman"/>
          <w:sz w:val="24"/>
        </w:rPr>
        <w:t xml:space="preserve"> Mengikuti sunnah Umar bin Khattab, zakat tidak selalu berupa uang tunai tetapi dapat berupa aset produktif: sapi perah, kambing, alat pertanian modern, atau mesin penggiling padi skala desa. Ridwan dan Hasanah (2022) membuktikan bahwa pemberian aset produktif lebih efektif daripada uang tunai dalam meningkatkan ketahanan pangan jangka panjang — karena aset menghasilkan pendapatan berkelanjutan, bukan sekadar konsumsi sesaat.</w:t>
      </w:r>
    </w:p>
    <w:p>
      <w:pPr>
        <w:spacing w:line="360" w:lineRule="auto" w:before="60" w:after="60"/>
        <w:ind w:left="567"/>
      </w:pPr>
      <w:r>
        <w:rPr>
          <w:rFonts w:ascii="Times New Roman" w:hAnsi="Times New Roman"/>
          <w:sz w:val="24"/>
        </w:rPr>
      </w:r>
      <w:r>
        <w:rPr>
          <w:rFonts w:ascii="Times New Roman" w:hAnsi="Times New Roman"/>
          <w:b/>
          <w:sz w:val="24"/>
        </w:rPr>
        <w:t>Ketiga, Program Edukasi Gizi.</w:t>
      </w:r>
      <w:r>
        <w:rPr>
          <w:rFonts w:ascii="Times New Roman" w:hAnsi="Times New Roman"/>
          <w:sz w:val="24"/>
        </w:rPr>
        <w:t xml:space="preserve"> Sejalan dengan QS Al-Baqarah [2]:168 tentang pangan yang *thayyib*, zakat juga harus mendanai edukasi gizi bagi ibu hamil dan balita untuk menekan angka stunting. Azizah dan Wibowo (2023) mencatat bahwa program zakat produktif berbasis klaster pangan di lima provinsi meningkatkan Indeks Ketahanan Pangan mustahik dari 55 ke 72 dalam dua tahun — dan salah satu komponennya adalah edukasi gizi.</w:t>
      </w:r>
    </w:p>
    <w:p>
      <w:pPr>
        <w:spacing w:line="360" w:lineRule="auto" w:before="240" w:after="60"/>
        <w:jc w:val="left"/>
      </w:pPr>
      <w:r>
        <w:rPr>
          <w:rFonts w:ascii="Times New Roman" w:hAnsi="Times New Roman"/>
          <w:b/>
          <w:sz w:val="24"/>
        </w:rPr>
        <w:t>3. Lumbung Desa Berbasis Zakat sebagai Buffer Stock Pangan Nasional</w:t>
      </w:r>
    </w:p>
    <w:p>
      <w:pPr>
        <w:spacing w:line="360" w:lineRule="auto" w:before="0" w:after="60"/>
        <w:jc w:val="both"/>
      </w:pPr>
      <w:r>
        <w:rPr>
          <w:rFonts w:ascii="Times New Roman" w:hAnsi="Times New Roman"/>
          <w:sz w:val="24"/>
        </w:rPr>
        <w:t xml:space="preserve">Gagasan ini merupakan integrasi antara potensi zakat pertanian dan kearifan lokal lumbung desa. Dalam tradisi agraris Nusantara, lumbung desa </w:t>
      </w:r>
      <w:r>
        <w:rPr>
          <w:rFonts w:ascii="Times New Roman" w:hAnsi="Times New Roman"/>
          <w:i/>
          <w:sz w:val="24"/>
        </w:rPr>
        <w:t>(lumbung paceklik)</w:t>
      </w:r>
      <w:r>
        <w:rPr>
          <w:rFonts w:ascii="Times New Roman" w:hAnsi="Times New Roman"/>
          <w:sz w:val="24"/>
        </w:rPr>
        <w:t xml:space="preserve"> telah lama menjadi institusi penyangga pangan masyarakat. Namun, banyak lumbung desa yang mati karena kurangnya modal dan manajemen.</w:t>
      </w:r>
    </w:p>
    <w:p>
      <w:pPr>
        <w:spacing w:line="360" w:lineRule="auto" w:before="0" w:after="60"/>
        <w:jc w:val="both"/>
      </w:pPr>
      <w:r>
        <w:rPr>
          <w:rFonts w:ascii="Times New Roman" w:hAnsi="Times New Roman"/>
          <w:sz w:val="24"/>
        </w:rPr>
        <w:t xml:space="preserve">Model yang ditawarkan: </w:t>
      </w:r>
      <w:r>
        <w:rPr>
          <w:rFonts w:ascii="Times New Roman" w:hAnsi="Times New Roman"/>
          <w:b/>
          <w:sz w:val="24"/>
        </w:rPr>
        <w:t>setiap desa pertanian membentuk Lumbung Zakat Desa (LZD)</w:t>
      </w:r>
      <w:r>
        <w:rPr>
          <w:rFonts w:ascii="Times New Roman" w:hAnsi="Times New Roman"/>
          <w:sz w:val="24"/>
        </w:rPr>
        <w:t xml:space="preserve"> yang dikelola oleh BAZNAS desa bekerja sama dengan BUMDes. Sumber dana berasal dari zakat pertanian (10% dari hasil panen untuk petani yang telah mencapai nishab), zakat fitrah (2,5 kg beras per jiwa), serta infak dan sedekah warga. Lumbung ini berfungsi sebagai:</w:t>
      </w:r>
    </w:p>
    <w:p>
      <w:pPr>
        <w:spacing w:line="360" w:lineRule="auto" w:before="60" w:after="60"/>
        <w:ind w:left="567"/>
      </w:pPr>
      <w:r>
        <w:rPr>
          <w:rFonts w:ascii="Times New Roman" w:hAnsi="Times New Roman"/>
          <w:sz w:val="24"/>
        </w:rPr>
        <w:t xml:space="preserve">1. </w:t>
      </w:r>
      <w:r>
        <w:rPr>
          <w:rFonts w:ascii="Times New Roman" w:hAnsi="Times New Roman"/>
          <w:b/>
          <w:sz w:val="24"/>
        </w:rPr>
        <w:t>Penyangga harga</w:t>
      </w:r>
      <w:r>
        <w:rPr>
          <w:rFonts w:ascii="Times New Roman" w:hAnsi="Times New Roman"/>
          <w:sz w:val="24"/>
        </w:rPr>
        <w:t xml:space="preserve"> — membeli hasil panen petani saat harga jatuh *(panen raya)* dan menjualnya saat paceklik</w:t>
      </w:r>
    </w:p>
    <w:p>
      <w:pPr>
        <w:spacing w:line="360" w:lineRule="auto" w:before="60" w:after="60"/>
        <w:ind w:left="567"/>
      </w:pPr>
      <w:r>
        <w:rPr>
          <w:rFonts w:ascii="Times New Roman" w:hAnsi="Times New Roman"/>
          <w:sz w:val="24"/>
        </w:rPr>
        <w:t xml:space="preserve">2. </w:t>
      </w:r>
      <w:r>
        <w:rPr>
          <w:rFonts w:ascii="Times New Roman" w:hAnsi="Times New Roman"/>
          <w:b/>
          <w:sz w:val="24"/>
        </w:rPr>
        <w:t>Cadangan pangan</w:t>
      </w:r>
      <w:r>
        <w:rPr>
          <w:rFonts w:ascii="Times New Roman" w:hAnsi="Times New Roman"/>
          <w:sz w:val="24"/>
        </w:rPr>
        <w:t xml:space="preserve"> — menyediakan stok beras minimal 3 bulan konsumsi desa</w:t>
      </w:r>
    </w:p>
    <w:p>
      <w:pPr>
        <w:spacing w:line="360" w:lineRule="auto" w:before="60" w:after="60"/>
        <w:ind w:left="567"/>
      </w:pPr>
      <w:r>
        <w:rPr>
          <w:rFonts w:ascii="Times New Roman" w:hAnsi="Times New Roman"/>
          <w:sz w:val="24"/>
        </w:rPr>
        <w:t xml:space="preserve">3. </w:t>
      </w:r>
      <w:r>
        <w:rPr>
          <w:rFonts w:ascii="Times New Roman" w:hAnsi="Times New Roman"/>
          <w:b/>
          <w:sz w:val="24"/>
        </w:rPr>
        <w:t>Distribusi darurat</w:t>
      </w:r>
      <w:r>
        <w:rPr>
          <w:rFonts w:ascii="Times New Roman" w:hAnsi="Times New Roman"/>
          <w:sz w:val="24"/>
        </w:rPr>
        <w:t xml:space="preserve"> — menyalurkan pangan kepada mustahik saat bencana atau krisis</w:t>
      </w:r>
    </w:p>
    <w:p>
      <w:pPr>
        <w:spacing w:line="360" w:lineRule="auto" w:before="0" w:after="60"/>
        <w:jc w:val="both"/>
      </w:pPr>
      <w:r>
        <w:rPr>
          <w:rFonts w:ascii="Times New Roman" w:hAnsi="Times New Roman"/>
          <w:sz w:val="24"/>
        </w:rPr>
        <w:t>Susanto dan Wahyuni (2021) dalam risetnya tentang model lumbung desa berbasis zakat menemukan bahwa setiap desa dapat memiliki stok pangan setara tiga bulan konsumsi dari hasil zakat pertanian saja. Dengan 75.000 desa di Indonesia, potensi ini menjadi sangat signifikan sebagai sistem ketahanan pangan nasional yang terdesentralisasi.</w:t>
      </w:r>
    </w:p>
    <w:p>
      <w:pPr>
        <w:spacing w:line="360" w:lineRule="auto" w:before="240" w:after="60"/>
        <w:jc w:val="left"/>
      </w:pPr>
      <w:r>
        <w:rPr>
          <w:rFonts w:ascii="Times New Roman" w:hAnsi="Times New Roman"/>
          <w:b/>
          <w:sz w:val="24"/>
        </w:rPr>
        <w:t>4. Skala Prioritas Distribusi: al-Ahamm fa al-Ahamm</w:t>
      </w:r>
    </w:p>
    <w:p>
      <w:pPr>
        <w:spacing w:line="360" w:lineRule="auto" w:before="0" w:after="60"/>
        <w:jc w:val="both"/>
      </w:pPr>
      <w:r>
        <w:rPr>
          <w:rFonts w:ascii="Times New Roman" w:hAnsi="Times New Roman"/>
          <w:sz w:val="24"/>
        </w:rPr>
        <w:t xml:space="preserve">Dalam kerangka Fikih Prioritas, distribusi zakat untuk ketahanan pangan harus mengikuti prinsip </w:t>
      </w:r>
      <w:r>
        <w:rPr>
          <w:rFonts w:ascii="Times New Roman" w:hAnsi="Times New Roman"/>
          <w:i/>
          <w:sz w:val="24"/>
        </w:rPr>
        <w:t>al-ahamm fa al-ahamm</w:t>
      </w:r>
      <w:r>
        <w:rPr>
          <w:rFonts w:ascii="Times New Roman" w:hAnsi="Times New Roman"/>
          <w:sz w:val="24"/>
        </w:rPr>
        <w:t xml:space="preserve"> (mendahulukan yang lebih penting):</w:t>
      </w:r>
    </w:p>
    <w:p>
      <w:pPr>
        <w:spacing w:line="240" w:lineRule="auto" w:before="40" w:after="40"/>
      </w:pPr>
      <w:r>
        <w:rPr>
          <w:rFonts w:ascii="Times New Roman" w:hAnsi="Times New Roman"/>
          <w:sz w:val="22"/>
        </w:rPr>
        <w:t>• Level</w:t>
      </w:r>
      <w:r>
        <w:rPr>
          <w:rFonts w:ascii="Times New Roman" w:hAnsi="Times New Roman"/>
          <w:sz w:val="22"/>
        </w:rPr>
        <w:t xml:space="preserve"> — Kategori</w:t>
      </w:r>
      <w:r>
        <w:rPr>
          <w:rFonts w:ascii="Times New Roman" w:hAnsi="Times New Roman"/>
          <w:sz w:val="22"/>
        </w:rPr>
        <w:t xml:space="preserve"> — Indikator</w:t>
      </w:r>
      <w:r>
        <w:rPr>
          <w:rFonts w:ascii="Times New Roman" w:hAnsi="Times New Roman"/>
          <w:sz w:val="22"/>
        </w:rPr>
        <w:t xml:space="preserve"> — Contoh Program</w:t>
      </w:r>
    </w:p>
    <w:p>
      <w:pPr>
        <w:spacing w:line="240" w:lineRule="auto" w:before="40" w:after="40"/>
      </w:pPr>
      <w:r>
        <w:rPr>
          <w:rFonts w:ascii="Times New Roman" w:hAnsi="Times New Roman"/>
          <w:sz w:val="22"/>
        </w:rPr>
        <w:t>• Daruriyyat (Primer)</w:t>
      </w:r>
      <w:r>
        <w:rPr>
          <w:rFonts w:ascii="Times New Roman" w:hAnsi="Times New Roman"/>
          <w:sz w:val="22"/>
        </w:rPr>
        <w:t xml:space="preserve"> — Pangan pokok darurat</w:t>
      </w:r>
      <w:r>
        <w:rPr>
          <w:rFonts w:ascii="Times New Roman" w:hAnsi="Times New Roman"/>
          <w:sz w:val="22"/>
        </w:rPr>
        <w:t xml:space="preserve"> — Fakir, miskin, stunting akut</w:t>
      </w:r>
      <w:r>
        <w:rPr>
          <w:rFonts w:ascii="Times New Roman" w:hAnsi="Times New Roman"/>
          <w:sz w:val="22"/>
        </w:rPr>
        <w:t xml:space="preserve"> — Zakat fitrah + distribusi beras mustahik</w:t>
      </w:r>
    </w:p>
    <w:p>
      <w:pPr>
        <w:spacing w:line="240" w:lineRule="auto" w:before="40" w:after="40"/>
      </w:pPr>
      <w:r>
        <w:rPr>
          <w:rFonts w:ascii="Times New Roman" w:hAnsi="Times New Roman"/>
          <w:sz w:val="22"/>
        </w:rPr>
        <w:t>• Hajiyyat (Sekunder)</w:t>
      </w:r>
      <w:r>
        <w:rPr>
          <w:rFonts w:ascii="Times New Roman" w:hAnsi="Times New Roman"/>
          <w:sz w:val="22"/>
        </w:rPr>
        <w:t xml:space="preserve"> — Pemberdayaan petani</w:t>
      </w:r>
      <w:r>
        <w:rPr>
          <w:rFonts w:ascii="Times New Roman" w:hAnsi="Times New Roman"/>
          <w:sz w:val="22"/>
        </w:rPr>
        <w:t xml:space="preserve"> — Petani gurem, modal usaha</w:t>
      </w:r>
      <w:r>
        <w:rPr>
          <w:rFonts w:ascii="Times New Roman" w:hAnsi="Times New Roman"/>
          <w:sz w:val="22"/>
        </w:rPr>
        <w:t xml:space="preserve"> — Qardhul hasan + aset produktif</w:t>
      </w:r>
    </w:p>
    <w:p>
      <w:pPr>
        <w:spacing w:line="240" w:lineRule="auto" w:before="40" w:after="40"/>
      </w:pPr>
      <w:r>
        <w:rPr>
          <w:rFonts w:ascii="Times New Roman" w:hAnsi="Times New Roman"/>
          <w:sz w:val="22"/>
        </w:rPr>
        <w:t>• Tahsiniyyat (Tersier)</w:t>
      </w:r>
      <w:r>
        <w:rPr>
          <w:rFonts w:ascii="Times New Roman" w:hAnsi="Times New Roman"/>
          <w:sz w:val="22"/>
        </w:rPr>
        <w:t xml:space="preserve"> — Industrialisasi pangan</w:t>
      </w:r>
      <w:r>
        <w:rPr>
          <w:rFonts w:ascii="Times New Roman" w:hAnsi="Times New Roman"/>
          <w:sz w:val="22"/>
        </w:rPr>
        <w:t xml:space="preserve"> — Infrastruktur, riset</w:t>
      </w:r>
      <w:r>
        <w:rPr>
          <w:rFonts w:ascii="Times New Roman" w:hAnsi="Times New Roman"/>
          <w:sz w:val="22"/>
        </w:rPr>
        <w:t xml:space="preserve"> — Investasi lumbung desa + wakaf</w:t>
      </w:r>
    </w:p>
    <w:p>
      <w:pPr>
        <w:spacing w:line="360" w:lineRule="auto" w:before="0" w:after="60"/>
        <w:jc w:val="both"/>
      </w:pPr>
      <w:r>
        <w:rPr>
          <w:rFonts w:ascii="Times New Roman" w:hAnsi="Times New Roman"/>
          <w:sz w:val="24"/>
        </w:rPr>
        <w:t xml:space="preserve">Prioritas pertama dan mutlak adalah </w:t>
      </w:r>
      <w:r>
        <w:rPr>
          <w:rFonts w:ascii="Times New Roman" w:hAnsi="Times New Roman"/>
          <w:b/>
          <w:sz w:val="24"/>
        </w:rPr>
        <w:t>daruriyyat</w:t>
      </w:r>
      <w:r>
        <w:rPr>
          <w:rFonts w:ascii="Times New Roman" w:hAnsi="Times New Roman"/>
          <w:sz w:val="24"/>
        </w:rPr>
        <w:t xml:space="preserve"> — menyelamatkan fakir-miskin dari kelaparan. Ini sejalan dengan kaidah: </w:t>
      </w:r>
      <w:r>
        <w:rPr>
          <w:rFonts w:ascii="Times New Roman" w:hAnsi="Times New Roman"/>
          <w:i/>
          <w:sz w:val="24"/>
        </w:rPr>
        <w:t>"La yutraku ma'lumun li majhulin"</w:t>
      </w:r>
      <w:r>
        <w:rPr>
          <w:rFonts w:ascii="Times New Roman" w:hAnsi="Times New Roman"/>
          <w:sz w:val="24"/>
        </w:rPr>
        <w:t xml:space="preserve"> — jangan tinggalkan yang sudah pasti (fakir yang lapar sekarang) demi program yang belum jelas hasilnya (industrialisasi jangka panjang). Baru setelah daruriyyat terpenuhi, zakat dialokasikan ke program hajiyyat dan tahsiniyyat.</w:t>
      </w:r>
    </w:p>
    <w:p>
      <w:pPr>
        <w:spacing w:line="360" w:lineRule="auto" w:before="240" w:after="60"/>
        <w:jc w:val="left"/>
      </w:pPr>
      <w:r>
        <w:rPr>
          <w:rFonts w:ascii="Times New Roman" w:hAnsi="Times New Roman"/>
          <w:b/>
          <w:sz w:val="24"/>
        </w:rPr>
        <w:t>5. Relevansi dengan Kebijakan Nasional</w:t>
      </w:r>
    </w:p>
    <w:p>
      <w:pPr>
        <w:spacing w:line="360" w:lineRule="auto" w:before="0" w:after="60"/>
        <w:jc w:val="both"/>
      </w:pPr>
      <w:r>
        <w:rPr>
          <w:rFonts w:ascii="Times New Roman" w:hAnsi="Times New Roman"/>
          <w:sz w:val="24"/>
        </w:rPr>
        <w:t xml:space="preserve">Gagasan ini relevan dengan </w:t>
      </w:r>
      <w:r>
        <w:rPr>
          <w:rFonts w:ascii="Times New Roman" w:hAnsi="Times New Roman"/>
          <w:b/>
          <w:sz w:val="24"/>
        </w:rPr>
        <w:t>Program Makan Bergizi Gratis (MBG)</w:t>
      </w:r>
      <w:r>
        <w:rPr>
          <w:rFonts w:ascii="Times New Roman" w:hAnsi="Times New Roman"/>
          <w:sz w:val="24"/>
        </w:rPr>
        <w:t xml:space="preserve"> yang menjadi program prioritas Presiden Prabowo Subianto. Dengan anggaran Rp 71 triliun pada APBN 2025 dan target 82,9 juta penerima (Kemenkeu, 2025), integrasi dengan zakat dapat memperkuat ketahanan pangan dari sisi suplai: petani mustahik menjadi pemasok bahan pangan program MBG, mustahik lainnya sebagai tenaga pengolah, dan zakat fitrah sebagai tambahan stok. Sinergi antara zakat dan APBN ini mencerminkan nilai QS Al-Hasyr [59]:7 — harta tidak boleh hanya berputar di kalangan orang kaya, tetapi harus didistribusikan untuk kemaslahatan bersama.</w:t>
      </w:r>
    </w:p>
    <w:p>
      <w:pPr>
        <w:spacing w:line="360" w:lineRule="auto" w:before="0" w:after="60"/>
        <w:jc w:val="both"/>
      </w:pPr>
      <w:r>
        <w:rPr>
          <w:rFonts w:ascii="Times New Roman" w:hAnsi="Times New Roman"/>
          <w:sz w:val="24"/>
        </w:rPr>
        <w:t xml:space="preserve">Selain itu, pembelajaran dari program </w:t>
      </w:r>
      <w:r>
        <w:rPr>
          <w:rFonts w:ascii="Times New Roman" w:hAnsi="Times New Roman"/>
          <w:b/>
          <w:sz w:val="24"/>
        </w:rPr>
        <w:t>Food Estate</w:t>
      </w:r>
      <w:r>
        <w:rPr>
          <w:rFonts w:ascii="Times New Roman" w:hAnsi="Times New Roman"/>
          <w:sz w:val="24"/>
        </w:rPr>
        <w:t xml:space="preserve"> (2020-2024) yang hanya mencapai 30% produktivitas optimal (Haryanto &amp; Widyastuti, 2024) menunjukkan bahwa pendekatan </w:t>
      </w:r>
      <w:r>
        <w:rPr>
          <w:rFonts w:ascii="Times New Roman" w:hAnsi="Times New Roman"/>
          <w:i/>
          <w:sz w:val="24"/>
        </w:rPr>
        <w:t>top-down</w:t>
      </w:r>
      <w:r>
        <w:rPr>
          <w:rFonts w:ascii="Times New Roman" w:hAnsi="Times New Roman"/>
          <w:sz w:val="24"/>
        </w:rPr>
        <w:t xml:space="preserve"> skala besar tidak selalu efektif. Lumbung desa berbasis zakat menawarkan alternatif </w:t>
      </w:r>
      <w:r>
        <w:rPr>
          <w:rFonts w:ascii="Times New Roman" w:hAnsi="Times New Roman"/>
          <w:b/>
          <w:sz w:val="24"/>
        </w:rPr>
        <w:t>pendekatan bottom-up</w:t>
      </w:r>
      <w:r>
        <w:rPr>
          <w:rFonts w:ascii="Times New Roman" w:hAnsi="Times New Roman"/>
          <w:sz w:val="24"/>
        </w:rPr>
        <w:t xml:space="preserve"> yang lebih berkelanjutan karena dikelola oleh komunitas sendiri dengan modal dari kesadaran keagamaan warga.</w:t>
      </w:r>
    </w:p>
    <w:p>
      <w:pPr>
        <w:spacing w:line="360" w:lineRule="auto" w:before="360" w:after="120"/>
        <w:jc w:val="left"/>
      </w:pPr>
      <w:r>
        <w:rPr>
          <w:rFonts w:ascii="Times New Roman" w:hAnsi="Times New Roman"/>
          <w:b/>
          <w:sz w:val="24"/>
        </w:rPr>
        <w:t>D. PENUTUP</w:t>
      </w:r>
    </w:p>
    <w:p>
      <w:pPr>
        <w:spacing w:line="360" w:lineRule="auto" w:before="240" w:after="60"/>
        <w:jc w:val="left"/>
      </w:pPr>
      <w:r>
        <w:rPr>
          <w:rFonts w:ascii="Times New Roman" w:hAnsi="Times New Roman"/>
          <w:b/>
          <w:sz w:val="24"/>
        </w:rPr>
        <w:t>Simpulan</w:t>
      </w:r>
    </w:p>
    <w:p>
      <w:pPr>
        <w:spacing w:line="360" w:lineRule="auto" w:before="0" w:after="60"/>
        <w:jc w:val="both"/>
      </w:pPr>
      <w:r>
        <w:rPr>
          <w:rFonts w:ascii="Times New Roman" w:hAnsi="Times New Roman"/>
          <w:sz w:val="24"/>
        </w:rPr>
        <w:t xml:space="preserve">Zakat memiliki potensi strategis sebagai instrumen ketahanan pangan nasional yang selama ini belum tergarap optimal. Potensi zakat Rp 327 triliun per tahun — dengan realisasi baru Rp 41 triliun — menyisakan ruang pengembangan yang sangat besar. QS Al-An'am [6]:141 memberikan landasan teologis yang kokoh: perintah menunaikan hak hasil panen </w:t>
      </w:r>
      <w:r>
        <w:rPr>
          <w:rFonts w:ascii="Times New Roman" w:hAnsi="Times New Roman"/>
          <w:i/>
          <w:sz w:val="24"/>
        </w:rPr>
        <w:t>(zakat pertanian)</w:t>
      </w:r>
      <w:r>
        <w:rPr>
          <w:rFonts w:ascii="Times New Roman" w:hAnsi="Times New Roman"/>
          <w:sz w:val="24"/>
        </w:rPr>
        <w:t xml:space="preserve"> dan larangan berlebih-lebihan </w:t>
      </w:r>
      <w:r>
        <w:rPr>
          <w:rFonts w:ascii="Times New Roman" w:hAnsi="Times New Roman"/>
          <w:i/>
          <w:sz w:val="24"/>
        </w:rPr>
        <w:t>(israf)</w:t>
      </w:r>
      <w:r>
        <w:rPr>
          <w:rFonts w:ascii="Times New Roman" w:hAnsi="Times New Roman"/>
          <w:sz w:val="24"/>
        </w:rPr>
        <w:t xml:space="preserve"> yang mencakup larangan menimbun pangan dan menyia-nyiakan makanan.</w:t>
      </w:r>
    </w:p>
    <w:p>
      <w:pPr>
        <w:spacing w:line="360" w:lineRule="auto" w:before="0" w:after="60"/>
        <w:jc w:val="both"/>
      </w:pPr>
      <w:r>
        <w:rPr>
          <w:rFonts w:ascii="Times New Roman" w:hAnsi="Times New Roman"/>
          <w:sz w:val="24"/>
        </w:rPr>
        <w:t xml:space="preserve">Dengan kerangka Fikih Prioritas </w:t>
      </w:r>
      <w:r>
        <w:rPr>
          <w:rFonts w:ascii="Times New Roman" w:hAnsi="Times New Roman"/>
          <w:i/>
          <w:sz w:val="24"/>
        </w:rPr>
        <w:t>(al-ahamm fa al-ahamm)</w:t>
      </w:r>
      <w:r>
        <w:rPr>
          <w:rFonts w:ascii="Times New Roman" w:hAnsi="Times New Roman"/>
          <w:sz w:val="24"/>
        </w:rPr>
        <w:t xml:space="preserve">, prioritas distribusi zakat untuk ketahanan pangan adalah: </w:t>
      </w:r>
      <w:r>
        <w:rPr>
          <w:rFonts w:ascii="Times New Roman" w:hAnsi="Times New Roman"/>
          <w:b/>
          <w:sz w:val="24"/>
        </w:rPr>
        <w:t>pertama</w:t>
      </w:r>
      <w:r>
        <w:rPr>
          <w:rFonts w:ascii="Times New Roman" w:hAnsi="Times New Roman"/>
          <w:sz w:val="24"/>
        </w:rPr>
        <w:t xml:space="preserve">, daruriyyat — zakat fitrah dan distribusi pangan pokok untuk fakir-miskin sebagai jaring pengaman darurat; </w:t>
      </w:r>
      <w:r>
        <w:rPr>
          <w:rFonts w:ascii="Times New Roman" w:hAnsi="Times New Roman"/>
          <w:b/>
          <w:sz w:val="24"/>
        </w:rPr>
        <w:t>kedua</w:t>
      </w:r>
      <w:r>
        <w:rPr>
          <w:rFonts w:ascii="Times New Roman" w:hAnsi="Times New Roman"/>
          <w:sz w:val="24"/>
        </w:rPr>
        <w:t xml:space="preserve">, hajiyyat — qardhul hasan dan aset produktif untuk pemberdayaan 16,89 juta petani gurem; </w:t>
      </w:r>
      <w:r>
        <w:rPr>
          <w:rFonts w:ascii="Times New Roman" w:hAnsi="Times New Roman"/>
          <w:b/>
          <w:sz w:val="24"/>
        </w:rPr>
        <w:t>ketiga</w:t>
      </w:r>
      <w:r>
        <w:rPr>
          <w:rFonts w:ascii="Times New Roman" w:hAnsi="Times New Roman"/>
          <w:sz w:val="24"/>
        </w:rPr>
        <w:t>, tahsiniyyat — industrialisasi pangan melalui lumbung desa berbasis zakat. Integrasi zakat dengan program nasional seperti MBG dan revitalisasi lumbung desa menjadi jembatan antara potensi filantropi Islam dan kebutuhan ketahanan pangan bangsa.</w:t>
      </w:r>
    </w:p>
    <w:p>
      <w:pPr>
        <w:spacing w:line="360" w:lineRule="auto" w:before="360" w:after="120"/>
        <w:jc w:val="left"/>
      </w:pPr>
      <w:r>
        <w:rPr>
          <w:rFonts w:ascii="Times New Roman" w:hAnsi="Times New Roman"/>
          <w:b/>
          <w:sz w:val="24"/>
        </w:rPr>
        <w:t>DAFTAR PUSTAKA</w:t>
      </w:r>
    </w:p>
    <w:p>
      <w:pPr>
        <w:spacing w:line="360" w:lineRule="auto" w:before="0" w:after="0"/>
        <w:ind w:left="567" w:hanging="567"/>
      </w:pPr>
      <w:r>
        <w:rPr>
          <w:rFonts w:ascii="Times New Roman" w:hAnsi="Times New Roman"/>
          <w:sz w:val="24"/>
        </w:rPr>
        <w:t>Al-Qur'an al-Karim.</w:t>
      </w:r>
    </w:p>
    <w:p>
      <w:pPr>
        <w:spacing w:line="360" w:lineRule="auto" w:before="0" w:after="0"/>
        <w:ind w:left="567" w:hanging="567"/>
      </w:pPr>
      <w:r>
        <w:rPr>
          <w:rFonts w:ascii="Times New Roman" w:hAnsi="Times New Roman"/>
          <w:sz w:val="24"/>
        </w:rPr>
        <w:t>Al-Thabari, M. J. *Jami' al-Bayan an Ta'wil Ay al-Qur'an*. Tahqiq: Ahmad Muhammad Syakir.</w:t>
      </w:r>
    </w:p>
    <w:p>
      <w:pPr>
        <w:spacing w:line="360" w:lineRule="auto" w:before="0" w:after="0"/>
        <w:ind w:left="567" w:hanging="567"/>
      </w:pPr>
      <w:r>
        <w:rPr>
          <w:rFonts w:ascii="Times New Roman" w:hAnsi="Times New Roman"/>
          <w:sz w:val="24"/>
        </w:rPr>
        <w:t>Ibnu Katsir, I. *Tafsir al-Qur'an al-'Azhim*. Tahqiq: Sami bin Muhammad Salamah.</w:t>
      </w:r>
    </w:p>
    <w:p>
      <w:pPr>
        <w:spacing w:line="360" w:lineRule="auto" w:before="0" w:after="0"/>
        <w:ind w:left="567" w:hanging="567"/>
      </w:pPr>
      <w:r>
        <w:rPr>
          <w:rFonts w:ascii="Times New Roman" w:hAnsi="Times New Roman"/>
          <w:sz w:val="24"/>
        </w:rPr>
        <w:t>Al-Qurthubi, M. A. *Al-Jami' li Ahkam al-Qur'an*. Juz 7.</w:t>
      </w:r>
    </w:p>
    <w:p>
      <w:pPr>
        <w:spacing w:line="360" w:lineRule="auto" w:before="0" w:after="0"/>
        <w:ind w:left="567" w:hanging="567"/>
      </w:pPr>
      <w:r>
        <w:rPr>
          <w:rFonts w:ascii="Times New Roman" w:hAnsi="Times New Roman"/>
          <w:sz w:val="24"/>
        </w:rPr>
        <w:t>Al-Sa'di, A. R. *Taysir al-Karim al-Rahman fi Tafsir Kalam al-Mannan*.</w:t>
      </w:r>
    </w:p>
    <w:p>
      <w:pPr>
        <w:spacing w:line="360" w:lineRule="auto" w:before="0" w:after="0"/>
        <w:ind w:left="567" w:hanging="567"/>
      </w:pPr>
      <w:r>
        <w:rPr>
          <w:rFonts w:ascii="Times New Roman" w:hAnsi="Times New Roman"/>
          <w:sz w:val="24"/>
        </w:rPr>
        <w:t>HR. Bukhari no. 1454 (Zakat), no. 5376 (Makanan).</w:t>
      </w:r>
    </w:p>
    <w:p>
      <w:pPr>
        <w:spacing w:line="360" w:lineRule="auto" w:before="0" w:after="0"/>
        <w:ind w:left="567" w:hanging="567"/>
      </w:pPr>
      <w:r>
        <w:rPr>
          <w:rFonts w:ascii="Times New Roman" w:hAnsi="Times New Roman"/>
          <w:sz w:val="24"/>
        </w:rPr>
        <w:t>HR. Muslim no. 981 (Zakat), no. 2020 (Makanan).</w:t>
      </w:r>
    </w:p>
    <w:p>
      <w:pPr>
        <w:spacing w:line="360" w:lineRule="auto" w:before="0" w:after="0"/>
        <w:ind w:left="567" w:hanging="567"/>
      </w:pPr>
      <w:r>
        <w:rPr>
          <w:rFonts w:ascii="Times New Roman" w:hAnsi="Times New Roman"/>
          <w:sz w:val="24"/>
        </w:rPr>
        <w:t>HR. Abu Dawud no. 1597 (Zakat).</w:t>
      </w:r>
    </w:p>
    <w:p>
      <w:pPr>
        <w:spacing w:line="360" w:lineRule="auto" w:before="0" w:after="0"/>
        <w:ind w:left="567" w:hanging="567"/>
      </w:pPr>
      <w:r>
        <w:rPr>
          <w:rFonts w:ascii="Times New Roman" w:hAnsi="Times New Roman"/>
          <w:sz w:val="24"/>
        </w:rPr>
        <w:t>HR. Tirmidzi no. 640 (Zakat).</w:t>
      </w:r>
    </w:p>
    <w:p>
      <w:pPr>
        <w:spacing w:line="360" w:lineRule="auto" w:before="0" w:after="0"/>
        <w:ind w:left="567" w:hanging="567"/>
      </w:pPr>
      <w:r>
        <w:rPr>
          <w:rFonts w:ascii="Times New Roman" w:hAnsi="Times New Roman"/>
          <w:sz w:val="24"/>
        </w:rPr>
        <w:t>HR. Ibnu Majah no. 1814 (Zakat).</w:t>
      </w:r>
    </w:p>
    <w:p>
      <w:pPr>
        <w:spacing w:line="360" w:lineRule="auto" w:before="0" w:after="0"/>
        <w:ind w:left="567" w:hanging="567"/>
      </w:pPr>
      <w:r>
        <w:rPr>
          <w:rFonts w:ascii="Times New Roman" w:hAnsi="Times New Roman"/>
          <w:sz w:val="24"/>
        </w:rPr>
        <w:t>Malik bin Anas. *Al-Muwaththa'*. Kitab al-Shadaqah, no. 1825.</w:t>
      </w:r>
    </w:p>
    <w:p>
      <w:pPr>
        <w:spacing w:line="360" w:lineRule="auto" w:before="0" w:after="0"/>
        <w:ind w:left="567" w:hanging="567"/>
      </w:pPr>
      <w:r>
        <w:rPr>
          <w:rFonts w:ascii="Times New Roman" w:hAnsi="Times New Roman"/>
          <w:sz w:val="24"/>
        </w:rPr>
        <w:t>Al-Qaradhawi, Y. (1995). *Fi Fiqh al-Awlawiyyat: Dirasah Jadidah fi Dhau' al-Qur'an wa al-Sunnah*. Kairo: Maktabah Wahbah.</w:t>
      </w:r>
    </w:p>
    <w:p>
      <w:pPr>
        <w:spacing w:line="360" w:lineRule="auto" w:before="0" w:after="0"/>
        <w:ind w:left="567" w:hanging="567"/>
      </w:pPr>
      <w:r>
        <w:rPr>
          <w:rFonts w:ascii="Times New Roman" w:hAnsi="Times New Roman"/>
          <w:sz w:val="24"/>
        </w:rPr>
        <w:t>Azizah, N., &amp; Wibowo, A. (2023). Efektivitas Program Zakat Produktif BAZNAS dalam Mendukung Ketahanan Pangan Nasional. *Jurnal Ilmiah Ekonomi Islam*, 9(1).</w:t>
      </w:r>
    </w:p>
    <w:p>
      <w:pPr>
        <w:spacing w:line="360" w:lineRule="auto" w:before="0" w:after="0"/>
        <w:ind w:left="567" w:hanging="567"/>
      </w:pPr>
      <w:r>
        <w:rPr>
          <w:rFonts w:ascii="Times New Roman" w:hAnsi="Times New Roman"/>
          <w:sz w:val="24"/>
        </w:rPr>
        <w:t>Bappenas. (2023). *Food Loss and Waste di Indonesia*. Jakarta: Bappenas.</w:t>
      </w:r>
    </w:p>
    <w:p>
      <w:pPr>
        <w:spacing w:line="360" w:lineRule="auto" w:before="0" w:after="0"/>
        <w:ind w:left="567" w:hanging="567"/>
      </w:pPr>
      <w:r>
        <w:rPr>
          <w:rFonts w:ascii="Times New Roman" w:hAnsi="Times New Roman"/>
          <w:sz w:val="24"/>
        </w:rPr>
        <w:t>BAZNAS. (2024). *Outlook Zakat Indonesia 2024*. Jakarta: BAZNAS.</w:t>
      </w:r>
    </w:p>
    <w:p>
      <w:pPr>
        <w:spacing w:line="360" w:lineRule="auto" w:before="0" w:after="0"/>
        <w:ind w:left="567" w:hanging="567"/>
      </w:pPr>
      <w:r>
        <w:rPr>
          <w:rFonts w:ascii="Times New Roman" w:hAnsi="Times New Roman"/>
          <w:sz w:val="24"/>
        </w:rPr>
        <w:t>BAZNAS. (2025). *Laporan Kinerja BAZNAS 2024*. Jakarta: BAZNAS.</w:t>
      </w:r>
    </w:p>
    <w:p>
      <w:pPr>
        <w:spacing w:line="360" w:lineRule="auto" w:before="0" w:after="0"/>
        <w:ind w:left="567" w:hanging="567"/>
      </w:pPr>
      <w:r>
        <w:rPr>
          <w:rFonts w:ascii="Times New Roman" w:hAnsi="Times New Roman"/>
          <w:sz w:val="24"/>
        </w:rPr>
        <w:t>BPS. (2023). *Hasil Sensus Pertanian 2023*. Jakarta: Badan Pusat Statistik.</w:t>
      </w:r>
    </w:p>
    <w:p>
      <w:pPr>
        <w:spacing w:line="360" w:lineRule="auto" w:before="0" w:after="0"/>
        <w:ind w:left="567" w:hanging="567"/>
      </w:pPr>
      <w:r>
        <w:rPr>
          <w:rFonts w:ascii="Times New Roman" w:hAnsi="Times New Roman"/>
          <w:sz w:val="24"/>
        </w:rPr>
        <w:t>BPS. (2025). *Impor Beras Indonesia 2025*. Jakarta: Badan Pusat Statistik.</w:t>
      </w:r>
    </w:p>
    <w:p>
      <w:pPr>
        <w:spacing w:line="360" w:lineRule="auto" w:before="0" w:after="0"/>
        <w:ind w:left="567" w:hanging="567"/>
      </w:pPr>
      <w:r>
        <w:rPr>
          <w:rFonts w:ascii="Times New Roman" w:hAnsi="Times New Roman"/>
          <w:sz w:val="24"/>
        </w:rPr>
        <w:t>Firdaus, A., &amp; Beik, I. S. (2021). Optimalisasi Zakat Produktif untuk Ketahanan Pangan: Studi Kasus BAZNAS di Lombok. *Al-Infaq: Jurnal Ekonomi Islam*, 12(1).</w:t>
      </w:r>
    </w:p>
    <w:p>
      <w:pPr>
        <w:spacing w:line="360" w:lineRule="auto" w:before="0" w:after="0"/>
        <w:ind w:left="567" w:hanging="567"/>
      </w:pPr>
      <w:r>
        <w:rPr>
          <w:rFonts w:ascii="Times New Roman" w:hAnsi="Times New Roman"/>
          <w:sz w:val="24"/>
        </w:rPr>
        <w:t>Hafidhuddin, D., &amp; Karim, A. (2021). Penerapan Fikih Prioritas dalam Kebijakan Zakat Produktif di Indonesia. *Al-Mashrafiyah: Jurnal Ekonomi, Keuangan dan Perbankan Syariah*, 5(1).</w:t>
      </w:r>
    </w:p>
    <w:p>
      <w:pPr>
        <w:spacing w:line="360" w:lineRule="auto" w:before="0" w:after="0"/>
        <w:ind w:left="567" w:hanging="567"/>
      </w:pPr>
      <w:r>
        <w:rPr>
          <w:rFonts w:ascii="Times New Roman" w:hAnsi="Times New Roman"/>
          <w:sz w:val="24"/>
        </w:rPr>
        <w:t>Haryanto, B., &amp; Widyastuti, R. (2024). Evaluasi Program Food Estate 2020-2024: Perspektif Keberlanjutan. *Jurnal Ekonomi Pertanian dan Agribisnis*, 8(1).</w:t>
      </w:r>
    </w:p>
    <w:p>
      <w:pPr>
        <w:spacing w:line="360" w:lineRule="auto" w:before="0" w:after="0"/>
        <w:ind w:left="567" w:hanging="567"/>
      </w:pPr>
      <w:r>
        <w:rPr>
          <w:rFonts w:ascii="Times New Roman" w:hAnsi="Times New Roman"/>
          <w:sz w:val="24"/>
        </w:rPr>
        <w:t>Huda, M., &amp; Sawarjuwono, T. (2020). Pengaruh Zakat Produktif terhadap Ketahanan Pangan Mustahik di Jawa Timur. *Jurnal Ekonomi dan Keuangan Islam*, 8(2).</w:t>
      </w:r>
    </w:p>
    <w:p>
      <w:pPr>
        <w:spacing w:line="360" w:lineRule="auto" w:before="0" w:after="0"/>
        <w:ind w:left="567" w:hanging="567"/>
      </w:pPr>
      <w:r>
        <w:rPr>
          <w:rFonts w:ascii="Times New Roman" w:hAnsi="Times New Roman"/>
          <w:sz w:val="24"/>
        </w:rPr>
        <w:t>Kementerian Keuangan RI. (2025). *APBN 2025: Anggaran Makan Bergizi Gratis*. Jakarta: Kemenkeu.</w:t>
      </w:r>
    </w:p>
    <w:p>
      <w:pPr>
        <w:spacing w:line="360" w:lineRule="auto" w:before="0" w:after="0"/>
        <w:ind w:left="567" w:hanging="567"/>
      </w:pPr>
      <w:r>
        <w:rPr>
          <w:rFonts w:ascii="Times New Roman" w:hAnsi="Times New Roman"/>
          <w:sz w:val="24"/>
        </w:rPr>
        <w:t>KLHK. (2025). *Data Sampah Makanan Nasional*. Jakarta: Sistem Informasi Pengelolaan Sampah Nasional.</w:t>
      </w:r>
    </w:p>
    <w:p>
      <w:pPr>
        <w:spacing w:line="360" w:lineRule="auto" w:before="0" w:after="0"/>
        <w:ind w:left="567" w:hanging="567"/>
      </w:pPr>
      <w:r>
        <w:rPr>
          <w:rFonts w:ascii="Times New Roman" w:hAnsi="Times New Roman"/>
          <w:sz w:val="24"/>
        </w:rPr>
        <w:t>Nasution, M. E. (2020). Fiqh al-Awlawiyyat dalam Distribusi Zakat: Relevansi dengan Maqashid Syariah. *Jurnal Kajian Islam Kontemporer*, 11(2).</w:t>
      </w:r>
    </w:p>
    <w:p>
      <w:pPr>
        <w:spacing w:line="360" w:lineRule="auto" w:before="0" w:after="0"/>
        <w:ind w:left="567" w:hanging="567"/>
      </w:pPr>
      <w:r>
        <w:rPr>
          <w:rFonts w:ascii="Times New Roman" w:hAnsi="Times New Roman"/>
          <w:sz w:val="24"/>
        </w:rPr>
        <w:t>Nurhayati, S., &amp; Yulianti, D. (2020). Peran Lumbung Desa dalam Menjaga Stabilitas Pangan di Masa Pandemi. *Jurnal Pangan dan Agroindustri*, 8(3).</w:t>
      </w:r>
    </w:p>
    <w:p>
      <w:pPr>
        <w:spacing w:line="360" w:lineRule="auto" w:before="0" w:after="0"/>
        <w:ind w:left="567" w:hanging="567"/>
      </w:pPr>
      <w:r>
        <w:rPr>
          <w:rFonts w:ascii="Times New Roman" w:hAnsi="Times New Roman"/>
          <w:sz w:val="24"/>
        </w:rPr>
        <w:t>Ridwan, M., &amp; Hasanah, U. (2022). Model Zakat Produktif pada Sektor Pertanian untuk Ketahanan Pangan di Pedesaan. *Islamic Economics Journal*, 8(2).</w:t>
      </w:r>
    </w:p>
    <w:p>
      <w:pPr>
        <w:spacing w:line="360" w:lineRule="auto" w:before="0" w:after="0"/>
        <w:ind w:left="567" w:hanging="567"/>
      </w:pPr>
      <w:r>
        <w:rPr>
          <w:rFonts w:ascii="Times New Roman" w:hAnsi="Times New Roman"/>
          <w:sz w:val="24"/>
        </w:rPr>
        <w:t>Susanto, H., &amp; Wahyuni, T. (2021). Model Lumbung Desa Berbasis Zakat untuk Buffer Stock Pangan. *Jurnal Ekonomi dan Pembangunan*, 29(2).</w:t>
      </w:r>
    </w:p>
    <w:p>
      <w:pPr>
        <w:spacing w:line="360" w:lineRule="auto" w:before="0" w:after="0"/>
        <w:ind w:left="567" w:hanging="567"/>
      </w:pPr>
      <w:r>
        <w:rPr>
          <w:rFonts w:ascii="Times New Roman" w:hAnsi="Times New Roman"/>
          <w:sz w:val="24"/>
        </w:rPr>
        <w:t>Syamsuri, S., dkk. (2024). Zakat Produktif dan Ketahanan Pangan Berkelanjutan: Studi pada Petani Mustahik di Sulawesi Selatan. *Jurnal Ekonomi Syariah Teori dan Terapan*, 11(1).</w:t>
      </w:r>
    </w:p>
    <w:p>
      <w:pPr>
        <w:spacing w:line="360" w:lineRule="auto" w:before="0" w:after="0"/>
        <w:ind w:left="567" w:hanging="567"/>
      </w:pPr>
      <w:r>
        <w:rPr>
          <w:rFonts w:ascii="Times New Roman" w:hAnsi="Times New Roman"/>
          <w:sz w:val="24"/>
        </w:rPr>
        <w:t>Yusuf, M., &amp; Siregar, S. (2022). Konsep Fikih Prioritas (Fiqh al-Awlawiyyat) dalam Distribusi Zakat untuk Ketahanan Pangan. *Jurnal Ilmiah Syariah*, 21(1).</w:t>
      </w:r>
    </w:p>
    <w:p>
      <w:pPr>
        <w:spacing w:line="360" w:lineRule="auto" w:before="0" w:after="0"/>
        <w:ind w:left="567" w:hanging="567"/>
      </w:pPr>
      <w:r>
        <w:rPr>
          <w:rFonts w:ascii="Times New Roman" w:hAnsi="Times New Roman"/>
          <w:sz w:val="24"/>
        </w:rPr>
        <w:t>SSGI. (2023). *Hasil Survei Status Gizi Indonesia 2023*. Jakarta: Kemenkes RI.</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