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MDR</w:t>
      </w:r>
      <w:r>
        <w:t xml:space="preserve"> </w:t>
      </w:r>
      <w:r>
        <w:t xml:space="preserve">TB</w:t>
      </w:r>
      <w:r>
        <w:t xml:space="preserve"> </w:t>
      </w:r>
      <w:r>
        <w:t xml:space="preserve">bedaquiline</w:t>
      </w:r>
      <w:r>
        <w:t xml:space="preserve"> </w:t>
      </w:r>
      <w:r>
        <w:t xml:space="preserve">or</w:t>
      </w:r>
      <w:r>
        <w:t xml:space="preserve"> </w:t>
      </w:r>
      <w:r>
        <w:t xml:space="preserve">amikacin</w:t>
      </w:r>
      <w:r>
        <w:t xml:space="preserve"> </w:t>
      </w:r>
      <w:r>
        <w:t xml:space="preserve">costing</w:t>
      </w:r>
      <w:r>
        <w:t xml:space="preserve"> </w:t>
      </w:r>
      <w:r>
        <w:t xml:space="preserve">study:</w:t>
      </w:r>
      <w:r>
        <w:t xml:space="preserve"> </w:t>
      </w:r>
      <w:r>
        <w:t xml:space="preserve">Generating</w:t>
      </w:r>
      <w:r>
        <w:t xml:space="preserve"> </w:t>
      </w:r>
      <w:r>
        <w:t xml:space="preserve">patient-level</w:t>
      </w:r>
      <w:r>
        <w:t xml:space="preserve"> </w:t>
      </w:r>
      <w:r>
        <w:t xml:space="preserve">cost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14/11/2018</w:t>
      </w:r>
    </w:p>
    <w:p>
      <w:pPr>
        <w:pStyle w:val="FirstParagraph"/>
      </w:pPr>
      <w:r>
        <w:t xml:space="preserve">This document gives some of the methods and data of the initial part of the analysis for circulation.</w:t>
      </w:r>
    </w:p>
    <w:p>
      <w:pPr>
        <w:pStyle w:val="Heading2"/>
      </w:pPr>
      <w:bookmarkStart w:id="20" w:name="look-up-costs"/>
      <w:r>
        <w:t xml:space="preserve">Look-up costs</w:t>
      </w:r>
      <w:bookmarkEnd w:id="20"/>
    </w:p>
    <w:p>
      <w:pPr>
        <w:pStyle w:val="FirstParagraph"/>
      </w:pPr>
      <w:r>
        <w:t xml:space="preserve">The cost have been obtained from 4 centres.</w:t>
      </w:r>
      <w:r>
        <w:t xml:space="preserve"> </w:t>
      </w:r>
      <w:r>
        <w:t xml:space="preserve">They are not complete at time of writing.</w:t>
      </w:r>
      <w:r>
        <w:t xml:space="preserve"> </w:t>
      </w:r>
      <w:r>
        <w:t xml:space="preserve">I have therefore crudely used the minimum, maximum and mean value across observed values in centres.</w:t>
      </w:r>
    </w:p>
    <w:p>
      <w:pPr>
        <w:pStyle w:val="BodyText"/>
      </w:pPr>
      <w:r>
        <w:t xml:space="preserve">Also, hospital stay costs are scaled from 4% to 24% for different centre.</w:t>
      </w:r>
      <w:r>
        <w:t xml:space="preserve"> </w:t>
      </w:r>
      <w:r>
        <w:t xml:space="preserve">Baseline values are fixed £2429 for stays under 20 days and £208 for each day thereafter.</w:t>
      </w:r>
    </w:p>
    <w:p>
      <w:pPr>
        <w:pStyle w:val="BodyText"/>
      </w:pPr>
      <w:r>
        <w:t xml:space="preserve">The raw, and minimum, mean and maximum imputed cost matrices are: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centre_costid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centre_patientid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bed_under20d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bed_over20d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OPAT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blood_amak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blood_liver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blood_renal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scaling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3016.089</w:t>
            </w:r>
          </w:p>
        </w:tc>
        <w:tc>
          <w:p>
            <w:pPr>
              <w:pStyle w:val="Compact"/>
              <w:jc w:val="right"/>
            </w:pPr>
            <w:r>
              <w:t xml:space="preserve">258.2736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1.2417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2945.162</w:t>
            </w:r>
          </w:p>
        </w:tc>
        <w:tc>
          <w:p>
            <w:pPr>
              <w:pStyle w:val="Compact"/>
              <w:jc w:val="right"/>
            </w:pPr>
            <w:r>
              <w:t xml:space="preserve">252.2000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1.2125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2538.062</w:t>
            </w:r>
          </w:p>
        </w:tc>
        <w:tc>
          <w:p>
            <w:pPr>
              <w:pStyle w:val="Compact"/>
              <w:jc w:val="right"/>
            </w:pPr>
            <w:r>
              <w:t xml:space="preserve">217.3392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1.0449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2962.408</w:t>
            </w:r>
          </w:p>
        </w:tc>
        <w:tc>
          <w:p>
            <w:pPr>
              <w:pStyle w:val="Compact"/>
              <w:jc w:val="right"/>
            </w:pPr>
            <w:r>
              <w:t xml:space="preserve">253.6768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29.56</w:t>
            </w:r>
          </w:p>
        </w:tc>
        <w:tc>
          <w:p>
            <w:pPr>
              <w:pStyle w:val="Compact"/>
              <w:jc w:val="right"/>
            </w:pPr>
            <w:r>
              <w:t xml:space="preserve">11.82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1.2196</w:t>
            </w:r>
          </w:p>
        </w:tc>
      </w:tr>
    </w:tbl>
    <w:p>
      <w:pPr>
        <w:pStyle w:val="BodyText"/>
      </w:pPr>
      <w:r>
        <w:t xml:space="preserve">Table 1: Original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centre_costid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centre_patientid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bed_under20d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bed_over20d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OPAT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blood_amak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blood_liver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blood_renal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scaling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3016.09</w:t>
            </w:r>
          </w:p>
        </w:tc>
        <w:tc>
          <w:p>
            <w:pPr>
              <w:pStyle w:val="Compact"/>
              <w:jc w:val="right"/>
            </w:pPr>
            <w:r>
              <w:t xml:space="preserve">258.27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2945.16</w:t>
            </w:r>
          </w:p>
        </w:tc>
        <w:tc>
          <w:p>
            <w:pPr>
              <w:pStyle w:val="Compact"/>
              <w:jc w:val="right"/>
            </w:pPr>
            <w:r>
              <w:t xml:space="preserve">252.20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2538.06</w:t>
            </w:r>
          </w:p>
        </w:tc>
        <w:tc>
          <w:p>
            <w:pPr>
              <w:pStyle w:val="Compact"/>
              <w:jc w:val="right"/>
            </w:pPr>
            <w:r>
              <w:t xml:space="preserve">217.34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2962.41</w:t>
            </w:r>
          </w:p>
        </w:tc>
        <w:tc>
          <w:p>
            <w:pPr>
              <w:pStyle w:val="Compact"/>
              <w:jc w:val="right"/>
            </w:pPr>
            <w:r>
              <w:t xml:space="preserve">253.68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29.56</w:t>
            </w:r>
          </w:p>
        </w:tc>
        <w:tc>
          <w:p>
            <w:pPr>
              <w:pStyle w:val="Compact"/>
              <w:jc w:val="right"/>
            </w:pPr>
            <w:r>
              <w:t xml:space="preserve">11.82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</w:tr>
    </w:tbl>
    <w:p>
      <w:pPr>
        <w:pStyle w:val="BodyText"/>
      </w:pPr>
      <w:r>
        <w:t xml:space="preserve">Table 2: Fill with minimum values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centre_costid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centre_patientid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bed_under20d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bed_over20d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OPAT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blood_amak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blood_liver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blood_renal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scaling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3016.09</w:t>
            </w:r>
          </w:p>
        </w:tc>
        <w:tc>
          <w:p>
            <w:pPr>
              <w:pStyle w:val="Compact"/>
              <w:jc w:val="right"/>
            </w:pPr>
            <w:r>
              <w:t xml:space="preserve">258.27</w:t>
            </w:r>
          </w:p>
        </w:tc>
        <w:tc>
          <w:p>
            <w:pPr>
              <w:pStyle w:val="Compact"/>
              <w:jc w:val="right"/>
            </w:pPr>
            <w:r>
              <w:t xml:space="preserve">69.0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102.00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2945.16</w:t>
            </w:r>
          </w:p>
        </w:tc>
        <w:tc>
          <w:p>
            <w:pPr>
              <w:pStyle w:val="Compact"/>
              <w:jc w:val="right"/>
            </w:pPr>
            <w:r>
              <w:t xml:space="preserve">252.20</w:t>
            </w:r>
          </w:p>
        </w:tc>
        <w:tc>
          <w:p>
            <w:pPr>
              <w:pStyle w:val="Compact"/>
              <w:jc w:val="right"/>
            </w:pPr>
            <w:r>
              <w:t xml:space="preserve">134.5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148.00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2538.06</w:t>
            </w:r>
          </w:p>
        </w:tc>
        <w:tc>
          <w:p>
            <w:pPr>
              <w:pStyle w:val="Compact"/>
              <w:jc w:val="right"/>
            </w:pPr>
            <w:r>
              <w:t xml:space="preserve">217.34</w:t>
            </w:r>
          </w:p>
        </w:tc>
        <w:tc>
          <w:p>
            <w:pPr>
              <w:pStyle w:val="Compact"/>
              <w:jc w:val="right"/>
            </w:pPr>
            <w:r>
              <w:t xml:space="preserve">134.5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p>
            <w:pPr>
              <w:pStyle w:val="Compact"/>
              <w:jc w:val="right"/>
            </w:pPr>
            <w:r>
              <w:t xml:space="preserve">6.09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2962.41</w:t>
            </w:r>
          </w:p>
        </w:tc>
        <w:tc>
          <w:p>
            <w:pPr>
              <w:pStyle w:val="Compact"/>
              <w:jc w:val="right"/>
            </w:pPr>
            <w:r>
              <w:t xml:space="preserve">253.68</w:t>
            </w:r>
          </w:p>
        </w:tc>
        <w:tc>
          <w:p>
            <w:pPr>
              <w:pStyle w:val="Compact"/>
              <w:jc w:val="right"/>
            </w:pPr>
            <w:r>
              <w:t xml:space="preserve">200.0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116.67</w:t>
            </w:r>
          </w:p>
        </w:tc>
        <w:tc>
          <w:p>
            <w:pPr>
              <w:pStyle w:val="Compact"/>
              <w:jc w:val="right"/>
            </w:pPr>
            <w:r>
              <w:t xml:space="preserve">29.56</w:t>
            </w:r>
          </w:p>
        </w:tc>
        <w:tc>
          <w:p>
            <w:pPr>
              <w:pStyle w:val="Compact"/>
              <w:jc w:val="right"/>
            </w:pPr>
            <w:r>
              <w:t xml:space="preserve">11.82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</w:tr>
    </w:tbl>
    <w:p>
      <w:pPr>
        <w:pStyle w:val="BodyText"/>
      </w:pPr>
      <w:r>
        <w:t xml:space="preserve">Table 3: Fill with mean values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centre_costid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centre_patientid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bed_under20d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bed_over20d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OPAT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blood_amak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blood_liver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blood_renal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scaling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3016.09</w:t>
            </w:r>
          </w:p>
        </w:tc>
        <w:tc>
          <w:p>
            <w:pPr>
              <w:pStyle w:val="Compact"/>
              <w:jc w:val="right"/>
            </w:pPr>
            <w:r>
              <w:t xml:space="preserve">258.27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2945.16</w:t>
            </w:r>
          </w:p>
        </w:tc>
        <w:tc>
          <w:p>
            <w:pPr>
              <w:pStyle w:val="Compact"/>
              <w:jc w:val="right"/>
            </w:pPr>
            <w:r>
              <w:t xml:space="preserve">252.20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2538.06</w:t>
            </w:r>
          </w:p>
        </w:tc>
        <w:tc>
          <w:p>
            <w:pPr>
              <w:pStyle w:val="Compact"/>
              <w:jc w:val="right"/>
            </w:pPr>
            <w:r>
              <w:t xml:space="preserve">217.34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29.56</w:t>
            </w:r>
          </w:p>
        </w:tc>
        <w:tc>
          <w:p>
            <w:pPr>
              <w:pStyle w:val="Compact"/>
              <w:jc w:val="right"/>
            </w:pPr>
            <w:r>
              <w:t xml:space="preserve">11.82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2962.41</w:t>
            </w:r>
          </w:p>
        </w:tc>
        <w:tc>
          <w:p>
            <w:pPr>
              <w:pStyle w:val="Compact"/>
              <w:jc w:val="right"/>
            </w:pPr>
            <w:r>
              <w:t xml:space="preserve">253.68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29.56</w:t>
            </w:r>
          </w:p>
        </w:tc>
        <w:tc>
          <w:p>
            <w:pPr>
              <w:pStyle w:val="Compact"/>
              <w:jc w:val="right"/>
            </w:pPr>
            <w:r>
              <w:t xml:space="preserve">11.82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</w:tr>
    </w:tbl>
    <w:p>
      <w:pPr>
        <w:pStyle w:val="BodyText"/>
      </w:pPr>
      <w:r>
        <w:t xml:space="preserve">Table 4: Fill with maximum values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bed_under20d</w:t>
      </w:r>
      <w:r>
        <w:t xml:space="preserve"> </w:t>
      </w:r>
      <w:r>
        <w:t xml:space="preserve">is cost of hosptial stay fixed up to 19 days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bed_over20d</w:t>
      </w:r>
      <w:r>
        <w:t xml:space="preserve"> </w:t>
      </w:r>
      <w:r>
        <w:t xml:space="preserve">is the daily cost of hospital stay for every day over 19 days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PICC</w:t>
      </w:r>
      <w:r>
        <w:t xml:space="preserve"> </w:t>
      </w:r>
      <w:r>
        <w:t xml:space="preserve">is the cost of a PICC line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hick</w:t>
      </w:r>
      <w:r>
        <w:t xml:space="preserve"> </w:t>
      </w:r>
      <w:r>
        <w:t xml:space="preserve">is the cost of a Hickman line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blood amik</w:t>
      </w:r>
      <w:r>
        <w:t xml:space="preserve"> </w:t>
      </w:r>
      <w:r>
        <w:t xml:space="preserve">is the cost of a blood test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blood liver</w:t>
      </w:r>
      <w:r>
        <w:t xml:space="preserve"> </w:t>
      </w:r>
      <w:r>
        <w:t xml:space="preserve">is the cost of a blood test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blood renal</w:t>
      </w:r>
      <w:r>
        <w:t xml:space="preserve"> </w:t>
      </w:r>
      <w:r>
        <w:t xml:space="preserve">is the cost of a blood test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hear</w:t>
      </w:r>
      <w:r>
        <w:t xml:space="preserve"> </w:t>
      </w:r>
      <w:r>
        <w:t xml:space="preserve">is the cost of a hearing test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ECG</w:t>
      </w:r>
      <w:r>
        <w:t xml:space="preserve"> </w:t>
      </w:r>
      <w:r>
        <w:t xml:space="preserve">is the cost of an ECG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scaling</w:t>
      </w:r>
      <w:r>
        <w:t xml:space="preserve"> </w:t>
      </w:r>
      <w:r>
        <w:t xml:space="preserve">is the centre specific cost scaling</w:t>
      </w:r>
    </w:p>
    <w:p>
      <w:pPr>
        <w:pStyle w:val="FirstParagraph"/>
      </w:pPr>
      <w:r>
        <w:t xml:space="preserve">Note that the provided cost and patient data do not use the same ids (represented here by</w:t>
      </w:r>
      <w:r>
        <w:t xml:space="preserve"> </w:t>
      </w:r>
      <w:r>
        <w:rPr>
          <w:rStyle w:val="VerbatimChar"/>
        </w:rPr>
        <w:t xml:space="preserve">centre_costid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centre_patientid</w:t>
      </w:r>
      <w:r>
        <w:t xml:space="preserve">).</w:t>
      </w:r>
    </w:p>
    <w:p>
      <w:pPr>
        <w:pStyle w:val="BodyText"/>
      </w:pPr>
      <w:r>
        <w:t xml:space="preserve">The total cost of bedaquiline treatment is £18000 for a duration of 24 weeks.</w:t>
      </w:r>
      <w:r>
        <w:t xml:space="preserve"> </w:t>
      </w:r>
      <w:r>
        <w:t xml:space="preserve">The idealised duration of amikacin treatment is 24 or 32 weeks.</w:t>
      </w:r>
      <w:r>
        <w:t xml:space="preserve"> </w:t>
      </w:r>
      <w:r>
        <w:t xml:space="preserve">Therefore, we scale the bedaquiline cost for an equivalent 32 weeks period of £24000 too.</w:t>
      </w:r>
    </w:p>
    <w:p>
      <w:pPr>
        <w:pStyle w:val="Heading2"/>
      </w:pPr>
      <w:bookmarkStart w:id="21" w:name="scenarios"/>
      <w:r>
        <w:t xml:space="preserve">Scenarios</w:t>
      </w:r>
      <w:bookmarkEnd w:id="21"/>
    </w:p>
    <w:p>
      <w:pPr>
        <w:pStyle w:val="FirstParagraph"/>
      </w:pPr>
      <w:r>
        <w:t xml:space="preserve">Cost are considered for 12 main scenarios.</w:t>
      </w:r>
      <w:r>
        <w:t xml:space="preserve"> </w:t>
      </w:r>
      <w:r>
        <w:t xml:space="preserve">These can be grouped in to observed injection vs ideal injection scenarios, and observed injection vs tablets scenarios.</w:t>
      </w:r>
      <w:r>
        <w:t xml:space="preserve"> </w:t>
      </w:r>
      <w:r>
        <w:t xml:space="preserve">For the comparison bedaquiline scenarios hospital length of stay is scaled by a predefined value to represent shorter symptom duration.</w:t>
      </w:r>
    </w:p>
    <w:tbl>
      <w:tblPr>
        <w:tblStyle w:val="Table"/>
        <w:tblW w:type="pct" w:w="5000.0"/>
        <w:tblLook w:firstRow="1"/>
      </w:tblPr>
      <w:tblGrid>
        <w:gridCol w:w="720"/>
        <w:gridCol w:w="3600"/>
        <w:gridCol w:w="36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Comparison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</w:t>
            </w:r>
          </w:p>
        </w:tc>
        <w:tc>
          <w:p>
            <w:pPr>
              <w:pStyle w:val="Compact"/>
              <w:jc w:val="left"/>
            </w:pPr>
            <w:r>
              <w:t xml:space="preserve">Amikacin injection observed</w:t>
            </w:r>
          </w:p>
        </w:tc>
        <w:tc>
          <w:p>
            <w:pPr>
              <w:pStyle w:val="Compact"/>
              <w:jc w:val="left"/>
            </w:pPr>
            <w:r>
              <w:t xml:space="preserve">Bedaquiline tablets 6 months; same hospital length of stay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</w:t>
            </w:r>
          </w:p>
        </w:tc>
        <w:tc>
          <w:p>
            <w:pPr>
              <w:pStyle w:val="Compact"/>
              <w:jc w:val="left"/>
            </w:pPr>
            <w:r>
              <w:t xml:space="preserve">Amikacin injection observed</w:t>
            </w:r>
          </w:p>
        </w:tc>
        <w:tc>
          <w:p>
            <w:pPr>
              <w:pStyle w:val="Compact"/>
              <w:jc w:val="left"/>
            </w:pPr>
            <w:r>
              <w:t xml:space="preserve">Bedaquiline tablets 6 months; 90% hospital length of stay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</w:t>
            </w:r>
          </w:p>
        </w:tc>
        <w:tc>
          <w:p>
            <w:pPr>
              <w:pStyle w:val="Compact"/>
              <w:jc w:val="left"/>
            </w:pPr>
            <w:r>
              <w:t xml:space="preserve">Amikacin injection observed</w:t>
            </w:r>
          </w:p>
        </w:tc>
        <w:tc>
          <w:p>
            <w:pPr>
              <w:pStyle w:val="Compact"/>
              <w:jc w:val="left"/>
            </w:pPr>
            <w:r>
              <w:t xml:space="preserve">Bedaquiline tablets 6 months; 66% hospital length of stay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2a</w:t>
            </w:r>
          </w:p>
        </w:tc>
        <w:tc>
          <w:p>
            <w:pPr>
              <w:pStyle w:val="Compact"/>
              <w:jc w:val="left"/>
            </w:pPr>
            <w:r>
              <w:t xml:space="preserve">Amikacin injection ideal 6 months</w:t>
            </w:r>
          </w:p>
        </w:tc>
        <w:tc>
          <w:p>
            <w:pPr>
              <w:pStyle w:val="Compact"/>
              <w:jc w:val="left"/>
            </w:pPr>
            <w:r>
              <w:t xml:space="preserve">Bedaquiline tablets 6 months; same hospital length of stay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left"/>
            </w:pPr>
            <w:r>
              <w:t xml:space="preserve">Amikacin injection ideal 6 months</w:t>
            </w:r>
          </w:p>
        </w:tc>
        <w:tc>
          <w:p>
            <w:pPr>
              <w:pStyle w:val="Compact"/>
              <w:jc w:val="left"/>
            </w:pPr>
            <w:r>
              <w:t xml:space="preserve">Bedaquiline tablets 6 months; 90% hospital length of stay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</w:t>
            </w:r>
          </w:p>
        </w:tc>
        <w:tc>
          <w:p>
            <w:pPr>
              <w:pStyle w:val="Compact"/>
              <w:jc w:val="left"/>
            </w:pPr>
            <w:r>
              <w:t xml:space="preserve">Amikacin injection ideal 6 months</w:t>
            </w:r>
          </w:p>
        </w:tc>
        <w:tc>
          <w:p>
            <w:pPr>
              <w:pStyle w:val="Compact"/>
              <w:jc w:val="left"/>
            </w:pPr>
            <w:r>
              <w:t xml:space="preserve">Bedaquiline tablets 6 months; 66% hospital length of stay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p>
            <w:pPr>
              <w:pStyle w:val="Compact"/>
              <w:jc w:val="left"/>
            </w:pPr>
            <w:r>
              <w:t xml:space="preserve">Amikacin injection ideal 8 months</w:t>
            </w:r>
          </w:p>
        </w:tc>
        <w:tc>
          <w:p>
            <w:pPr>
              <w:pStyle w:val="Compact"/>
              <w:jc w:val="left"/>
            </w:pPr>
            <w:r>
              <w:t xml:space="preserve">Bedaquiline tablets 8 months; same hospital length of stay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</w:t>
            </w:r>
          </w:p>
        </w:tc>
        <w:tc>
          <w:p>
            <w:pPr>
              <w:pStyle w:val="Compact"/>
              <w:jc w:val="left"/>
            </w:pPr>
            <w:r>
              <w:t xml:space="preserve">Amikacin injection ideal 8 months</w:t>
            </w:r>
          </w:p>
        </w:tc>
        <w:tc>
          <w:p>
            <w:pPr>
              <w:pStyle w:val="Compact"/>
              <w:jc w:val="left"/>
            </w:pPr>
            <w:r>
              <w:t xml:space="preserve">Bedaquiline tablets 8 months; 90% hospital length of stay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</w:t>
            </w:r>
          </w:p>
        </w:tc>
        <w:tc>
          <w:p>
            <w:pPr>
              <w:pStyle w:val="Compact"/>
              <w:jc w:val="left"/>
            </w:pPr>
            <w:r>
              <w:t xml:space="preserve">Amikacin injection ideal 8 months</w:t>
            </w:r>
          </w:p>
        </w:tc>
        <w:tc>
          <w:p>
            <w:pPr>
              <w:pStyle w:val="Compact"/>
              <w:jc w:val="left"/>
            </w:pPr>
            <w:r>
              <w:t xml:space="preserve">Bedaquiline tablets 8 months; 66% hospital length of stay</w:t>
            </w:r>
          </w:p>
        </w:tc>
      </w:tr>
    </w:tbl>
    <w:p>
      <w:pPr>
        <w:pStyle w:val="BodyText"/>
      </w:pPr>
      <w:r>
        <w:t xml:space="preserve">So, for each set of costs (minimum, mean, maximum) and each treatment scenario, in total there are 9 x 3 = 27 scenarios to consider.</w:t>
      </w:r>
    </w:p>
    <w:p>
      <w:pPr>
        <w:pStyle w:val="Heading3"/>
      </w:pPr>
      <w:bookmarkStart w:id="22" w:name="patient-level-cost-calculation"/>
      <w:r>
        <w:t xml:space="preserve">Patient-level cost calculation</w:t>
      </w:r>
      <w:bookmarkEnd w:id="22"/>
    </w:p>
    <w:p>
      <w:pPr>
        <w:pStyle w:val="FirstParagraph"/>
      </w:pPr>
      <w:r>
        <w:t xml:space="preserve">The costs for each scenario consist of the following:</w:t>
      </w:r>
    </w:p>
    <w:p>
      <w:pPr>
        <w:pStyle w:val="Heading4"/>
      </w:pPr>
      <w:bookmarkStart w:id="23" w:name="observed-and-idealised-injectable"/>
      <w:r>
        <w:t xml:space="preserve">Observed and idealised injectable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Time in hospital (from observed data)</w:t>
      </w:r>
    </w:p>
    <w:p>
      <w:pPr>
        <w:pStyle w:val="Compact"/>
        <w:numPr>
          <w:numId w:val="1002"/>
          <w:ilvl w:val="0"/>
        </w:numPr>
      </w:pPr>
      <w:r>
        <w:t xml:space="preserve">OPAT daily in discharge period (observed, up to 6 or 8 months)</w:t>
      </w:r>
    </w:p>
    <w:p>
      <w:pPr>
        <w:pStyle w:val="Compact"/>
        <w:numPr>
          <w:numId w:val="1002"/>
          <w:ilvl w:val="0"/>
        </w:numPr>
      </w:pPr>
      <w:r>
        <w:t xml:space="preserve">Number of lines (Hickman, PICC) in discharge period (observed, up to 6 or 8 months)</w:t>
      </w:r>
    </w:p>
    <w:p>
      <w:pPr>
        <w:pStyle w:val="Compact"/>
        <w:numPr>
          <w:numId w:val="1002"/>
          <w:ilvl w:val="0"/>
        </w:numPr>
      </w:pPr>
      <w:r>
        <w:t xml:space="preserve">Number of monthly hearing tests in discharge period (observed, up to 6 or 8 months)</w:t>
      </w:r>
    </w:p>
    <w:p>
      <w:pPr>
        <w:pStyle w:val="Compact"/>
        <w:numPr>
          <w:numId w:val="1002"/>
          <w:ilvl w:val="0"/>
        </w:numPr>
      </w:pPr>
      <w:r>
        <w:t xml:space="preserve">Number of weekly blood tests (observed, up to 6 or 8 months)</w:t>
      </w:r>
    </w:p>
    <w:p>
      <w:pPr>
        <w:pStyle w:val="Heading4"/>
      </w:pPr>
      <w:bookmarkStart w:id="24" w:name="bedaquiline"/>
      <w:r>
        <w:t xml:space="preserve">Bedaquiline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Time in hospital from observed data (possible scaled downwards)</w:t>
      </w:r>
    </w:p>
    <w:p>
      <w:pPr>
        <w:pStyle w:val="Compact"/>
        <w:numPr>
          <w:numId w:val="1003"/>
          <w:ilvl w:val="0"/>
        </w:numPr>
      </w:pPr>
      <w:r>
        <w:t xml:space="preserve">Monthly ECG and blood tests (renal, LFT) in discharge period (up to 6 or 8 months)</w:t>
      </w:r>
    </w:p>
    <w:p>
      <w:pPr>
        <w:pStyle w:val="Compact"/>
        <w:numPr>
          <w:numId w:val="1003"/>
          <w:ilvl w:val="0"/>
        </w:numPr>
      </w:pPr>
      <w:r>
        <w:t xml:space="preserve">Total fixed cost of treatment (up to 6 or 8 months)</w:t>
      </w:r>
    </w:p>
    <w:p>
      <w:pPr>
        <w:pStyle w:val="Heading3"/>
      </w:pPr>
      <w:bookmarkStart w:id="25" w:name="estimated-number-of-events"/>
      <w:r>
        <w:t xml:space="preserve">Estimated number of events</w:t>
      </w:r>
      <w:bookmarkEnd w:id="25"/>
    </w:p>
    <w:p>
      <w:pPr>
        <w:pStyle w:val="FirstParagraph"/>
      </w:pPr>
      <w:r>
        <w:t xml:space="preserve">For the idealised scenarios we need to estimate how many Hickman and PICC lines would occur for each individual in the fixed period.</w:t>
      </w:r>
      <w:r>
        <w:t xml:space="preserve"> </w:t>
      </w:r>
      <w:r>
        <w:t xml:space="preserve">We do this by estimating a pooled weekly rate for each from the total sample.</w:t>
      </w:r>
      <w:r>
        <w:t xml:space="preserve"> </w:t>
      </w:r>
      <w:r>
        <w:t xml:space="preserve">We then calculate each according to their duration on treatment after hospital discharge.</w:t>
      </w:r>
    </w:p>
    <w:p>
      <w:pPr>
        <w:pStyle w:val="Heading3"/>
      </w:pPr>
      <w:bookmarkStart w:id="26" w:name="patient-time-to-event-equations"/>
      <w:r>
        <w:t xml:space="preserve">Patient time to event equations</w:t>
      </w:r>
      <w:bookmarkEnd w:id="26"/>
    </w:p>
    <w:p>
      <w:pPr>
        <w:pStyle w:val="FirstParagraph"/>
      </w:pPr>
      <w:r>
        <w:t xml:space="preserve">Initial hospital length of stay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a</m:t>
              </m:r>
              <m:r>
                <m:t>d</m:t>
              </m:r>
              <m:r>
                <m:t>m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h</m:t>
              </m:r>
              <m:r>
                <m:t>o</m:t>
              </m:r>
              <m:r>
                <m:t>s</m:t>
              </m:r>
              <m:r>
                <m:t>p</m:t>
              </m:r>
              <m:r>
                <m:t>_</m:t>
              </m:r>
              <m:r>
                <m:t>e</m:t>
              </m:r>
              <m:r>
                <m:t>n</m:t>
              </m:r>
              <m:r>
                <m:t>d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V</m:t>
              </m:r>
              <m:r>
                <m:t>_</m:t>
              </m:r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Out-patient (OP) duration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O</m:t>
              </m:r>
              <m:r>
                <m:t>P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  <m:r>
                          <m:t>V</m:t>
                        </m:r>
                        <m:r>
                          <m:t>_</m:t>
                        </m:r>
                        <m:r>
                          <m:t>e</m:t>
                        </m:r>
                        <m:r>
                          <m:t>n</m:t>
                        </m:r>
                        <m:r>
                          <m:t>d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h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p</m:t>
                        </m:r>
                        <m:r>
                          <m:t>_</m:t>
                        </m:r>
                        <m:r>
                          <m:t>e</m:t>
                        </m:r>
                        <m:r>
                          <m:t>n</m:t>
                        </m:r>
                        <m:r>
                          <m:t>d</m:t>
                        </m:r>
                      </m:sub>
                    </m:sSub>
                    <m:r>
                      <m:t> 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for observed scenarios</m:t>
                    </m:r>
                  </m:e>
                </m:mr>
                <m:m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T</m:t>
                        </m:r>
                        <m:r>
                          <m:t>x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a</m:t>
                        </m:r>
                        <m:r>
                          <m:t>d</m:t>
                        </m:r>
                        <m:r>
                          <m:t>m</m:t>
                        </m:r>
                      </m:sub>
                    </m:sSub>
                    <m:r>
                      <m:t> 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for non-observed scenarios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T</m:t>
              </m:r>
              <m:r>
                <m:t>x</m:t>
              </m:r>
            </m:sub>
          </m:sSub>
          <m:r>
            <m:t>=</m:t>
          </m:r>
          <m:r>
            <m:t>24</m:t>
          </m:r>
          <m:r>
            <m:t>,</m:t>
          </m:r>
          <m:r>
            <m:t>32</m:t>
          </m:r>
        </m:oMath>
      </m:oMathPara>
    </w:p>
    <w:p>
      <w:pPr>
        <w:pStyle w:val="FirstParagraph"/>
      </w:pPr>
      <w:r>
        <w:t xml:space="preserve">Total hospital length of stay including readmissions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t</m:t>
              </m:r>
            </m:e>
            <m:sub>
              <m:r>
                <m:t>a</m:t>
              </m:r>
              <m:r>
                <m:t>d</m:t>
              </m:r>
              <m:r>
                <m:t>m</m:t>
              </m:r>
            </m:sub>
            <m:sup>
              <m:r>
                <m:t>i</m:t>
              </m:r>
              <m:r>
                <m:t>n</m:t>
              </m:r>
              <m:r>
                <m:t>j</m:t>
              </m:r>
            </m:sup>
          </m:sSubSup>
          <m:r>
            <m:t>=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d</m:t>
              </m:r>
              <m:r>
                <m:t>m</m:t>
              </m:r>
            </m:sub>
          </m:sSub>
          <m:r>
            <m:t>+</m:t>
          </m:r>
          <m:sSub>
            <m:e>
              <m:r>
                <m:t>t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d</m:t>
              </m:r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Total hospital length of stay for bedaquiline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t</m:t>
              </m:r>
            </m:e>
            <m:sub>
              <m:r>
                <m:t>a</m:t>
              </m:r>
              <m:r>
                <m:t>d</m:t>
              </m:r>
              <m:r>
                <m:t>m</m:t>
              </m:r>
            </m:sub>
            <m:sup>
              <m:r>
                <m:t>b</m:t>
              </m:r>
              <m:r>
                <m:t>d</m:t>
              </m:r>
              <m:r>
                <m:t>q</m:t>
              </m:r>
            </m:sup>
          </m:sSubSup>
          <m:r>
            <m:t>=</m:t>
          </m:r>
          <m:r>
            <m:t>ρ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d</m:t>
              </m:r>
              <m:r>
                <m:t>m</m:t>
              </m:r>
            </m:sub>
          </m:sSub>
          <m:r>
            <m:t>+</m:t>
          </m:r>
          <m:sSub>
            <m:e>
              <m:r>
                <m:t>t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d</m:t>
              </m:r>
              <m:r>
                <m:t>m</m:t>
              </m:r>
            </m:sub>
          </m:sSub>
          <m:r>
            <m:t>,</m:t>
          </m:r>
          <m:r>
            <m:t> </m:t>
          </m:r>
          <m:r>
            <m:t> </m:t>
          </m:r>
          <m:r>
            <m:t>0</m:t>
          </m:r>
          <m:r>
            <m:t>≤</m:t>
          </m:r>
          <m:r>
            <m:t>ρ</m:t>
          </m:r>
          <m:r>
            <m:t>≤</m:t>
          </m:r>
          <m:r>
            <m:t>1</m:t>
          </m:r>
        </m:oMath>
      </m:oMathPara>
    </w:p>
    <w:p>
      <w:pPr>
        <w:pStyle w:val="FirstParagraph"/>
      </w:pPr>
      <w:r>
        <w:t xml:space="preserve">Total out-patient duration for amikacin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t</m:t>
              </m:r>
            </m:e>
            <m:sub>
              <m:r>
                <m:t>O</m:t>
              </m:r>
              <m:r>
                <m:t>P</m:t>
              </m:r>
            </m:sub>
            <m:sup>
              <m:r>
                <m:t>i</m:t>
              </m:r>
              <m:r>
                <m:t>n</m:t>
              </m:r>
              <m:r>
                <m:t>j</m:t>
              </m:r>
            </m:sup>
          </m:sSubSup>
          <m:r>
            <m:t>=</m:t>
          </m:r>
          <m:r>
            <m:rPr>
              <m:sty m:val="p"/>
            </m:rPr>
            <m:t>max</m:t>
          </m:r>
          <m:d>
            <m:dPr>
              <m:begChr m:val="{"/>
              <m:endChr m:val="}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O</m:t>
                  </m:r>
                  <m:r>
                    <m:t>P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</m:sub>
              </m:sSub>
              <m:r>
                <m:t>,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Total out-patient duration for bedaquiline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t</m:t>
              </m:r>
            </m:e>
            <m:sub>
              <m:r>
                <m:t>O</m:t>
              </m:r>
              <m:r>
                <m:t>P</m:t>
              </m:r>
            </m:sub>
            <m:sup>
              <m:r>
                <m:t>b</m:t>
              </m:r>
              <m:r>
                <m:t>d</m:t>
              </m:r>
              <m:r>
                <m:t>q</m:t>
              </m:r>
            </m:sup>
          </m:sSubSup>
          <m:r>
            <m:t>=</m:t>
          </m:r>
          <m:r>
            <m:rPr>
              <m:sty m:val="p"/>
            </m:rPr>
            <m:t>max</m:t>
          </m:r>
          <m:d>
            <m:dPr>
              <m:begChr m:val="{"/>
              <m:endChr m:val="}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O</m:t>
                  </m:r>
                  <m:r>
                    <m:t>P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</m:sub>
              </m:sSub>
              <m:r>
                <m:t>+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ρ</m:t>
              </m:r>
              <m:r>
                <m:t>)</m:t>
              </m:r>
              <m:sSub>
                <m:e>
                  <m:r>
                    <m:t>t</m:t>
                  </m:r>
                </m:e>
                <m:sub>
                  <m:r>
                    <m:t>a</m:t>
                  </m:r>
                  <m:r>
                    <m:t>d</m:t>
                  </m:r>
                  <m:r>
                    <m:t>m</m:t>
                  </m:r>
                </m:sub>
              </m:sSub>
              <m:r>
                <m:t>,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Estimated number of Hickman and PICC lines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h</m:t>
              </m:r>
              <m:r>
                <m:t>i</m:t>
              </m:r>
              <m:r>
                <m:t>c</m:t>
              </m:r>
              <m:r>
                <m:t>k</m:t>
              </m:r>
            </m:sub>
          </m:sSub>
          <m:r>
            <m:t>=</m:t>
          </m:r>
          <m:sSubSup>
            <m:e>
              <m:r>
                <m:t>t</m:t>
              </m:r>
            </m:e>
            <m:sub>
              <m:r>
                <m:t>O</m:t>
              </m:r>
              <m:r>
                <m:t>P</m:t>
              </m:r>
            </m:sub>
            <m:sup>
              <m:r>
                <m:t>i</m:t>
              </m:r>
              <m:r>
                <m:t>n</m:t>
              </m:r>
              <m:r>
                <m:t>j</m:t>
              </m:r>
            </m:sup>
          </m:sSubSup>
          <m:f>
            <m:fPr>
              <m:type m:val="bar"/>
            </m:fPr>
            <m:num>
              <m:r>
                <m:t>∑</m:t>
              </m:r>
              <m:sSub>
                <m:e>
                  <m:r>
                    <m:t>n</m:t>
                  </m:r>
                </m:e>
                <m:sub>
                  <m:r>
                    <m:t>h</m:t>
                  </m:r>
                  <m:r>
                    <m:t>i</m:t>
                  </m:r>
                  <m:r>
                    <m:t>c</m:t>
                  </m:r>
                  <m:r>
                    <m:t>k</m:t>
                  </m:r>
                </m:sub>
              </m:sSub>
            </m:num>
            <m:den>
              <m:r>
                <m:t>∑</m:t>
              </m:r>
              <m:sSubSup>
                <m:e>
                  <m:r>
                    <m:t>t</m:t>
                  </m:r>
                </m:e>
                <m:sub>
                  <m:r>
                    <m:t>O</m:t>
                  </m:r>
                  <m:r>
                    <m:t>P</m:t>
                  </m:r>
                </m:sub>
                <m:sup>
                  <m:r>
                    <m:t>i</m:t>
                  </m:r>
                  <m:r>
                    <m:t>n</m:t>
                  </m:r>
                  <m:r>
                    <m:t>j</m:t>
                  </m:r>
                </m:sup>
              </m:sSubSup>
            </m:den>
          </m:f>
          <m:r>
            <m:t>,</m:t>
          </m:r>
          <m:r>
            <m:t> </m:t>
          </m:r>
          <m:r>
            <m:t> </m:t>
          </m:r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P</m:t>
              </m:r>
              <m:r>
                <m:t>I</m:t>
              </m:r>
              <m:r>
                <m:t>C</m:t>
              </m:r>
              <m:r>
                <m:t>C</m:t>
              </m:r>
            </m:sub>
          </m:sSub>
          <m:r>
            <m:t>=</m:t>
          </m:r>
          <m:sSubSup>
            <m:e>
              <m:r>
                <m:t>t</m:t>
              </m:r>
            </m:e>
            <m:sub>
              <m:r>
                <m:t>O</m:t>
              </m:r>
              <m:r>
                <m:t>P</m:t>
              </m:r>
            </m:sub>
            <m:sup>
              <m:r>
                <m:t>i</m:t>
              </m:r>
              <m:r>
                <m:t>n</m:t>
              </m:r>
              <m:r>
                <m:t>j</m:t>
              </m:r>
            </m:sup>
          </m:sSubSup>
          <m:f>
            <m:fPr>
              <m:type m:val="bar"/>
            </m:fPr>
            <m:num>
              <m:r>
                <m:t>∑</m:t>
              </m:r>
              <m:sSub>
                <m:e>
                  <m:r>
                    <m:t>n</m:t>
                  </m:r>
                </m:e>
                <m:sub>
                  <m:r>
                    <m:t>P</m:t>
                  </m:r>
                  <m:r>
                    <m:t>I</m:t>
                  </m:r>
                  <m:r>
                    <m:t>C</m:t>
                  </m:r>
                  <m:r>
                    <m:t>C</m:t>
                  </m:r>
                </m:sub>
              </m:sSub>
            </m:num>
            <m:den>
              <m:r>
                <m:t>∑</m:t>
              </m:r>
              <m:sSubSup>
                <m:e>
                  <m:r>
                    <m:t>t</m:t>
                  </m:r>
                </m:e>
                <m:sub>
                  <m:r>
                    <m:t>O</m:t>
                  </m:r>
                  <m:r>
                    <m:t>P</m:t>
                  </m:r>
                </m:sub>
                <m:sup>
                  <m:r>
                    <m:t>i</m:t>
                  </m:r>
                  <m:r>
                    <m:t>n</m:t>
                  </m:r>
                  <m:r>
                    <m:t>j</m:t>
                  </m:r>
                </m:sup>
              </m:sSubSup>
            </m:den>
          </m:f>
        </m:oMath>
      </m:oMathPara>
    </w:p>
    <w:p>
      <w:pPr>
        <w:pStyle w:val="Heading3"/>
      </w:pPr>
      <w:bookmarkStart w:id="27" w:name="total-cost-equations"/>
      <w:r>
        <w:t xml:space="preserve">Total cost equations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Bedaquiline tablets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b</m:t>
              </m:r>
              <m:r>
                <m:t>d</m:t>
              </m:r>
              <m:r>
                <m:t>q</m:t>
              </m:r>
            </m:sub>
            <m:sup>
              <m:r>
                <m:t>i</m:t>
              </m:r>
            </m:sup>
          </m:sSubSup>
          <m:r>
            <m:t>=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b</m:t>
                  </m:r>
                  <m:r>
                    <m:t>e</m:t>
                  </m:r>
                  <m:r>
                    <m:t>d</m:t>
                  </m:r>
                  <m:r>
                    <m:t>&lt;</m:t>
                  </m:r>
                  <m:r>
                    <m:t>20</m:t>
                  </m:r>
                </m:sub>
              </m:sSub>
              <m:r>
                <m:t>+</m:t>
              </m:r>
              <m:r>
                <m:rPr>
                  <m:sty m:val="p"/>
                </m:rPr>
                <m:t>max</m:t>
              </m:r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t>t</m:t>
                      </m:r>
                    </m:e>
                    <m:sub>
                      <m:r>
                        <m:t>a</m:t>
                      </m:r>
                      <m:r>
                        <m:t>d</m:t>
                      </m:r>
                      <m:r>
                        <m:t>m</m:t>
                      </m:r>
                    </m:sub>
                    <m:sup>
                      <m:r>
                        <m:t>b</m:t>
                      </m:r>
                      <m:r>
                        <m:t>d</m:t>
                      </m:r>
                      <m:r>
                        <m:t>q</m:t>
                      </m:r>
                    </m:sup>
                  </m:sSubSup>
                  <m:r>
                    <m:t>−</m:t>
                  </m:r>
                  <m:r>
                    <m:t>19</m:t>
                  </m:r>
                  <m:r>
                    <m:t>,</m:t>
                  </m:r>
                  <m:r>
                    <m:t>0</m:t>
                  </m:r>
                </m:e>
              </m:d>
              <m:sSub>
                <m:e>
                  <m:r>
                    <m:t>c</m:t>
                  </m:r>
                </m:e>
                <m:sub>
                  <m:r>
                    <m:t>b</m:t>
                  </m:r>
                  <m:r>
                    <m:t>e</m:t>
                  </m:r>
                  <m:r>
                    <m:t>d</m:t>
                  </m:r>
                  <m:r>
                    <m:t>≮</m:t>
                  </m:r>
                  <m:r>
                    <m:t>20</m:t>
                  </m:r>
                </m:sub>
              </m:sSub>
            </m:e>
          </m:d>
          <m:r>
            <m:t>+</m:t>
          </m:r>
          <m:d>
            <m:dPr>
              <m:begChr m:val="⌊"/>
              <m:endChr m:val="⌋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t</m:t>
                      </m:r>
                    </m:e>
                    <m:sub>
                      <m:r>
                        <m:t>O</m:t>
                      </m:r>
                      <m:r>
                        <m:t>P</m:t>
                      </m:r>
                    </m:sub>
                    <m:sup>
                      <m:r>
                        <m:t>b</m:t>
                      </m:r>
                      <m:r>
                        <m:t>d</m:t>
                      </m:r>
                      <m:r>
                        <m:t>q</m:t>
                      </m:r>
                    </m:sup>
                  </m:sSubSup>
                </m:num>
                <m:den>
                  <m:r>
                    <m:t>7</m:t>
                  </m:r>
                </m:den>
              </m:f>
            </m:e>
          </m:d>
          <m:d>
            <m:dPr>
              <m:begChr m:val="("/>
              <m:endChr m:val=")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E</m:t>
                  </m:r>
                  <m:r>
                    <m:t>C</m:t>
                  </m:r>
                  <m:r>
                    <m:t>G</m:t>
                  </m:r>
                </m:sub>
              </m:sSub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l</m:t>
                  </m:r>
                  <m:r>
                    <m:t>i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</m:sub>
              </m:sSub>
            </m:e>
          </m:d>
          <m:r>
            <m:t>+</m:t>
          </m:r>
          <m:sSub>
            <m:e>
              <m:r>
                <m:t>c</m:t>
              </m:r>
            </m:e>
            <m:sub>
              <m:r>
                <m:t>b</m:t>
              </m:r>
              <m:r>
                <m:t>d</m:t>
              </m:r>
              <m:r>
                <m:t>q</m:t>
              </m:r>
            </m:sub>
          </m:sSub>
        </m:oMath>
      </m:oMathPara>
    </w:p>
    <w:p>
      <w:pPr>
        <w:pStyle w:val="Compact"/>
        <w:numPr>
          <w:numId w:val="1005"/>
          <w:ilvl w:val="0"/>
        </w:numPr>
      </w:pPr>
      <w:r>
        <w:t xml:space="preserve">Observed injectible amikacin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a</m:t>
              </m:r>
              <m:r>
                <m:t>m</m:t>
              </m:r>
              <m:r>
                <m:t>i</m:t>
              </m:r>
              <m:r>
                <m:t>k</m:t>
              </m:r>
            </m:sub>
            <m:sup>
              <m:r>
                <m:t>i</m:t>
              </m:r>
            </m:sup>
          </m:sSubSup>
          <m:r>
            <m:t>=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b</m:t>
                  </m:r>
                  <m:r>
                    <m:t>e</m:t>
                  </m:r>
                  <m:r>
                    <m:t>d</m:t>
                  </m:r>
                  <m:r>
                    <m:t>&lt;</m:t>
                  </m:r>
                  <m:r>
                    <m:t>20</m:t>
                  </m:r>
                </m:sub>
              </m:sSub>
              <m:r>
                <m:t>+</m:t>
              </m:r>
              <m:r>
                <m:rPr>
                  <m:sty m:val="p"/>
                </m:rPr>
                <m:t>max</m:t>
              </m:r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t>t</m:t>
                      </m:r>
                    </m:e>
                    <m:sub>
                      <m:r>
                        <m:t>a</m:t>
                      </m:r>
                      <m:r>
                        <m:t>d</m:t>
                      </m:r>
                      <m:r>
                        <m:t>m</m:t>
                      </m:r>
                    </m:sub>
                    <m:sup>
                      <m:r>
                        <m:t>i</m:t>
                      </m:r>
                      <m:r>
                        <m:t>n</m:t>
                      </m:r>
                      <m:r>
                        <m:t>j</m:t>
                      </m:r>
                    </m:sup>
                  </m:sSubSup>
                  <m:r>
                    <m:t>−</m:t>
                  </m:r>
                  <m:r>
                    <m:t>19</m:t>
                  </m:r>
                  <m:r>
                    <m:t>,</m:t>
                  </m:r>
                  <m:r>
                    <m:t>0</m:t>
                  </m:r>
                </m:e>
              </m:d>
              <m:sSub>
                <m:e>
                  <m:r>
                    <m:t>c</m:t>
                  </m:r>
                </m:e>
                <m:sub>
                  <m:r>
                    <m:t>b</m:t>
                  </m:r>
                  <m:r>
                    <m:t>e</m:t>
                  </m:r>
                  <m:r>
                    <m:t>d</m:t>
                  </m:r>
                  <m:r>
                    <m:t>≮</m:t>
                  </m:r>
                  <m:r>
                    <m:t>20</m:t>
                  </m:r>
                </m:sub>
              </m:sSub>
            </m:e>
          </m:d>
          <m:r>
            <m:t>+</m:t>
          </m:r>
          <m:sSub>
            <m:e>
              <m:r>
                <m:t>c</m:t>
              </m:r>
            </m:e>
            <m:sub>
              <m:r>
                <m:t>h</m:t>
              </m:r>
              <m:r>
                <m:t>i</m:t>
              </m:r>
              <m:r>
                <m:t>c</m:t>
              </m:r>
              <m:r>
                <m:t>k</m:t>
              </m:r>
            </m:sub>
          </m:sSub>
          <m:sSubSup>
            <m:e>
              <m:r>
                <m:t>n</m:t>
              </m:r>
            </m:e>
            <m:sub>
              <m:r>
                <m:t>h</m:t>
              </m:r>
              <m:r>
                <m:t>i</m:t>
              </m:r>
              <m:r>
                <m:t>c</m:t>
              </m:r>
              <m:r>
                <m:t>k</m:t>
              </m:r>
            </m:sub>
            <m:sup>
              <m:r>
                <m:t>i</m:t>
              </m:r>
            </m:sup>
          </m:sSubSup>
          <m:r>
            <m:t>+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I</m:t>
              </m:r>
              <m:r>
                <m:t>C</m:t>
              </m:r>
              <m:r>
                <m:t>C</m:t>
              </m:r>
            </m:sub>
          </m:sSub>
          <m:sSubSup>
            <m:e>
              <m:r>
                <m:t>n</m:t>
              </m:r>
            </m:e>
            <m:sub>
              <m:r>
                <m:t>P</m:t>
              </m:r>
              <m:r>
                <m:t>I</m:t>
              </m:r>
              <m:r>
                <m:t>C</m:t>
              </m:r>
              <m:r>
                <m:t>C</m:t>
              </m:r>
            </m:sub>
            <m:sup>
              <m:r>
                <m:t>i</m:t>
              </m:r>
            </m:sup>
          </m:sSubSup>
          <m:r>
            <m:t>+</m:t>
          </m:r>
          <m:sSub>
            <m:e>
              <m:r>
                <m:t>c</m:t>
              </m:r>
            </m:e>
            <m:sub>
              <m:r>
                <m:t>O</m:t>
              </m:r>
              <m:r>
                <m:t>P</m:t>
              </m:r>
            </m:sub>
          </m:sSub>
          <m:sSubSup>
            <m:e>
              <m:r>
                <m:t>t</m:t>
              </m:r>
            </m:e>
            <m:sub>
              <m:r>
                <m:t>O</m:t>
              </m:r>
              <m:r>
                <m:t>P</m:t>
              </m:r>
            </m:sub>
            <m:sup>
              <m:r>
                <m:t>i</m:t>
              </m:r>
            </m:sup>
          </m:sSubSup>
          <m:r>
            <m:t>+</m:t>
          </m:r>
          <m:sSub>
            <m:e>
              <m:r>
                <m:t>c</m:t>
              </m:r>
            </m:e>
            <m:sub>
              <m:r>
                <m:t>h</m:t>
              </m:r>
              <m:r>
                <m:t>e</m:t>
              </m:r>
              <m:r>
                <m:t>a</m:t>
              </m:r>
              <m:r>
                <m:t>r</m:t>
              </m:r>
            </m:sub>
          </m:sSub>
          <m:sSubSup>
            <m:e>
              <m:r>
                <m:t>n</m:t>
              </m:r>
            </m:e>
            <m:sub>
              <m:r>
                <m:t>h</m:t>
              </m:r>
              <m:r>
                <m:t>e</m:t>
              </m:r>
              <m:r>
                <m:t>a</m:t>
              </m:r>
              <m:r>
                <m:t>r</m:t>
              </m:r>
            </m:sub>
            <m:sup>
              <m:r>
                <m:t>i</m:t>
              </m:r>
            </m:sup>
          </m:sSubSup>
        </m:oMath>
      </m:oMathPara>
    </w:p>
    <w:p>
      <w:pPr>
        <w:pStyle w:val="Compact"/>
        <w:numPr>
          <w:numId w:val="1006"/>
          <w:ilvl w:val="0"/>
        </w:numPr>
      </w:pPr>
      <w:r>
        <w:t xml:space="preserve">Ideal injectible amikacin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a</m:t>
              </m:r>
              <m:r>
                <m:t>m</m:t>
              </m:r>
              <m:r>
                <m:t>i</m:t>
              </m:r>
              <m:r>
                <m:t>k</m:t>
              </m:r>
              <m:r>
                <m:t>,</m:t>
              </m:r>
              <m:r>
                <m:t>i</m:t>
              </m:r>
              <m:r>
                <m:t>d</m:t>
              </m:r>
              <m:r>
                <m:t>e</m:t>
              </m:r>
              <m:r>
                <m:t>a</m:t>
              </m:r>
              <m:r>
                <m:t>l</m:t>
              </m:r>
            </m:sub>
            <m:sup>
              <m:r>
                <m:t>i</m:t>
              </m:r>
            </m:sup>
          </m:sSubSup>
          <m:r>
            <m:t>=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b</m:t>
                  </m:r>
                  <m:r>
                    <m:t>e</m:t>
                  </m:r>
                  <m:r>
                    <m:t>d</m:t>
                  </m:r>
                  <m:r>
                    <m:t>&lt;</m:t>
                  </m:r>
                  <m:r>
                    <m:t>20</m:t>
                  </m:r>
                </m:sub>
              </m:sSub>
              <m:r>
                <m:t>+</m:t>
              </m:r>
              <m:r>
                <m:rPr>
                  <m:sty m:val="p"/>
                </m:rPr>
                <m:t>max</m:t>
              </m:r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t>t</m:t>
                      </m:r>
                    </m:e>
                    <m:sub>
                      <m:r>
                        <m:t>a</m:t>
                      </m:r>
                      <m:r>
                        <m:t>d</m:t>
                      </m:r>
                      <m:r>
                        <m:t>m</m:t>
                      </m:r>
                    </m:sub>
                    <m:sup>
                      <m:r>
                        <m:t>i</m:t>
                      </m:r>
                      <m:r>
                        <m:t>n</m:t>
                      </m:r>
                      <m:r>
                        <m:t>j</m:t>
                      </m:r>
                    </m:sup>
                  </m:sSubSup>
                  <m:r>
                    <m:t>−</m:t>
                  </m:r>
                  <m:r>
                    <m:t>19</m:t>
                  </m:r>
                  <m:r>
                    <m:t>,</m:t>
                  </m:r>
                  <m:r>
                    <m:t>0</m:t>
                  </m:r>
                </m:e>
              </m:d>
              <m:sSub>
                <m:e>
                  <m:r>
                    <m:t>c</m:t>
                  </m:r>
                </m:e>
                <m:sub>
                  <m:r>
                    <m:t>b</m:t>
                  </m:r>
                  <m:r>
                    <m:t>e</m:t>
                  </m:r>
                  <m:r>
                    <m:t>d</m:t>
                  </m:r>
                  <m:r>
                    <m:t>≮</m:t>
                  </m:r>
                  <m:r>
                    <m:t>20</m:t>
                  </m:r>
                </m:sub>
              </m:sSub>
            </m:e>
          </m:d>
          <m:r>
            <m:t>+</m:t>
          </m:r>
          <m:sSub>
            <m:e>
              <m:r>
                <m:t>c</m:t>
              </m:r>
            </m:e>
            <m:sub>
              <m:r>
                <m:t>h</m:t>
              </m:r>
              <m:r>
                <m:t>i</m:t>
              </m:r>
              <m:r>
                <m:t>c</m:t>
              </m:r>
              <m:r>
                <m:t>k</m:t>
              </m:r>
            </m:sub>
          </m:sSub>
          <m:sSubSup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h</m:t>
              </m:r>
              <m:r>
                <m:t>i</m:t>
              </m:r>
              <m:r>
                <m:t>c</m:t>
              </m:r>
              <m:r>
                <m:t>k</m:t>
              </m:r>
            </m:sub>
            <m:sup>
              <m:r>
                <m:t>i</m:t>
              </m:r>
            </m:sup>
          </m:sSubSup>
          <m:r>
            <m:t>+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I</m:t>
              </m:r>
              <m:r>
                <m:t>C</m:t>
              </m:r>
              <m:r>
                <m:t>C</m:t>
              </m:r>
            </m:sub>
          </m:sSub>
          <m:sSubSup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P</m:t>
              </m:r>
              <m:r>
                <m:t>I</m:t>
              </m:r>
              <m:r>
                <m:t>C</m:t>
              </m:r>
              <m:r>
                <m:t>C</m:t>
              </m:r>
            </m:sub>
            <m:sup>
              <m:r>
                <m:t>i</m:t>
              </m:r>
            </m:sup>
          </m:sSubSup>
          <m:r>
            <m:t>+</m:t>
          </m:r>
          <m:sSub>
            <m:e>
              <m:r>
                <m:t>c</m:t>
              </m:r>
            </m:e>
            <m:sub>
              <m:r>
                <m:t>O</m:t>
              </m:r>
              <m:r>
                <m:t>P</m:t>
              </m:r>
              <m:r>
                <m:t>A</m:t>
              </m:r>
              <m:r>
                <m:t>T</m:t>
              </m:r>
            </m:sub>
          </m:sSub>
          <m:sSubSup>
            <m:e>
              <m:acc>
                <m:accPr>
                  <m:chr m:val="̂"/>
                </m:accPr>
                <m:e>
                  <m:r>
                    <m:t>t</m:t>
                  </m:r>
                </m:e>
              </m:acc>
            </m:e>
            <m:sub>
              <m:r>
                <m:t>O</m:t>
              </m:r>
              <m:r>
                <m:t>P</m:t>
              </m:r>
            </m:sub>
            <m:sup>
              <m:r>
                <m:t>i</m:t>
              </m:r>
            </m:sup>
          </m:sSubSup>
          <m:r>
            <m:t>+</m:t>
          </m:r>
          <m:sSub>
            <m:e>
              <m:r>
                <m:t>c</m:t>
              </m:r>
            </m:e>
            <m:sub>
              <m:r>
                <m:t>h</m:t>
              </m:r>
              <m:r>
                <m:t>e</m:t>
              </m:r>
              <m:r>
                <m:t>a</m:t>
              </m:r>
              <m:r>
                <m:t>r</m:t>
              </m:r>
            </m:sub>
          </m:sSub>
          <m:sSubSup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h</m:t>
              </m:r>
              <m:r>
                <m:t>e</m:t>
              </m:r>
              <m:r>
                <m:t>a</m:t>
              </m:r>
              <m:r>
                <m:t>r</m:t>
              </m:r>
            </m:sub>
            <m:sup>
              <m:r>
                <m:t>i</m:t>
              </m:r>
            </m:sup>
          </m:sSubSup>
        </m:oMath>
      </m:oMathPara>
    </w:p>
    <w:p>
      <w:pPr>
        <w:pStyle w:val="Heading2"/>
      </w:pPr>
      <w:bookmarkStart w:id="28" w:name="results"/>
      <w:r>
        <w:t xml:space="preserve">Results</w:t>
      </w:r>
      <w:bookmarkEnd w:id="28"/>
    </w:p>
    <w:p>
      <w:pPr>
        <w:pStyle w:val="Heading3"/>
      </w:pPr>
      <w:bookmarkStart w:id="29" w:name="patient-level-data"/>
      <w:r>
        <w:t xml:space="preserve">Patient-level data</w:t>
      </w:r>
      <w:bookmarkEnd w:id="29"/>
    </w:p>
    <w:p>
      <w:pPr>
        <w:pStyle w:val="FirstParagraph"/>
      </w:pPr>
      <w:r>
        <w:t xml:space="preserve">Each patient’s cost is calculated using the costs for their particular site.</w:t>
      </w:r>
      <w:r>
        <w:t xml:space="preserve"> </w:t>
      </w:r>
      <w:r>
        <w:t xml:space="preserve">Their times to events and counts are available (</w:t>
      </w:r>
      <w:r>
        <w:rPr>
          <w:rStyle w:val="VerbatimChar"/>
        </w:rPr>
        <w:t xml:space="preserve">obs</w:t>
      </w:r>
      <w:r>
        <w:t xml:space="preserve">).</w:t>
      </w:r>
      <w:r>
        <w:t xml:space="preserve"> </w:t>
      </w:r>
      <w:r>
        <w:t xml:space="preserve">The analysis data thus consist of the original recorded data, the derived counts and times and the total cost per patient.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Compact"/>
      </w:pPr>
      <w:r>
        <w:t xml:space="preserve">Observed treatment</w:t>
      </w:r>
    </w:p>
    <w:p>
      <w:pPr>
        <w:pStyle w:val="Compact"/>
      </w:pPr>
      <w:r>
        <w:t xml:space="preserve">6 months treatment</w:t>
      </w:r>
    </w:p>
    <w:p>
      <w:pPr>
        <w:pStyle w:val="Compact"/>
      </w:pPr>
      <w:r>
        <w:t xml:space="preserve">Mean costs</w:t>
      </w:r>
    </w:p>
    <w:p>
      <w:pPr>
        <w:pStyle w:val="Compact"/>
      </w:pPr>
      <w:r>
        <w:t xml:space="preserve">No change</w:t>
      </w:r>
    </w:p>
    <w:p>
      <w:pPr>
        <w:pStyle w:val="Compact"/>
      </w:pPr>
      <w:r>
        <w:t xml:space="preserve">No change</w:t>
      </w:r>
    </w:p>
    <w:p>
      <w:pPr>
        <w:pStyle w:val="Compact"/>
      </w:pPr>
      <w:r>
        <w:t xml:space="preserve">10% reduction</w:t>
      </w:r>
    </w:p>
    <w:p>
      <w:pPr>
        <w:pStyle w:val="Compact"/>
      </w:pPr>
      <w:r>
        <w:t xml:space="preserve">33% reduction</w:t>
      </w:r>
    </w:p>
    <w:p>
      <w:pPr>
        <w:pStyle w:val="Compact"/>
      </w:pPr>
      <w:r>
        <w:t xml:space="preserve">PICC line</w:t>
      </w:r>
    </w:p>
    <w:p>
      <w:pPr>
        <w:pStyle w:val="Compact"/>
      </w:pPr>
      <w:r>
        <w:t xml:space="preserve">134.50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Hickman line</w:t>
      </w:r>
    </w:p>
    <w:p>
      <w:pPr>
        <w:pStyle w:val="Compact"/>
      </w:pPr>
      <w:r>
        <w:t xml:space="preserve">100.00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Hearing test</w:t>
      </w:r>
    </w:p>
    <w:p>
      <w:pPr>
        <w:pStyle w:val="Compact"/>
      </w:pPr>
      <w:r>
        <w:t xml:space="preserve">22.50</w:t>
      </w:r>
    </w:p>
    <w:p>
      <w:pPr>
        <w:pStyle w:val="Compact"/>
      </w:pPr>
      <w:r>
        <w:t xml:space="preserve">4.04</w:t>
      </w:r>
    </w:p>
    <w:p>
      <w:pPr>
        <w:pStyle w:val="Compact"/>
      </w:pPr>
      <w:r>
        <w:t xml:space="preserve">3.95</w:t>
      </w:r>
    </w:p>
    <w:p>
      <w:pPr>
        <w:pStyle w:val="Compact"/>
      </w:pPr>
      <w:r>
        <w:t xml:space="preserve">3.95</w:t>
      </w:r>
    </w:p>
    <w:p>
      <w:pPr>
        <w:pStyle w:val="Compact"/>
      </w:pPr>
      <w:r>
        <w:t xml:space="preserve">3.95</w:t>
      </w:r>
    </w:p>
    <w:p>
      <w:pPr>
        <w:pStyle w:val="Compact"/>
      </w:pPr>
      <w:r>
        <w:t xml:space="preserve">Renal test</w:t>
      </w:r>
    </w:p>
    <w:p>
      <w:pPr>
        <w:pStyle w:val="Compact"/>
      </w:pPr>
      <w:r>
        <w:t xml:space="preserve">4.75</w:t>
      </w:r>
    </w:p>
    <w:p>
      <w:pPr>
        <w:pStyle w:val="Compact"/>
      </w:pPr>
      <w:r>
        <w:t xml:space="preserve">4.42</w:t>
      </w:r>
    </w:p>
    <w:p>
      <w:pPr>
        <w:pStyle w:val="Compact"/>
      </w:pPr>
      <w:r>
        <w:t xml:space="preserve">4.42</w:t>
      </w:r>
    </w:p>
    <w:p>
      <w:pPr>
        <w:pStyle w:val="Compact"/>
      </w:pPr>
      <w:r>
        <w:t xml:space="preserve">4.65</w:t>
      </w:r>
    </w:p>
    <w:p>
      <w:pPr>
        <w:pStyle w:val="Compact"/>
      </w:pPr>
      <w:r>
        <w:t xml:space="preserve">5.08</w:t>
      </w:r>
    </w:p>
    <w:p>
      <w:pPr>
        <w:pStyle w:val="Compact"/>
      </w:pPr>
      <w:r>
        <w:t xml:space="preserve">Liver test</w:t>
      </w:r>
    </w:p>
    <w:p>
      <w:pPr>
        <w:pStyle w:val="Compact"/>
      </w:pPr>
      <w:r>
        <w:t xml:space="preserve">6.09</w:t>
      </w:r>
    </w:p>
    <w:p>
      <w:pPr>
        <w:pStyle w:val="Compact"/>
      </w:pPr>
      <w:r>
        <w:t xml:space="preserve">4.42</w:t>
      </w:r>
    </w:p>
    <w:p>
      <w:pPr>
        <w:pStyle w:val="Compact"/>
      </w:pPr>
      <w:r>
        <w:t xml:space="preserve">4.42</w:t>
      </w:r>
    </w:p>
    <w:p>
      <w:pPr>
        <w:pStyle w:val="Compact"/>
      </w:pPr>
      <w:r>
        <w:t xml:space="preserve">4.65</w:t>
      </w:r>
    </w:p>
    <w:p>
      <w:pPr>
        <w:pStyle w:val="Compact"/>
      </w:pPr>
      <w:r>
        <w:t xml:space="preserve">5.08</w:t>
      </w:r>
    </w:p>
    <w:p>
      <w:pPr>
        <w:pStyle w:val="Compact"/>
      </w:pPr>
      <w:r>
        <w:t xml:space="preserve">ECG</w:t>
      </w:r>
    </w:p>
    <w:p>
      <w:pPr>
        <w:pStyle w:val="Compact"/>
      </w:pPr>
      <w:r>
        <w:t xml:space="preserve">79.25</w:t>
      </w:r>
    </w:p>
    <w:p>
      <w:pPr>
        <w:pStyle w:val="Compact"/>
      </w:pPr>
      <w:r>
        <w:t xml:space="preserve">4.42</w:t>
      </w:r>
    </w:p>
    <w:p>
      <w:pPr>
        <w:pStyle w:val="Compact"/>
      </w:pPr>
      <w:r>
        <w:t xml:space="preserve">4.42</w:t>
      </w:r>
    </w:p>
    <w:p>
      <w:pPr>
        <w:pStyle w:val="Compact"/>
      </w:pPr>
      <w:r>
        <w:t xml:space="preserve">4.65</w:t>
      </w:r>
    </w:p>
    <w:p>
      <w:pPr>
        <w:pStyle w:val="Compact"/>
      </w:pPr>
      <w:r>
        <w:t xml:space="preserve">5.08</w:t>
      </w:r>
    </w:p>
    <w:p>
      <w:pPr>
        <w:pStyle w:val="Compact"/>
      </w:pPr>
      <w:r>
        <w:t xml:space="preserve">Fixed admission &lt; 20 days</w:t>
      </w:r>
    </w:p>
    <w:p>
      <w:pPr>
        <w:pStyle w:val="Compact"/>
      </w:pPr>
      <w:r>
        <w:t xml:space="preserve">2865.43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Admission &gt;= 20 days per day</w:t>
      </w:r>
    </w:p>
    <w:p>
      <w:pPr>
        <w:pStyle w:val="Compact"/>
      </w:pPr>
      <w:r>
        <w:t xml:space="preserve">245.37</w:t>
      </w:r>
    </w:p>
    <w:p>
      <w:pPr>
        <w:pStyle w:val="Compact"/>
      </w:pPr>
      <w:r>
        <w:t xml:space="preserve">55.93</w:t>
      </w:r>
    </w:p>
    <w:p>
      <w:pPr>
        <w:pStyle w:val="Compact"/>
      </w:pPr>
      <w:r>
        <w:t xml:space="preserve">55.93</w:t>
      </w:r>
    </w:p>
    <w:p>
      <w:pPr>
        <w:pStyle w:val="Compact"/>
      </w:pPr>
      <w:r>
        <w:t xml:space="preserve">48.49</w:t>
      </w:r>
    </w:p>
    <w:p>
      <w:pPr>
        <w:pStyle w:val="Compact"/>
      </w:pPr>
      <w:r>
        <w:t xml:space="preserve">31.40</w:t>
      </w:r>
    </w:p>
    <w:p>
      <w:pPr>
        <w:pStyle w:val="Compact"/>
      </w:pPr>
      <w:r>
        <w:t xml:space="preserve">Bedaquiline total</w:t>
      </w:r>
    </w:p>
    <w:p>
      <w:pPr>
        <w:pStyle w:val="Compact"/>
      </w:pPr>
      <w:r>
        <w:t xml:space="preserve">18000.00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 w:type="textWrapping"/>
      </w:r>
      <w:r>
        <w:rPr>
          <w:rStyle w:val="VerbatimChar"/>
        </w:rPr>
        <w:t xml:space="preserve">## 1       1 6.066667</w:t>
      </w:r>
      <w:r>
        <w:br w:type="textWrapping"/>
      </w:r>
      <w:r>
        <w:rPr>
          <w:rStyle w:val="VerbatimChar"/>
        </w:rPr>
        <w:t xml:space="preserve">## 2       2 2.444444</w:t>
      </w:r>
      <w:r>
        <w:br w:type="textWrapping"/>
      </w:r>
      <w:r>
        <w:rPr>
          <w:rStyle w:val="VerbatimChar"/>
        </w:rPr>
        <w:t xml:space="preserve">## 3       3 5.608696</w:t>
      </w:r>
      <w:r>
        <w:br w:type="textWrapping"/>
      </w:r>
      <w:r>
        <w:rPr>
          <w:rStyle w:val="VerbatimChar"/>
        </w:rPr>
        <w:t xml:space="preserve">## 4       4 3.266667</w:t>
      </w:r>
    </w:p>
    <w:p>
      <w:pPr>
        <w:pStyle w:val="SourceCode"/>
      </w:pPr>
      <w:r>
        <w:rPr>
          <w:rStyle w:val="VerbatimChar"/>
        </w:rPr>
        <w:t xml:space="preserve">##   Group.1   x</w:t>
      </w:r>
      <w:r>
        <w:br w:type="textWrapping"/>
      </w:r>
      <w:r>
        <w:rPr>
          <w:rStyle w:val="VerbatimChar"/>
        </w:rPr>
        <w:t xml:space="preserve">## 1       1  91</w:t>
      </w:r>
      <w:r>
        <w:br w:type="textWrapping"/>
      </w:r>
      <w:r>
        <w:rPr>
          <w:rStyle w:val="VerbatimChar"/>
        </w:rPr>
        <w:t xml:space="preserve">## 2       2  66</w:t>
      </w:r>
      <w:r>
        <w:br w:type="textWrapping"/>
      </w:r>
      <w:r>
        <w:rPr>
          <w:rStyle w:val="VerbatimChar"/>
        </w:rPr>
        <w:t xml:space="preserve">## 3       3 129</w:t>
      </w:r>
      <w:r>
        <w:br w:type="textWrapping"/>
      </w:r>
      <w:r>
        <w:rPr>
          <w:rStyle w:val="VerbatimChar"/>
        </w:rPr>
        <w:t xml:space="preserve">## 4       4  98</w:t>
      </w:r>
    </w:p>
    <w:p>
      <w:pPr>
        <w:pStyle w:val="FirstParagraph"/>
      </w:pPr>
      <w:r>
        <w:t xml:space="preserve">Table 5: Number of hearing tests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58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6</w:t>
      </w:r>
    </w:p>
    <w:p>
      <w:pPr>
        <w:pStyle w:val="SourceCode"/>
      </w:pPr>
      <w:r>
        <w:rPr>
          <w:rStyle w:val="VerbatimChar"/>
        </w:rPr>
        <w:t xml:space="preserve">##   Group.1         x</w:t>
      </w:r>
      <w:r>
        <w:br w:type="textWrapping"/>
      </w:r>
      <w:r>
        <w:rPr>
          <w:rStyle w:val="VerbatimChar"/>
        </w:rPr>
        <w:t xml:space="preserve">## 1       1 1.0666667</w:t>
      </w:r>
      <w:r>
        <w:br w:type="textWrapping"/>
      </w:r>
      <w:r>
        <w:rPr>
          <w:rStyle w:val="VerbatimChar"/>
        </w:rPr>
        <w:t xml:space="preserve">## 2       2 0.7407407</w:t>
      </w:r>
      <w:r>
        <w:br w:type="textWrapping"/>
      </w:r>
      <w:r>
        <w:rPr>
          <w:rStyle w:val="VerbatimChar"/>
        </w:rPr>
        <w:t xml:space="preserve">## 3       3 0.8260870</w:t>
      </w:r>
      <w:r>
        <w:br w:type="textWrapping"/>
      </w:r>
      <w:r>
        <w:rPr>
          <w:rStyle w:val="VerbatimChar"/>
        </w:rPr>
        <w:t xml:space="preserve">## 4       4 1.3000000</w:t>
      </w:r>
    </w:p>
    <w:p>
      <w:pPr>
        <w:pStyle w:val="SourceCode"/>
      </w:pPr>
      <w:r>
        <w:rPr>
          <w:rStyle w:val="VerbatimChar"/>
        </w:rPr>
        <w:t xml:space="preserve">##   Group.1  x</w:t>
      </w:r>
      <w:r>
        <w:br w:type="textWrapping"/>
      </w:r>
      <w:r>
        <w:rPr>
          <w:rStyle w:val="VerbatimChar"/>
        </w:rPr>
        <w:t xml:space="preserve">## 1       1 16</w:t>
      </w:r>
      <w:r>
        <w:br w:type="textWrapping"/>
      </w:r>
      <w:r>
        <w:rPr>
          <w:rStyle w:val="VerbatimChar"/>
        </w:rPr>
        <w:t xml:space="preserve">## 2       2 20</w:t>
      </w:r>
      <w:r>
        <w:br w:type="textWrapping"/>
      </w:r>
      <w:r>
        <w:rPr>
          <w:rStyle w:val="VerbatimChar"/>
        </w:rPr>
        <w:t xml:space="preserve">## 3       3 19</w:t>
      </w:r>
      <w:r>
        <w:br w:type="textWrapping"/>
      </w:r>
      <w:r>
        <w:rPr>
          <w:rStyle w:val="VerbatimChar"/>
        </w:rPr>
        <w:t xml:space="preserve">## 4       4 39</w:t>
      </w:r>
    </w:p>
    <w:p>
      <w:pPr>
        <w:pStyle w:val="FirstParagraph"/>
      </w:pPr>
      <w:r>
        <w:t xml:space="preserve">Table 6: Number of picc lines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87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##   Group.1          x</w:t>
      </w:r>
      <w:r>
        <w:br w:type="textWrapping"/>
      </w:r>
      <w:r>
        <w:rPr>
          <w:rStyle w:val="VerbatimChar"/>
        </w:rPr>
        <w:t xml:space="preserve">## 1       1 0.00000000</w:t>
      </w:r>
      <w:r>
        <w:br w:type="textWrapping"/>
      </w:r>
      <w:r>
        <w:rPr>
          <w:rStyle w:val="VerbatimChar"/>
        </w:rPr>
        <w:t xml:space="preserve">## 2       2 0.03703704</w:t>
      </w:r>
      <w:r>
        <w:br w:type="textWrapping"/>
      </w:r>
      <w:r>
        <w:rPr>
          <w:rStyle w:val="VerbatimChar"/>
        </w:rPr>
        <w:t xml:space="preserve">## 3       3 0.13043478</w:t>
      </w:r>
      <w:r>
        <w:br w:type="textWrapping"/>
      </w:r>
      <w:r>
        <w:rPr>
          <w:rStyle w:val="VerbatimChar"/>
        </w:rPr>
        <w:t xml:space="preserve">## 4       4 0.16666667</w:t>
      </w:r>
    </w:p>
    <w:p>
      <w:pPr>
        <w:pStyle w:val="SourceCode"/>
      </w:pPr>
      <w:r>
        <w:rPr>
          <w:rStyle w:val="VerbatimChar"/>
        </w:rPr>
        <w:t xml:space="preserve">##   Group.1 x</w:t>
      </w:r>
      <w:r>
        <w:br w:type="textWrapping"/>
      </w:r>
      <w:r>
        <w:rPr>
          <w:rStyle w:val="VerbatimChar"/>
        </w:rPr>
        <w:t xml:space="preserve">## 1       1 0</w:t>
      </w:r>
      <w:r>
        <w:br w:type="textWrapping"/>
      </w:r>
      <w:r>
        <w:rPr>
          <w:rStyle w:val="VerbatimChar"/>
        </w:rPr>
        <w:t xml:space="preserve">## 2       2 1</w:t>
      </w:r>
      <w:r>
        <w:br w:type="textWrapping"/>
      </w:r>
      <w:r>
        <w:rPr>
          <w:rStyle w:val="VerbatimChar"/>
        </w:rPr>
        <w:t xml:space="preserve">## 3       3 3</w:t>
      </w:r>
      <w:r>
        <w:br w:type="textWrapping"/>
      </w:r>
      <w:r>
        <w:rPr>
          <w:rStyle w:val="VerbatimChar"/>
        </w:rPr>
        <w:t xml:space="preserve">## 4       4 5</w:t>
      </w:r>
    </w:p>
    <w:p>
      <w:pPr>
        <w:pStyle w:val="FirstParagraph"/>
      </w:pPr>
      <w:r>
        <w:t xml:space="preserve">Table 7: Number of Hickman lines</w:t>
      </w:r>
    </w:p>
    <w:p>
      <w:pPr>
        <w:pStyle w:val="SourceCode"/>
      </w:pPr>
      <w:r>
        <w:rPr>
          <w:rStyle w:val="VerbatimChar"/>
        </w:rPr>
        <w:t xml:space="preserve">##   Group.1         x</w:t>
      </w:r>
      <w:r>
        <w:br w:type="textWrapping"/>
      </w:r>
      <w:r>
        <w:rPr>
          <w:rStyle w:val="VerbatimChar"/>
        </w:rPr>
        <w:t xml:space="preserve">## 1       1  83.46667</w:t>
      </w:r>
      <w:r>
        <w:br w:type="textWrapping"/>
      </w:r>
      <w:r>
        <w:rPr>
          <w:rStyle w:val="VerbatimChar"/>
        </w:rPr>
        <w:t xml:space="preserve">## 2       2 108.33333</w:t>
      </w:r>
      <w:r>
        <w:br w:type="textWrapping"/>
      </w:r>
      <w:r>
        <w:rPr>
          <w:rStyle w:val="VerbatimChar"/>
        </w:rPr>
        <w:t xml:space="preserve">## 3       3  53.04348</w:t>
      </w:r>
      <w:r>
        <w:br w:type="textWrapping"/>
      </w:r>
      <w:r>
        <w:rPr>
          <w:rStyle w:val="VerbatimChar"/>
        </w:rPr>
        <w:t xml:space="preserve">## 4       4 167.10000</w:t>
      </w:r>
    </w:p>
    <w:p>
      <w:pPr>
        <w:pStyle w:val="SourceCode"/>
      </w:pPr>
      <w:r>
        <w:rPr>
          <w:rStyle w:val="VerbatimChar"/>
        </w:rPr>
        <w:t xml:space="preserve">##   Group.1    x</w:t>
      </w:r>
      <w:r>
        <w:br w:type="textWrapping"/>
      </w:r>
      <w:r>
        <w:rPr>
          <w:rStyle w:val="VerbatimChar"/>
        </w:rPr>
        <w:t xml:space="preserve">## 1       1 1252</w:t>
      </w:r>
      <w:r>
        <w:br w:type="textWrapping"/>
      </w:r>
      <w:r>
        <w:rPr>
          <w:rStyle w:val="VerbatimChar"/>
        </w:rPr>
        <w:t xml:space="preserve">## 2       2 2925</w:t>
      </w:r>
      <w:r>
        <w:br w:type="textWrapping"/>
      </w:r>
      <w:r>
        <w:rPr>
          <w:rStyle w:val="VerbatimChar"/>
        </w:rPr>
        <w:t xml:space="preserve">## 3       3 1220</w:t>
      </w:r>
      <w:r>
        <w:br w:type="textWrapping"/>
      </w:r>
      <w:r>
        <w:rPr>
          <w:rStyle w:val="VerbatimChar"/>
        </w:rPr>
        <w:t xml:space="preserve">## 4       4 5013</w:t>
      </w:r>
    </w:p>
    <w:p>
      <w:pPr>
        <w:pStyle w:val="FirstParagraph"/>
      </w:pPr>
      <w:r>
        <w:t xml:space="preserve">Table 8: Number of OPAT_days_inj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 w:type="textWrapping"/>
      </w:r>
      <w:r>
        <w:rPr>
          <w:rStyle w:val="VerbatimChar"/>
        </w:rPr>
        <w:t xml:space="preserve">## 1       1 5.333333</w:t>
      </w:r>
      <w:r>
        <w:br w:type="textWrapping"/>
      </w:r>
      <w:r>
        <w:rPr>
          <w:rStyle w:val="VerbatimChar"/>
        </w:rPr>
        <w:t xml:space="preserve">## 2       2 4.444444</w:t>
      </w:r>
      <w:r>
        <w:br w:type="textWrapping"/>
      </w:r>
      <w:r>
        <w:rPr>
          <w:rStyle w:val="VerbatimChar"/>
        </w:rPr>
        <w:t xml:space="preserve">## 3       3 4.130435</w:t>
      </w:r>
      <w:r>
        <w:br w:type="textWrapping"/>
      </w:r>
      <w:r>
        <w:rPr>
          <w:rStyle w:val="VerbatimChar"/>
        </w:rPr>
        <w:t xml:space="preserve">## 4       4 4.166667</w:t>
      </w:r>
    </w:p>
    <w:p>
      <w:pPr>
        <w:pStyle w:val="SourceCode"/>
      </w:pPr>
      <w:r>
        <w:rPr>
          <w:rStyle w:val="VerbatimChar"/>
        </w:rPr>
        <w:t xml:space="preserve">##   Group.1   x</w:t>
      </w:r>
      <w:r>
        <w:br w:type="textWrapping"/>
      </w:r>
      <w:r>
        <w:rPr>
          <w:rStyle w:val="VerbatimChar"/>
        </w:rPr>
        <w:t xml:space="preserve">## 1       1  80</w:t>
      </w:r>
      <w:r>
        <w:br w:type="textWrapping"/>
      </w:r>
      <w:r>
        <w:rPr>
          <w:rStyle w:val="VerbatimChar"/>
        </w:rPr>
        <w:t xml:space="preserve">## 2       2 120</w:t>
      </w:r>
      <w:r>
        <w:br w:type="textWrapping"/>
      </w:r>
      <w:r>
        <w:rPr>
          <w:rStyle w:val="VerbatimChar"/>
        </w:rPr>
        <w:t xml:space="preserve">## 3       3  95</w:t>
      </w:r>
      <w:r>
        <w:br w:type="textWrapping"/>
      </w:r>
      <w:r>
        <w:rPr>
          <w:rStyle w:val="VerbatimChar"/>
        </w:rPr>
        <w:t xml:space="preserve">## 4       4 125</w:t>
      </w:r>
    </w:p>
    <w:p>
      <w:pPr>
        <w:pStyle w:val="FirstParagraph"/>
      </w:pPr>
      <w:r>
        <w:t xml:space="preserve">Table 9: Number of visits for ECG, liver and renal tests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Out-patient weeks for bdq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Out-patient weeks for bdq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Total admission weeks for bdq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Total admission weeks for bdq</w:t>
      </w:r>
    </w:p>
    <w:p>
      <w:pPr>
        <w:pStyle w:val="BodyText"/>
      </w:pPr>
      <w:r>
        <w:t xml:space="preserve">Below we give the individual total costs for each scenario (unit cost table and length of stay) histograms for amikacin (red) vs bedaquiline (blue).</w:t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ent_costs_methods_files/figure-docx/unnamed-chunk-1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each scenario the summary costs are given below.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MDR TB bedaquiline or amikacin costing study: Generating patient-level cost data</dc:title>
  <dc:creator>Nathan Green</dc:creator>
  <cp:keywords/>
  <dcterms:created xsi:type="dcterms:W3CDTF">2019-03-11T10:58:30Z</dcterms:created>
  <dcterms:modified xsi:type="dcterms:W3CDTF">2019-03-11T10:58:30Z</dcterms:modified>
</cp:coreProperties>
</file>