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Basecase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"../data/drug_dose-cost.RData"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474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Basecase cost-effectiveness comparison</dc:title>
  <dc:creator>Nathan Green</dc:creator>
</cp:coreProperties>
</file>