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http://stackoverflow.com/questions/20060518/in-rstudio-rmarkdown-how-to-setwd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"../../../analysis scripts/IDEA/alt-YAML_Binomial_dectrees/indiv-dectree-sampling.R"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xlim=c(-5,5),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geom_abline(intercept = 0, slope = WTP)</w:t>
      </w:r>
    </w:p>
    <w:p>
      <w:pPr>
        <w:pStyle w:val="SourceCode"/>
      </w:pPr>
      <w:r>
        <w:rPr>
          <w:rStyle w:val="VerbatimChar"/>
        </w:rPr>
        <w:t xml:space="preserve">## Loading required namespace: MASS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preval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prevale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prevalen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prevalenc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prevalenc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prevalenc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prevalenc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#, xlim=c(-10,10), ylim=c(-200,200)) + ggtitle("")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estc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estc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estco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estco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estco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estco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estcos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xlim=c(-10,10),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FNti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FNti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FNti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FNti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FNtim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FNtim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FNtim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xlim=c(-10,10),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hresho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hreshol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hreshol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hreshol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hreshol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hreshol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WITHindeterminates-RUNS_files/threshol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bd3a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Indeterminates included</dc:title>
  <dc:creator>Nathan Green</dc:creator>
  <dcterms:created xsi:type="dcterms:W3CDTF">2016-01-29</dcterms:created>
  <dcterms:modified xsi:type="dcterms:W3CDTF">2016-01-29</dcterms:modified>
</cp:coreProperties>
</file>